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1200" w:after="240"/>
        <w:jc w:val="center"/>
        <w:rPr/>
      </w:pPr>
      <w:r>
        <w:rPr>
          <w:rFonts w:ascii="Arial" w:hAnsi="Arial"/>
          <w:b/>
          <w:b/>
          <w:bCs/>
          <w:color w:val="06312D"/>
          <w:sz w:val="44"/>
          <w:szCs w:val="44"/>
          <w:rtl w:val="true"/>
        </w:rPr>
        <w:t xml:space="preserve">تقرير إنجاز مشروع </w:t>
      </w:r>
      <w:r>
        <w:rPr>
          <w:rFonts w:cs="Arial"/>
          <w:b/>
          <w:bCs/>
          <w:color w:val="06312D"/>
          <w:sz w:val="44"/>
          <w:szCs w:val="44"/>
        </w:rPr>
        <w:t>CND Manager</w:t>
      </w:r>
    </w:p>
    <w:p>
      <w:pPr>
        <w:pStyle w:val="Normal"/>
        <w:bidi w:val="1"/>
        <w:spacing w:before="0" w:after="520"/>
        <w:jc w:val="center"/>
        <w:rPr/>
      </w:pPr>
      <w:r>
        <w:rPr>
          <w:rFonts w:ascii="Arial" w:hAnsi="Arial"/>
          <w:color w:val="51635F"/>
          <w:sz w:val="28"/>
          <w:szCs w:val="28"/>
          <w:rtl w:val="true"/>
        </w:rPr>
        <w:t>تقرير إداري وتقني موجز عن مراحل التنفيذ والمشاكل والحلول</w:t>
      </w:r>
    </w:p>
    <w:tbl>
      <w:tblPr>
        <w:tblStyle w:val="TableGrid"/>
        <w:bidiVisual w:val="true"/>
        <w:tblW w:w="5000" w:type="pct"/>
        <w:jc w:val="left"/>
        <w:tblInd w:w="133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3056"/>
        <w:gridCol w:w="6850"/>
      </w:tblGrid>
      <w:tr>
        <w:trPr/>
        <w:tc>
          <w:tcPr>
            <w:tcW w:w="305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البند</w:t>
            </w:r>
          </w:p>
        </w:tc>
        <w:tc>
          <w:tcPr>
            <w:tcW w:w="685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القيمة</w:t>
            </w:r>
          </w:p>
        </w:tc>
      </w:tr>
      <w:tr>
        <w:trPr/>
        <w:tc>
          <w:tcPr>
            <w:tcW w:w="305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الجهة المستفيدة</w:t>
            </w:r>
          </w:p>
        </w:tc>
        <w:tc>
          <w:tcPr>
            <w:tcW w:w="685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الإدارة</w:t>
            </w:r>
          </w:p>
        </w:tc>
      </w:tr>
      <w:tr>
        <w:trPr/>
        <w:tc>
          <w:tcPr>
            <w:tcW w:w="305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تاريخ التقرير</w:t>
            </w:r>
          </w:p>
        </w:tc>
        <w:tc>
          <w:tcPr>
            <w:tcW w:w="685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20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حزيران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2026</w:t>
            </w:r>
          </w:p>
        </w:tc>
      </w:tr>
      <w:tr>
        <w:trPr/>
        <w:tc>
          <w:tcPr>
            <w:tcW w:w="305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اسم النظام</w:t>
            </w:r>
          </w:p>
        </w:tc>
        <w:tc>
          <w:tcPr>
            <w:tcW w:w="685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CND Manager</w:t>
            </w:r>
          </w:p>
        </w:tc>
      </w:tr>
    </w:tbl>
    <w:p>
      <w:pPr>
        <w:pStyle w:val="BodyText"/>
        <w:bidi w:val="1"/>
        <w:spacing w:lineRule="auto" w:line="360" w:before="0" w:after="80"/>
        <w:jc w:val="left"/>
        <w:rPr/>
      </w:pPr>
      <w:r>
        <w:rPr>
          <w:rFonts w:cs="Arial"/>
          <w:sz w:val="24"/>
          <w:szCs w:val="24"/>
          <w:rtl w:val="true"/>
        </w:rPr>
        <w:t xml:space="preserve"> </w:t>
      </w:r>
    </w:p>
    <w:p>
      <w:pPr>
        <w:pStyle w:val="Normal"/>
        <w:jc w:val="left"/>
        <w:rPr/>
      </w:pPr>
      <w:r>
        <w:rPr>
          <w:rtl w:val="true"/>
        </w:rPr>
      </w:r>
      <w:r>
        <w:br w:type="page"/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بطاقة ملخص المشروع</w:t>
      </w:r>
    </w:p>
    <w:tbl>
      <w:tblPr>
        <w:tblStyle w:val="TableGrid"/>
        <w:bidiVisual w:val="true"/>
        <w:tblW w:w="5000" w:type="pct"/>
        <w:jc w:val="left"/>
        <w:tblInd w:w="133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926"/>
        <w:gridCol w:w="6980"/>
      </w:tblGrid>
      <w:tr>
        <w:trPr/>
        <w:tc>
          <w:tcPr>
            <w:tcW w:w="292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المجال</w:t>
            </w:r>
          </w:p>
        </w:tc>
        <w:tc>
          <w:tcPr>
            <w:tcW w:w="698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النظام الداخلي لإدارة العمل المؤسسي</w:t>
            </w:r>
          </w:p>
        </w:tc>
      </w:tr>
      <w:tr>
        <w:trPr/>
        <w:tc>
          <w:tcPr>
            <w:tcW w:w="292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التقنيات</w:t>
            </w:r>
          </w:p>
        </w:tc>
        <w:tc>
          <w:tcPr>
            <w:tcW w:w="698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Laravel 12, React 19, PostgreSQL/PostGIS, QGIS</w:t>
            </w:r>
          </w:p>
        </w:tc>
      </w:tr>
      <w:tr>
        <w:trPr/>
        <w:tc>
          <w:tcPr>
            <w:tcW w:w="292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أبرز الإضافات</w:t>
            </w:r>
          </w:p>
        </w:tc>
        <w:tc>
          <w:tcPr>
            <w:tcW w:w="698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مسار التقارير والخطط، المراسلات الرسمية،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Project Master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، دليل الواجهات</w:t>
            </w:r>
          </w:p>
        </w:tc>
      </w:tr>
      <w:tr>
        <w:trPr/>
        <w:tc>
          <w:tcPr>
            <w:tcW w:w="292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حالة التحقق</w:t>
            </w:r>
          </w:p>
        </w:tc>
        <w:tc>
          <w:tcPr>
            <w:tcW w:w="6980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تم تشغيل فحوصات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PHP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و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Build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الواجهة وتوليد التقرير</w:t>
            </w:r>
          </w:p>
        </w:tc>
      </w:tr>
    </w:tbl>
    <w:p>
      <w:pPr>
        <w:pStyle w:val="BodyText"/>
        <w:bidi w:val="1"/>
        <w:spacing w:lineRule="auto" w:line="360" w:before="0" w:after="80"/>
        <w:jc w:val="left"/>
        <w:rPr/>
      </w:pPr>
      <w:r>
        <w:rPr>
          <w:rFonts w:cs="Arial"/>
          <w:sz w:val="24"/>
          <w:szCs w:val="24"/>
          <w:rtl w:val="true"/>
        </w:rPr>
        <w:t xml:space="preserve"> 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ملخص تنفيذي</w:t>
      </w:r>
    </w:p>
    <w:p>
      <w:pPr>
        <w:pStyle w:val="BodyText"/>
        <w:bidi w:val="1"/>
        <w:spacing w:lineRule="auto" w:line="360" w:before="0" w:after="120"/>
        <w:jc w:val="left"/>
        <w:rPr/>
      </w:pPr>
      <w:r>
        <w:rPr>
          <w:rFonts w:ascii="Arial" w:hAnsi="Arial"/>
          <w:sz w:val="24"/>
          <w:szCs w:val="24"/>
          <w:rtl w:val="true"/>
        </w:rPr>
        <w:t xml:space="preserve">تم تنفيذ نظام </w:t>
      </w:r>
      <w:r>
        <w:rPr>
          <w:rFonts w:cs="Arial"/>
          <w:sz w:val="24"/>
          <w:szCs w:val="24"/>
        </w:rPr>
        <w:t>CND Manager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كنظام داخلي متكامل لإدارة التقارير وخطط العمل والمهام والملفات والرسائل والمراسلات الرسمية والفورمات والموظفين والصلاحيات، مع إضافة تبويب </w:t>
      </w:r>
      <w:r>
        <w:rPr>
          <w:rFonts w:cs="Arial"/>
          <w:sz w:val="24"/>
          <w:szCs w:val="24"/>
        </w:rPr>
        <w:t>Project Master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لعرض مشاريع </w:t>
      </w:r>
      <w:r>
        <w:rPr>
          <w:rFonts w:cs="Arial"/>
          <w:sz w:val="24"/>
          <w:szCs w:val="24"/>
        </w:rPr>
        <w:t>QGIS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المخزنة في قواعد </w:t>
      </w:r>
      <w:r>
        <w:rPr>
          <w:rFonts w:cs="Arial"/>
          <w:sz w:val="24"/>
          <w:szCs w:val="24"/>
        </w:rPr>
        <w:t>PostGIS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>منفصلة</w:t>
      </w:r>
      <w:r>
        <w:rPr>
          <w:rFonts w:cs="Arial"/>
          <w:sz w:val="24"/>
          <w:szCs w:val="24"/>
          <w:rtl w:val="true"/>
        </w:rPr>
        <w:t>.</w:t>
      </w:r>
    </w:p>
    <w:p>
      <w:pPr>
        <w:pStyle w:val="BodyText"/>
        <w:bidi w:val="1"/>
        <w:spacing w:lineRule="auto" w:line="360" w:before="0" w:after="120"/>
        <w:jc w:val="left"/>
        <w:rPr/>
      </w:pPr>
      <w:r>
        <w:rPr>
          <w:rFonts w:ascii="Arial" w:hAnsi="Arial"/>
          <w:sz w:val="24"/>
          <w:szCs w:val="24"/>
          <w:rtl w:val="true"/>
        </w:rPr>
        <w:t>ركز التنفيذ على ضبط الصلاحيات من الخادم، تنظيم الكود، تحسين تجربة الواجهة، وتوفير توثيق واضح يستطيع المطور أو المستخدم الرجوع إليه لاحقاً</w:t>
      </w:r>
      <w:r>
        <w:rPr>
          <w:rFonts w:cs="Arial"/>
          <w:sz w:val="24"/>
          <w:szCs w:val="24"/>
          <w:rtl w:val="true"/>
        </w:rPr>
        <w:t>.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نطاق العمل المنجز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تنظيم </w:t>
      </w:r>
      <w:r>
        <w:rPr>
          <w:rFonts w:cs="Arial"/>
          <w:sz w:val="23"/>
          <w:szCs w:val="23"/>
        </w:rPr>
        <w:t>FrontEnd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حسب التبويبات داخل مجلدات مستقلة، وفصل الربط المتكرر مع الباك إند داخل </w:t>
      </w:r>
      <w:r>
        <w:rPr>
          <w:rFonts w:cs="Arial"/>
          <w:sz w:val="23"/>
          <w:szCs w:val="23"/>
        </w:rPr>
        <w:t>Apihooks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تنظيم </w:t>
      </w:r>
      <w:r>
        <w:rPr>
          <w:rFonts w:cs="Arial"/>
          <w:sz w:val="23"/>
          <w:szCs w:val="23"/>
        </w:rPr>
        <w:t>BackEnd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بنمط </w:t>
      </w:r>
      <w:r>
        <w:rPr>
          <w:rFonts w:cs="Arial"/>
          <w:sz w:val="23"/>
          <w:szCs w:val="23"/>
        </w:rPr>
        <w:t>Modules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مع </w:t>
      </w:r>
      <w:r>
        <w:rPr>
          <w:rFonts w:cs="Arial"/>
          <w:sz w:val="23"/>
          <w:szCs w:val="23"/>
        </w:rPr>
        <w:t>Controllers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</w:t>
      </w:r>
      <w:r>
        <w:rPr>
          <w:rFonts w:cs="Arial"/>
          <w:sz w:val="23"/>
          <w:szCs w:val="23"/>
        </w:rPr>
        <w:t>Services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</w:t>
      </w:r>
      <w:r>
        <w:rPr>
          <w:rFonts w:cs="Arial"/>
          <w:sz w:val="23"/>
          <w:szCs w:val="23"/>
        </w:rPr>
        <w:t>Models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</w:t>
      </w:r>
      <w:r>
        <w:rPr>
          <w:rFonts w:cs="Arial"/>
          <w:sz w:val="23"/>
          <w:szCs w:val="23"/>
        </w:rPr>
        <w:t>Routes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لكل وحدة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اعتماد </w:t>
      </w:r>
      <w:r>
        <w:rPr>
          <w:rFonts w:cs="Arial"/>
          <w:sz w:val="23"/>
          <w:szCs w:val="23"/>
        </w:rPr>
        <w:t>React Query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مع تفريغ الكاش عند تبديل الحسابات لضمان عدم اختلاط بيانات المستخدمين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تحديث دليل الواجهات وملفات </w:t>
      </w:r>
      <w:r>
        <w:rPr>
          <w:rFonts w:cs="Arial"/>
          <w:sz w:val="23"/>
          <w:szCs w:val="23"/>
        </w:rPr>
        <w:t>README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لتوثيق آخر الوظائف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توليد تقرير </w:t>
      </w:r>
      <w:r>
        <w:rPr>
          <w:rFonts w:cs="Arial"/>
          <w:sz w:val="23"/>
          <w:szCs w:val="23"/>
        </w:rPr>
        <w:t>Word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عربي قابل للعرض للإدارة وتحويله إلى </w:t>
      </w:r>
      <w:r>
        <w:rPr>
          <w:rFonts w:cs="Arial"/>
          <w:sz w:val="23"/>
          <w:szCs w:val="23"/>
        </w:rPr>
        <w:t>PDF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التقارير وخطط العمل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تطبيق نفس مسار الاعتماد على التقارير وخطط العمل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رئيس القسم يستطيع الإرسال إلى مدير الفرع أو المدير العام أو الإعادة للموظف مع سبب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مدير الفرع يحول إلى المدير العام أو يعيد للموظف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بعد اعتماد المدير العام يتوقف زر الإعادة للموظف، وتبقى الرؤية للمدير العام ومدير قواعد البيانات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سبب الإعادة يحفظ مؤقتاً في كاش الباك إند، ويحذف عند إعادة إرسال نفس التقرير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إضافة فلاتر التاريخ والموظف والقسم والفرع حسب صلاحية الدور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 xml:space="preserve">المراسلات الرسمية وقوالب </w:t>
      </w:r>
      <w:r>
        <w:rPr>
          <w:rFonts w:cs="Arial"/>
          <w:b/>
          <w:bCs/>
          <w:color w:val="06312D"/>
          <w:sz w:val="30"/>
          <w:szCs w:val="30"/>
        </w:rPr>
        <w:t>Word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فصل الرسائل الداخلية عن المراسلات الرسمية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تمثيل كل مراسلة كسلسلة زمنية تحتوي محطات ووثائق متعددة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توليد وثائق </w:t>
      </w:r>
      <w:r>
        <w:rPr>
          <w:rFonts w:cs="Arial"/>
          <w:sz w:val="23"/>
          <w:szCs w:val="23"/>
        </w:rPr>
        <w:t>Word/PDF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من قوالب رسمية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تحسين </w:t>
      </w:r>
      <w:r>
        <w:rPr>
          <w:rFonts w:cs="Arial"/>
          <w:sz w:val="23"/>
          <w:szCs w:val="23"/>
        </w:rPr>
        <w:t>QR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بإضافة لمسة بصرية أو شعار دون تغيير رقم الكود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إدراج التوقيع الرقمي كصورة عائمة داخل مساحة التوقيع حتى لا يزيح النص أو </w:t>
      </w:r>
      <w:r>
        <w:rPr>
          <w:rFonts w:cs="Arial"/>
          <w:sz w:val="23"/>
          <w:szCs w:val="23"/>
        </w:rPr>
        <w:t>QR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إنشاء نسخ احتياطية للقوالب قبل التعديل عليها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cs="Arial"/>
          <w:b/>
          <w:bCs/>
          <w:color w:val="06312D"/>
          <w:sz w:val="30"/>
          <w:szCs w:val="30"/>
        </w:rPr>
        <w:t>Project Master</w:t>
      </w:r>
      <w:r>
        <w:rPr>
          <w:rFonts w:cs="Arial"/>
          <w:b/>
          <w:bCs/>
          <w:color w:val="06312D"/>
          <w:sz w:val="30"/>
          <w:szCs w:val="30"/>
          <w:rtl w:val="true"/>
        </w:rPr>
        <w:t xml:space="preserve"> </w:t>
      </w: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و</w:t>
      </w:r>
      <w:r>
        <w:rPr>
          <w:rFonts w:cs="Arial"/>
          <w:b/>
          <w:bCs/>
          <w:color w:val="06312D"/>
          <w:sz w:val="30"/>
          <w:szCs w:val="30"/>
        </w:rPr>
        <w:t>QGIS</w:t>
      </w:r>
    </w:p>
    <w:p>
      <w:pPr>
        <w:pStyle w:val="BodyText"/>
        <w:bidi w:val="1"/>
        <w:spacing w:lineRule="auto" w:line="360" w:before="0" w:after="120"/>
        <w:jc w:val="left"/>
        <w:rPr/>
      </w:pPr>
      <w:r>
        <w:rPr>
          <w:rFonts w:ascii="Arial" w:hAnsi="Arial"/>
          <w:sz w:val="24"/>
          <w:szCs w:val="24"/>
          <w:rtl w:val="true"/>
        </w:rPr>
        <w:t xml:space="preserve">تمت إضافة تبويب </w:t>
      </w:r>
      <w:r>
        <w:rPr>
          <w:rFonts w:cs="Arial"/>
          <w:sz w:val="24"/>
          <w:szCs w:val="24"/>
        </w:rPr>
        <w:t>Project Master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لربط قواعد مشاريع </w:t>
      </w:r>
      <w:r>
        <w:rPr>
          <w:rFonts w:cs="Arial"/>
          <w:sz w:val="24"/>
          <w:szCs w:val="24"/>
        </w:rPr>
        <w:t>QGIS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المخزنة في </w:t>
      </w:r>
      <w:r>
        <w:rPr>
          <w:rFonts w:cs="Arial"/>
          <w:sz w:val="24"/>
          <w:szCs w:val="24"/>
        </w:rPr>
        <w:t>PostgreSQL/PostGIS</w:t>
      </w:r>
      <w:r>
        <w:rPr>
          <w:rFonts w:cs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 xml:space="preserve">وعرضها على خريطة مركزية تشبه </w:t>
      </w:r>
      <w:r>
        <w:rPr>
          <w:rFonts w:cs="Arial"/>
          <w:sz w:val="24"/>
          <w:szCs w:val="24"/>
        </w:rPr>
        <w:t>Google Hybrid</w:t>
      </w:r>
      <w:r>
        <w:rPr>
          <w:rFonts w:cs="Arial"/>
          <w:sz w:val="24"/>
          <w:szCs w:val="24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اعتماد </w:t>
      </w:r>
      <w:r>
        <w:rPr>
          <w:rFonts w:cs="Arial"/>
          <w:sz w:val="23"/>
          <w:szCs w:val="23"/>
        </w:rPr>
        <w:t>schema gis_data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كمصدر الطبقات المكانية الفعلية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حفظ إعدادات الاتصال المشتركة مرة واحدة، مع اختلاف اسم قاعدة البيانات بين المشاريع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قراءة الطبقات من </w:t>
      </w:r>
      <w:r>
        <w:rPr>
          <w:rFonts w:cs="Arial"/>
          <w:sz w:val="23"/>
          <w:szCs w:val="23"/>
        </w:rPr>
        <w:t>geometry_columns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مع </w:t>
      </w:r>
      <w:r>
        <w:rPr>
          <w:rFonts w:cs="Arial"/>
          <w:sz w:val="23"/>
          <w:szCs w:val="23"/>
        </w:rPr>
        <w:t>fallback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على أعمدة </w:t>
      </w:r>
      <w:r>
        <w:rPr>
          <w:rFonts w:cs="Arial"/>
          <w:sz w:val="23"/>
          <w:szCs w:val="23"/>
        </w:rPr>
        <w:t>geometry/geography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تحميل المعالم حسب </w:t>
      </w:r>
      <w:r>
        <w:rPr>
          <w:rFonts w:cs="Arial"/>
          <w:sz w:val="23"/>
          <w:szCs w:val="23"/>
        </w:rPr>
        <w:t>bbox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</w:t>
      </w:r>
      <w:r>
        <w:rPr>
          <w:rFonts w:cs="Arial"/>
          <w:sz w:val="23"/>
          <w:szCs w:val="23"/>
        </w:rPr>
        <w:t>limit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لتجنب تحميل كامل قاعدة </w:t>
      </w:r>
      <w:r>
        <w:rPr>
          <w:rFonts w:cs="Arial"/>
          <w:sz w:val="23"/>
          <w:szCs w:val="23"/>
        </w:rPr>
        <w:t>QGIS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دفعة واحدة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تحديد كل الطبقات افتراضياً عند أول تحميل، مع إمكانية إلغاء أي طبقة من الواجهة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اختيار كل المشاريع يعرض طبقات كل المشاريع النشطة، وفشل طبقة لا يمنع ظهور البقية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قراءة ستايلات </w:t>
      </w:r>
      <w:r>
        <w:rPr>
          <w:rFonts w:cs="Arial"/>
          <w:sz w:val="23"/>
          <w:szCs w:val="23"/>
        </w:rPr>
        <w:t>QGIS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من </w:t>
      </w:r>
      <w:r>
        <w:rPr>
          <w:rFonts w:cs="Arial"/>
          <w:sz w:val="23"/>
          <w:szCs w:val="23"/>
        </w:rPr>
        <w:t>gis_data.layer_styles</w:t>
      </w:r>
      <w:r>
        <w:rPr>
          <w:rFonts w:ascii="Arial" w:hAnsi="Arial"/>
          <w:sz w:val="23"/>
          <w:szCs w:val="23"/>
          <w:rtl w:val="true"/>
        </w:rPr>
        <w:t xml:space="preserve">، وتطبيق الألوان والسماكات والشفافية وأشكال </w:t>
      </w:r>
      <w:r>
        <w:rPr>
          <w:rFonts w:cs="Arial"/>
          <w:sz w:val="23"/>
          <w:szCs w:val="23"/>
        </w:rPr>
        <w:t>marker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دعم </w:t>
      </w:r>
      <w:r>
        <w:rPr>
          <w:rFonts w:cs="Arial"/>
          <w:sz w:val="23"/>
          <w:szCs w:val="23"/>
        </w:rPr>
        <w:t>SvgMarker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عبر قراءة ملفات </w:t>
      </w:r>
      <w:r>
        <w:rPr>
          <w:rFonts w:cs="Arial"/>
          <w:sz w:val="23"/>
          <w:szCs w:val="23"/>
        </w:rPr>
        <w:t>SVG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من مكتبة </w:t>
      </w:r>
      <w:r>
        <w:rPr>
          <w:rFonts w:cs="Arial"/>
          <w:sz w:val="23"/>
          <w:szCs w:val="23"/>
        </w:rPr>
        <w:t>QGIS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المحلية مثل </w:t>
      </w:r>
      <w:r>
        <w:rPr>
          <w:rFonts w:cs="Arial"/>
          <w:sz w:val="23"/>
          <w:szCs w:val="23"/>
          <w:rtl w:val="true"/>
        </w:rPr>
        <w:t>/</w:t>
      </w:r>
      <w:r>
        <w:rPr>
          <w:rFonts w:cs="Arial"/>
          <w:sz w:val="23"/>
          <w:szCs w:val="23"/>
        </w:rPr>
        <w:t>usr/share/qgis/svg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وتلوينها حسب </w:t>
      </w:r>
      <w:r>
        <w:rPr>
          <w:rFonts w:cs="Arial"/>
          <w:sz w:val="23"/>
          <w:szCs w:val="23"/>
        </w:rPr>
        <w:t>QML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إضافة زر استعلام لعرض خصائص النقطة أو الخط أو المضلع في بطاقة مرتبة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>إضافة زر شاشة كاملة للخريطة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جدول المشاكل والحلول</w:t>
      </w:r>
    </w:p>
    <w:tbl>
      <w:tblPr>
        <w:tblStyle w:val="TableGrid"/>
        <w:bidiVisual w:val="true"/>
        <w:tblW w:w="5000" w:type="pct"/>
        <w:jc w:val="left"/>
        <w:tblInd w:w="133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94"/>
        <w:gridCol w:w="3266"/>
        <w:gridCol w:w="4246"/>
      </w:tblGrid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المشكلة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الأثر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الحل المعتمد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React Query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بعد تبديل الحساب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ظهور بيانات حساب سابق بعد تسجيل الدخول بحساب جديد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تفريغ كاش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React Query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عند تسجيل الدخول والخروج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geometry_columns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غير موجودة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فشل قراءة طبقات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PostGIS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في بعض قواعد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QGIS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استخدام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public.geometry_columns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مع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fallback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على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information_schema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ST_SRID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غير معروفة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فشل تحميل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GeoJSON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بسبب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search_path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تأهيل دوال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PostGIS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بصيغة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public.ST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_*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وإضافة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public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إلى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search_path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Seeder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لا يستطيع إدخال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host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فارغ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فشل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ProjectMasterSeeder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بسبب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NOT NULL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توحيد إعدادات الاتصال المشتركة وتعبئة الحقول اللازمة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عرض مشروع واحد عند اختيار كل المشاريع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عدم ظهور كل الطبقات أو توقف التحميل عند فشل طبقة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اختيار كل الطبقات افتراضياً وجعل فشل طبقة لا يمنع الباقي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ستايل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QGIS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لا يظهر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الخريطة تعرض ألواناً عامة بدل ستايل المشروع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قراءة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layer_styles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، ثم دعم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SvgMarker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من مكتبة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QGIS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المحلية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2394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شكل بوب آب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Project Master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ضعيف</w:t>
            </w:r>
          </w:p>
        </w:tc>
        <w:tc>
          <w:tcPr>
            <w:tcW w:w="326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تجربة استخدام غير مناسبة</w:t>
            </w:r>
          </w:p>
        </w:tc>
        <w:tc>
          <w:tcPr>
            <w:tcW w:w="4246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تحسين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layout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الحقول والأزرار والتباعد والاستجابة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</w:tbl>
    <w:p>
      <w:pPr>
        <w:pStyle w:val="BodyText"/>
        <w:bidi w:val="1"/>
        <w:spacing w:lineRule="auto" w:line="360" w:before="0" w:after="80"/>
        <w:jc w:val="left"/>
        <w:rPr/>
      </w:pPr>
      <w:r>
        <w:rPr>
          <w:rFonts w:cs="Arial"/>
          <w:sz w:val="24"/>
          <w:szCs w:val="24"/>
          <w:rtl w:val="true"/>
        </w:rPr>
        <w:t xml:space="preserve"> 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جدول التحقق والجودة</w:t>
      </w:r>
    </w:p>
    <w:tbl>
      <w:tblPr>
        <w:tblStyle w:val="TableGrid"/>
        <w:bidiVisual w:val="true"/>
        <w:tblW w:w="5000" w:type="pct"/>
        <w:jc w:val="left"/>
        <w:tblInd w:w="133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3301"/>
        <w:gridCol w:w="6605"/>
      </w:tblGrid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نوع التحقق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06312D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b/>
                <w:b/>
                <w:bCs/>
                <w:color w:val="FFFFFF"/>
                <w:kern w:val="0"/>
                <w:sz w:val="22"/>
                <w:szCs w:val="22"/>
                <w:rtl w:val="true"/>
              </w:rPr>
              <w:t>النتيجة</w:t>
            </w:r>
          </w:p>
        </w:tc>
      </w:tr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npm run build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نجح بعد تعديلات الواجهة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php -l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نجح لملفات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Project Master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ومولّد التقرير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php artisan migrate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تم تطبيق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migration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اعتماد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gis_data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اختبار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homs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8FBFA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تمت قراءة الطبقات و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SvgMarker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ورجوع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svg_data_uri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  <w:tr>
        <w:trPr/>
        <w:tc>
          <w:tcPr>
            <w:tcW w:w="3301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cs="Arial"/>
                <w:color w:val="12211F"/>
                <w:kern w:val="0"/>
                <w:sz w:val="22"/>
                <w:szCs w:val="22"/>
              </w:rPr>
              <w:t>DOCX</w:t>
            </w:r>
          </w:p>
        </w:tc>
        <w:tc>
          <w:tcPr>
            <w:tcW w:w="6605" w:type="dxa"/>
            <w:tcBorders>
              <w:top w:val="single" w:sz="6" w:space="0" w:color="D9E4E1"/>
              <w:left w:val="single" w:sz="6" w:space="0" w:color="D9E4E1"/>
              <w:bottom w:val="single" w:sz="6" w:space="0" w:color="D9E4E1"/>
              <w:right w:val="single" w:sz="6" w:space="0" w:color="D9E4E1"/>
            </w:tcBorders>
            <w:shd w:fill="FFFFFF" w:val="clear"/>
          </w:tcPr>
          <w:p>
            <w:pPr>
              <w:pStyle w:val="Normal"/>
              <w:widowControl/>
              <w:bidi w:val="1"/>
              <w:spacing w:lineRule="auto" w:line="360" w:before="0" w:after="0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 xml:space="preserve">تم فحص بنية </w:t>
            </w:r>
            <w:r>
              <w:rPr>
                <w:rFonts w:cs="Arial"/>
                <w:color w:val="12211F"/>
                <w:kern w:val="0"/>
                <w:sz w:val="22"/>
                <w:szCs w:val="22"/>
              </w:rPr>
              <w:t>word/document.xml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/>
                <w:color w:val="12211F"/>
                <w:kern w:val="0"/>
                <w:sz w:val="22"/>
                <w:szCs w:val="22"/>
                <w:rtl w:val="true"/>
              </w:rPr>
              <w:t>والنص العربي</w:t>
            </w:r>
            <w:r>
              <w:rPr>
                <w:rFonts w:cs="Arial"/>
                <w:color w:val="12211F"/>
                <w:kern w:val="0"/>
                <w:sz w:val="22"/>
                <w:szCs w:val="22"/>
                <w:rtl w:val="true"/>
              </w:rPr>
              <w:t>.</w:t>
            </w:r>
          </w:p>
        </w:tc>
      </w:tr>
    </w:tbl>
    <w:p>
      <w:pPr>
        <w:pStyle w:val="BodyText"/>
        <w:bidi w:val="1"/>
        <w:spacing w:lineRule="auto" w:line="360" w:before="0" w:after="80"/>
        <w:jc w:val="left"/>
        <w:rPr/>
      </w:pPr>
      <w:r>
        <w:rPr>
          <w:rFonts w:cs="Arial"/>
          <w:sz w:val="24"/>
          <w:szCs w:val="24"/>
          <w:rtl w:val="true"/>
        </w:rPr>
        <w:t xml:space="preserve"> </w:t>
      </w:r>
    </w:p>
    <w:p>
      <w:pPr>
        <w:pStyle w:val="Heading1"/>
        <w:pBdr>
          <w:bottom w:val="single" w:sz="10" w:space="4" w:color="0D655B"/>
        </w:pBdr>
        <w:shd w:fill="E7F1EF" w:val="clear"/>
        <w:bidi w:val="1"/>
        <w:spacing w:before="260" w:after="130"/>
        <w:jc w:val="left"/>
        <w:rPr/>
      </w:pPr>
      <w:r>
        <w:rPr>
          <w:rFonts w:ascii="Arial" w:hAnsi="Arial"/>
          <w:b/>
          <w:b/>
          <w:bCs/>
          <w:color w:val="06312D"/>
          <w:sz w:val="30"/>
          <w:szCs w:val="30"/>
          <w:rtl w:val="true"/>
        </w:rPr>
        <w:t>توصيات لاحقة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عند تضخم قواعد </w:t>
      </w:r>
      <w:r>
        <w:rPr>
          <w:rFonts w:cs="Arial"/>
          <w:sz w:val="23"/>
          <w:szCs w:val="23"/>
        </w:rPr>
        <w:t>QGIS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يفضل الانتقال إلى </w:t>
      </w:r>
      <w:r>
        <w:rPr>
          <w:rFonts w:cs="Arial"/>
          <w:sz w:val="23"/>
          <w:szCs w:val="23"/>
        </w:rPr>
        <w:t>Vector Tiles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أو تحميل أكثر ذكاء حسب </w:t>
      </w:r>
      <w:r>
        <w:rPr>
          <w:rFonts w:cs="Arial"/>
          <w:sz w:val="23"/>
          <w:szCs w:val="23"/>
        </w:rPr>
        <w:t>bbox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</w:t>
      </w:r>
      <w:r>
        <w:rPr>
          <w:rFonts w:cs="Arial"/>
          <w:sz w:val="23"/>
          <w:szCs w:val="23"/>
        </w:rPr>
        <w:t>zoom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يمكن لاحقاً قراءة ملف </w:t>
      </w:r>
      <w:r>
        <w:rPr>
          <w:rFonts w:cs="Arial"/>
          <w:sz w:val="23"/>
          <w:szCs w:val="23"/>
        </w:rPr>
        <w:t>gis_project.qgis_projects.content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كاملاً لدعم إعدادات مشروع أوسع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يفضل نقل </w:t>
      </w:r>
      <w:r>
        <w:rPr>
          <w:rFonts w:cs="Arial"/>
          <w:sz w:val="23"/>
          <w:szCs w:val="23"/>
        </w:rPr>
        <w:t>CSS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الكبير تدريجياً إلى ملفات </w:t>
      </w:r>
      <w:r>
        <w:rPr>
          <w:rFonts w:cs="Arial"/>
          <w:sz w:val="23"/>
          <w:szCs w:val="23"/>
        </w:rPr>
        <w:t>scoped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حسب الصفحات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إضافة اختبارات </w:t>
      </w:r>
      <w:r>
        <w:rPr>
          <w:rFonts w:cs="Arial"/>
          <w:sz w:val="23"/>
          <w:szCs w:val="23"/>
        </w:rPr>
        <w:t>Feature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 xml:space="preserve">لمسارات </w:t>
      </w:r>
      <w:r>
        <w:rPr>
          <w:rFonts w:cs="Arial"/>
          <w:sz w:val="23"/>
          <w:szCs w:val="23"/>
        </w:rPr>
        <w:t>Project Master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وفحص الصلاحيات</w:t>
      </w:r>
      <w:r>
        <w:rPr>
          <w:rFonts w:cs="Arial"/>
          <w:sz w:val="23"/>
          <w:szCs w:val="23"/>
          <w:rtl w:val="true"/>
        </w:rPr>
        <w:t>.</w:t>
      </w:r>
    </w:p>
    <w:p>
      <w:pPr>
        <w:pStyle w:val="ListParagraph"/>
        <w:bidi w:val="1"/>
        <w:spacing w:lineRule="auto" w:line="331" w:before="0" w:after="80"/>
        <w:ind w:hanging="260" w:right="520"/>
        <w:jc w:val="left"/>
        <w:rPr/>
      </w:pPr>
      <w:r>
        <w:rPr>
          <w:rFonts w:cs="Arial"/>
          <w:sz w:val="23"/>
          <w:szCs w:val="23"/>
          <w:rtl w:val="true"/>
        </w:rPr>
        <w:t xml:space="preserve">• </w:t>
      </w:r>
      <w:r>
        <w:rPr>
          <w:rFonts w:ascii="Arial" w:hAnsi="Arial"/>
          <w:sz w:val="23"/>
          <w:szCs w:val="23"/>
          <w:rtl w:val="true"/>
        </w:rPr>
        <w:t xml:space="preserve">تجهيز مصدر </w:t>
      </w:r>
      <w:r>
        <w:rPr>
          <w:rFonts w:cs="Arial"/>
          <w:sz w:val="23"/>
          <w:szCs w:val="23"/>
        </w:rPr>
        <w:t>tiles</w:t>
      </w:r>
      <w:r>
        <w:rPr>
          <w:rFonts w:cs="Arial"/>
          <w:sz w:val="23"/>
          <w:szCs w:val="23"/>
          <w:rtl w:val="true"/>
        </w:rPr>
        <w:t xml:space="preserve"> </w:t>
      </w:r>
      <w:r>
        <w:rPr>
          <w:rFonts w:ascii="Arial" w:hAnsi="Arial"/>
          <w:sz w:val="23"/>
          <w:szCs w:val="23"/>
          <w:rtl w:val="true"/>
        </w:rPr>
        <w:t>داخلي إذا كانت بيئة التشغيل لا تسمح بالإنترنت</w:t>
      </w:r>
      <w:r>
        <w:rPr>
          <w:rFonts w:cs="Arial"/>
          <w:sz w:val="23"/>
          <w:szCs w:val="23"/>
          <w:rtl w:val="true"/>
        </w:rPr>
        <w:t>.</w:t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0" w:after="0"/>
      <w:jc w:val="right"/>
    </w:pPr>
    <w:rPr>
      <w:rFonts w:ascii="Arial" w:hAnsi="Arial" w:eastAsia="Noto Serif CJK SC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qFormat/>
    <w:pPr>
      <w:keepNext w:val="true"/>
      <w:widowControl/>
      <w:bidi w:val="1"/>
      <w:spacing w:lineRule="auto" w:line="360" w:before="0" w:after="0"/>
      <w:jc w:val="right"/>
    </w:pPr>
    <w:rPr>
      <w:rFonts w:ascii="Arial" w:hAnsi="Arial" w:eastAsia="Noto Serif CJK SC" w:cs="Arial"/>
      <w:b/>
      <w:bCs/>
      <w:color w:val="06312D"/>
      <w:kern w:val="0"/>
      <w:sz w:val="30"/>
      <w:szCs w:val="3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pPr>
      <w:widowControl/>
      <w:bidi w:val="1"/>
      <w:spacing w:lineRule="auto" w:line="360" w:before="0" w:after="120"/>
      <w:jc w:val="right"/>
    </w:pPr>
    <w:rPr>
      <w:rFonts w:ascii="Arial" w:hAnsi="Arial" w:cs="Arial" w:eastAsia="Noto Serif CJK SC"/>
      <w:color w:val="auto"/>
      <w:kern w:val="0"/>
      <w:sz w:val="24"/>
      <w:szCs w:val="24"/>
      <w:lang w:val="en-US" w:eastAsia="zh-CN" w:bidi="hi-I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qFormat/>
    <w:pPr>
      <w:widowControl/>
      <w:bidi w:val="1"/>
      <w:spacing w:lineRule="auto" w:line="360" w:before="0" w:after="0"/>
      <w:jc w:val="right"/>
    </w:pPr>
    <w:rPr>
      <w:rFonts w:ascii="Arial" w:hAnsi="Arial" w:eastAsia="Noto Serif CJK SC" w:cs="Arial"/>
      <w:color w:val="auto"/>
      <w:kern w:val="0"/>
      <w:sz w:val="23"/>
      <w:szCs w:val="23"/>
      <w:lang w:val="en-US" w:eastAsia="zh-CN" w:bidi="hi-IN"/>
    </w:rPr>
  </w:style>
  <w:style w:type="table" w:styleId="TableGrid">
    <w:name w:val="Table Grid"/>
    <w:tblPr>
      <w:tblBorders>
        <w:top w:val="single" w:color="D9E4E1" w:sz="4"/>
        <w:left w:val="single" w:color="D9E4E1" w:sz="4"/>
        <w:bottom w:val="single" w:color="D9E4E1" w:sz="4"/>
        <w:right w:val="single" w:color="D9E4E1" w:sz="4"/>
        <w:insideH w:val="single" w:color="D9E4E1" w:sz="4"/>
        <w:insideV w:val="single" w:color="D9E4E1" w:sz="4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4</Pages>
  <Words>725</Words>
  <Characters>3806</Characters>
  <CharactersWithSpaces>4437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2026-06-20T17:33:22Z</cp:lastPrinted>
  <dcterms:modified xsi:type="dcterms:W3CDTF">2026-06-20T17:33:26Z</dcterms:modified>
  <cp:revision>1</cp:revision>
  <dc:subject/>
  <dc:title/>
</cp:coreProperties>
</file>