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Muhammad Hammad Durrani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7A8A"/>
          <w:sz w:val="26"/>
          <w:szCs w:val="26"/>
        </w:rPr>
        <w:t xml:space="preserve">Data Scientist  ·  ML Engineer  ·  Python</w:t>
      </w:r>
    </w:p>
    <w:p>
      <w:pPr>
        <w:pBdr>
          <w:bottom w:val="single" w:color="1A7A8A" w:sz="12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EEG-Based Seizure Detection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Using Machine Learning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8A93A6"/>
          <w:sz w:val="22"/>
          <w:szCs w:val="22"/>
        </w:rPr>
        <w:t xml:space="preserve">End-to-end pipeline: EDF signal processing → ensemble classification</w:t>
      </w:r>
    </w:p>
    <w:p>
      <w:pPr>
        <w:pBdr>
          <w:bottom w:val="single" w:color="D0D5E0" w:sz="4"/>
        </w:pBdr>
        <w:spacing w:after="100" w:before="10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Dataset: American University of Beirut Medical Center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6 Patients  ·  EEG Seizure Detection  ·  Python / scikit-learn / MNE-Python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7A8A"/>
          <w:sz w:val="20"/>
          <w:szCs w:val="20"/>
        </w:rPr>
        <w:t xml:space="preserve">github.com/mhammaddurrani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Abstract</w:t>
      </w:r>
    </w:p>
    <w:p>
      <w:pPr>
        <w:pBdr>
          <w:bottom w:val="single" w:color="1A7A8A" w:sz="8" w:space="1"/>
        </w:pBdr>
        <w:spacing w:after="80" w:before="160"/>
      </w:pP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study builds a complete machine learning pipeline for epileptic seizure detection using scalp EEG recordings from six drug-resistant patients. The core challenge — extreme class imbalance where seizures represent less than 5% of all recordings — is addressed with RandomOverSampler, delivering F1-score improvements of 108–252% across all models. Four classifiers are compared: Random Forest, Decision Tree, Voting Ensemble, and Stacking Ensemble. The stacking classifier achieves 99.85% F1-score with perfect 1.00 precision on the balanced dataset, demonstrating that proper class balancing is more impactful than model complexity alone.</w:t>
      </w:r>
    </w:p>
    <w:p>
      <w:pPr>
        <w:spacing w:after="2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Dataset</w:t>
      </w:r>
    </w:p>
    <w:p>
      <w:pPr>
        <w:pBdr>
          <w:bottom w:val="single" w:color="1A7A8A" w:sz="8" w:space="1"/>
        </w:pBdr>
        <w:spacing w:after="80" w:before="160"/>
      </w:pP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EEG recordings were collected at the Epilepsy Monitoring Unit of the American University of Beirut Medical Center between January 2014 and July 2015. Six drug-resistant epilepsy patients underwent continuous scalp EEG monitoring during pre-surgical evaluation, yielding 3–14 seizure events per patient across 24–72 hour recording sessions.</w:t>
      </w:r>
    </w:p>
    <w:p>
      <w:pPr>
        <w:spacing w:after="8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2.1  Technical Specifications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8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4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Electrode Configuration</w:t>
            </w:r>
          </w:p>
        </w:tc>
        <w:tc>
          <w:tcPr>
            <w:tcW w:type="dxa" w:w="48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21 channels (10-20 system)</w:t>
            </w:r>
          </w:p>
        </w:tc>
      </w:tr>
      <w:tr>
        <w:tc>
          <w:tcPr>
            <w:tcW w:type="dxa" w:w="4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Sampling Frequency</w:t>
            </w:r>
          </w:p>
        </w:tc>
        <w:tc>
          <w:tcPr>
            <w:tcW w:type="dxa" w:w="48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500 Hz</w:t>
            </w:r>
          </w:p>
        </w:tc>
      </w:tr>
      <w:tr>
        <w:tc>
          <w:tcPr>
            <w:tcW w:type="dxa" w:w="4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Recording Hardware</w:t>
            </w:r>
          </w:p>
        </w:tc>
        <w:tc>
          <w:tcPr>
            <w:tcW w:type="dxa" w:w="48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Nihon Kohden JE-921A</w:t>
            </w:r>
          </w:p>
        </w:tc>
      </w:tr>
      <w:tr>
        <w:tc>
          <w:tcPr>
            <w:tcW w:type="dxa" w:w="4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Bandpass Filter</w:t>
            </w:r>
          </w:p>
        </w:tc>
        <w:tc>
          <w:tcPr>
            <w:tcW w:type="dxa" w:w="48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1.6 – 70 Hz (Butterworth 4th order)</w:t>
            </w:r>
          </w:p>
        </w:tc>
      </w:tr>
      <w:tr>
        <w:tc>
          <w:tcPr>
            <w:tcW w:type="dxa" w:w="4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Notch Filter</w:t>
            </w:r>
          </w:p>
        </w:tc>
        <w:tc>
          <w:tcPr>
            <w:tcW w:type="dxa" w:w="48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50 Hz (IIR)</w:t>
            </w:r>
          </w:p>
        </w:tc>
      </w:tr>
      <w:tr>
        <w:tc>
          <w:tcPr>
            <w:tcW w:type="dxa" w:w="4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Recording Duration</w:t>
            </w:r>
          </w:p>
        </w:tc>
        <w:tc>
          <w:tcPr>
            <w:tcW w:type="dxa" w:w="48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24 – 72 hours per patient</w:t>
            </w:r>
          </w:p>
        </w:tc>
      </w:tr>
      <w:tr>
        <w:tc>
          <w:tcPr>
            <w:tcW w:type="dxa" w:w="4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Seizure Events per Patient</w:t>
            </w:r>
          </w:p>
        </w:tc>
        <w:tc>
          <w:tcPr>
            <w:tcW w:type="dxa" w:w="48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 – 14</w:t>
            </w:r>
          </w:p>
        </w:tc>
      </w:tr>
      <w:tr>
        <w:tc>
          <w:tcPr>
            <w:tcW w:type="dxa" w:w="4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48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EDF+ with clinical annotations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2.2  Key Challenges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Severe class imbalance — seizures occupy less than 5% of total recording time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Inter-patient variability — diverse seizure semiology and electrode foci across 6 patients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Artifact contamination — muscle movement, patient motion, and electrical interference</w:t>
      </w:r>
    </w:p>
    <w:p>
      <w:pPr>
        <w:spacing w:after="2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Preprocessing Pipeline</w:t>
      </w:r>
    </w:p>
    <w:p>
      <w:pPr>
        <w:pBdr>
          <w:bottom w:val="single" w:color="1A7A8A" w:sz="8" w:space="1"/>
        </w:pBdr>
        <w:spacing w:after="80" w:before="160"/>
      </w:pP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Raw EDF files are processed through a reproducible pipeline before any model training. Each stage is designed to maximise signal quality and clinical interpretability while keeping computational cost manageable.</w:t>
      </w:r>
    </w:p>
    <w:p>
      <w:pPr>
        <w:spacing w:after="8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3.1  Channel Selection &amp; Standardisation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21 channels are reduced to 19 standard locations by removing FT9 and FT10, which were excluded from several recordings due to artifact constraints. MNE-Python's pick_types() function handles standardisation across all patient files, ensuring consistent feature dimensionality.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3.2  Downsampling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Signals are downsampled from 500 Hz to 50 Hz (factor of 10). A 101-tap FIR anti-aliasing filter with a 25 Hz cutoff (Hamming window) is applied before decimation to prevent aliasing while preserving all clinically relevant EEG frequency bands (delta, theta, alpha, beta).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3.3  Epoch Segmentation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EEG is split into 5-second non-overlapping windows (250 samples at 50 Hz). This window length provides sufficient temporal resolution to capture seizure onset dynamics while keeping each epoch computationally tractable as a feature vector for ML processing.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3.4  Class Balancing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raw dataset contains approximately 100,000 non-seizure epochs against only 15,668 seizure epochs — a roughly 6:1 imbalance. RandomOverSampler duplicates minority-class samples randomly until a 1:1 balance is achieved, producing a 200,000-sample balanced corpus for training.</w:t>
      </w:r>
    </w:p>
    <w:p>
      <w:pPr>
        <w:spacing w:after="8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8A93A6"/>
          <w:sz w:val="18"/>
          <w:szCs w:val="18"/>
        </w:rPr>
        <w:t xml:space="preserve">Figure 1 — Class distribution before and after RandomOverSampler</w:t>
      </w:r>
    </w:p>
    <w:p>
      <w:pPr>
        <w:spacing w:after="8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3.5  Balancing Technique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26"/>
      </w:tblGrid>
      <w:tr>
        <w:trPr>
          <w:tblHeader/>
        </w:trPr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Improvement</w:t>
            </w:r>
          </w:p>
        </w:tc>
        <w:tc>
          <w:tcPr>
            <w:tcW w:type="dxa" w:w="2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 (s)</w:t>
            </w:r>
          </w:p>
        </w:tc>
      </w:tr>
      <w:tr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RandomOverSampler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108 – 250%</w:t>
            </w:r>
          </w:p>
        </w:tc>
        <w:tc>
          <w:tcPr>
            <w:tcW w:type="dxa" w:w="2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SMOTE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95 – 210%</w:t>
            </w:r>
          </w:p>
        </w:tc>
        <w:tc>
          <w:tcPr>
            <w:tcW w:type="dxa" w:w="2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18.7</w:t>
            </w:r>
          </w:p>
        </w:tc>
      </w:tr>
      <w:tr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ADASYN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87 – 195%</w:t>
            </w:r>
          </w:p>
        </w:tc>
        <w:tc>
          <w:tcPr>
            <w:tcW w:type="dxa" w:w="2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21.3</w:t>
            </w:r>
          </w:p>
        </w:tc>
      </w:tr>
    </w:tbl>
    <w:p>
      <w:pPr>
        <w:spacing w:after="80" w:before="0"/>
      </w:pP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RandomOverSampler outperforms both SMOTE and ADASYN on this dataset — delivering the highest F1 improvement at the lowest computational cost. Its simplicity also makes the results more interpretable.</w:t>
      </w:r>
    </w:p>
    <w:p>
      <w:pPr>
        <w:spacing w:after="2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Machine Learning Models</w:t>
      </w:r>
    </w:p>
    <w:p>
      <w:pPr>
        <w:pBdr>
          <w:bottom w:val="single" w:color="1A7A8A" w:sz="8" w:space="1"/>
        </w:pBdr>
        <w:spacing w:after="80" w:before="160"/>
      </w:pP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Four classifiers representing distinct ML paradigms are trained and evaluated — from a simple interpretable baseline through to an advanced meta-learning ensemble.</w:t>
      </w:r>
    </w:p>
    <w:p>
      <w:pPr>
        <w:spacing w:after="8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4.1  Random Forest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 ensemble of 100 decision trees, each trained on a bootstrap sample with random feature subsets (sqrt(n_features) per split). Gini impurity is used as the split criterion. Setting min_samples_leaf = 5 prevents overfitting to noisy EEG segments. Training time: 112.7 seconds. Memory: 1,450 MB.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4.2  Decision Tree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single CART tree serves as the interpretable baseline. While the fastest model to train (4.2 seconds, 320 MB), it is the most prone to overfitting — particularly on the majority class in the unbalanced setting where it falls to a 0.38 F1-score.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4.3  Hard Voting Classifier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Four base learners vote by majority: Decision Tree, k-NN (k=5), Random Forest, and Gaussian Naive Bayes. Algorithmic diversity provides robustness, though inconsistent base model probabilities limit peak performance on imbalanced data (F1 = 0.28 unbalanced).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4.4  Stacking Classifier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two-level meta-learning architecture. Level 0 base models (Random Forest, Decision Tree, Logistic Regression, k-NN) are trained via 5-fold cross-validation; their out-of-fold predictions form a meta-feature matrix. A Logistic Regression meta-learner with L2 regularisation is trained on these meta-features at Level 1. SelectKBest (k=19, f_classif) is applied to the training set before stacking.</w:t>
      </w:r>
    </w:p>
    <w:p>
      <w:pPr>
        <w:spacing w:after="8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6197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8A93A6"/>
          <w:sz w:val="18"/>
          <w:szCs w:val="18"/>
        </w:rPr>
        <w:t xml:space="preserve">Figure 2 — Two-level stacking classifier architecture</w:t>
      </w:r>
    </w:p>
    <w:p>
      <w:pPr>
        <w:spacing w:after="2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Experimental Results</w:t>
      </w:r>
    </w:p>
    <w:p>
      <w:pPr>
        <w:pBdr>
          <w:bottom w:val="single" w:color="1A7A8A" w:sz="8" w:space="1"/>
        </w:pBdr>
        <w:spacing w:after="8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5.1  Unbalanced Dataset Baseline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models are evaluated on the raw imbalanced data first. High accuracy figures are misleading — the models learn to predict the majority class almost exclusively, missing the vast majority of actual seizures.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56"/>
        <w:gridCol w:w="1657"/>
        <w:gridCol w:w="1656"/>
        <w:gridCol w:w="1657"/>
      </w:tblGrid>
      <w:tr>
        <w:trPr>
          <w:tblHeader/>
        </w:trP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0.4257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0.9016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0.2712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0.3765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0.8143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0.4168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0.30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Voting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0.2782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0.8854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0.1642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Stacking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0.4842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0.9046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0.3329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0.90</w:t>
            </w:r>
          </w:p>
        </w:tc>
      </w:tr>
    </w:tbl>
    <w:p>
      <w:pPr>
        <w:spacing w:after="80" w:before="0"/>
      </w:pP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Recall values of 0.16–0.42 mean the majority of actual seizures go undetected. This is clinically unacceptable — missed seizures directly impact patient safety and surgical planning decisions.</w:t>
      </w:r>
    </w:p>
    <w:p>
      <w:pPr>
        <w:spacing w:after="12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5.2  Balanced Dataset Results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After applying RandomOverSampler, all metrics improve dramatically. Recall increases 3–6x across every model, confirming class imbalance was the dominant bottleneck — not the model architecture.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56"/>
        <w:gridCol w:w="1657"/>
        <w:gridCol w:w="1656"/>
        <w:gridCol w:w="1657"/>
      </w:tblGrid>
      <w:tr>
        <w:trPr>
          <w:tblHeader/>
        </w:trP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0.9977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0.9977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0.9977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0.9361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0.9319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0.9980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Voting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0.9800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0.9801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0.9774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Stacking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0.9985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0.9985</w:t>
            </w:r>
          </w:p>
        </w:tc>
        <w:tc>
          <w:tcPr>
            <w:tcW w:type="dxa" w:w="165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0.9976</w:t>
            </w:r>
          </w:p>
        </w:tc>
        <w:tc>
          <w:tcPr>
            <w:tcW w:type="dxa" w:w="1657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1.00</w:t>
            </w:r>
          </w:p>
        </w:tc>
      </w:tr>
    </w:tbl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61975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8A93A6"/>
          <w:sz w:val="18"/>
          <w:szCs w:val="18"/>
        </w:rPr>
        <w:t xml:space="preserve">Figure 3 — All metrics: balanced (solid) vs unbalanced (faded) for each model</w:t>
      </w:r>
    </w:p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8A93A6"/>
          <w:sz w:val="18"/>
          <w:szCs w:val="18"/>
        </w:rPr>
        <w:t xml:space="preserve">Figure 4 — F1-Score comparison: unbalanced vs balanced dataset</w:t>
      </w:r>
    </w:p>
    <w:p>
      <w:pPr>
        <w:spacing w:after="12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5.3  Improvement Summary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600"/>
        <w:gridCol w:w="15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(Unbalanced)</w:t>
            </w:r>
          </w:p>
        </w:tc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(Balanced)</w:t>
            </w:r>
          </w:p>
        </w:tc>
        <w:tc>
          <w:tcPr>
            <w:tcW w:type="dxa" w:w="1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1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 Gain</w:t>
            </w:r>
          </w:p>
        </w:tc>
      </w:tr>
      <w:tr>
        <w:tc>
          <w:tcPr>
            <w:tcW w:type="dxa" w:w="1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0.4257</w:t>
            </w:r>
          </w:p>
        </w:tc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0.9977</w:t>
            </w:r>
          </w:p>
        </w:tc>
        <w:tc>
          <w:tcPr>
            <w:tcW w:type="dxa" w:w="1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+134%</w:t>
            </w:r>
          </w:p>
        </w:tc>
        <w:tc>
          <w:tcPr>
            <w:tcW w:type="dxa" w:w="1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3.7×</w:t>
            </w:r>
          </w:p>
        </w:tc>
      </w:tr>
      <w:tr>
        <w:tc>
          <w:tcPr>
            <w:tcW w:type="dxa" w:w="1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0.3765</w:t>
            </w:r>
          </w:p>
        </w:tc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0.9361</w:t>
            </w:r>
          </w:p>
        </w:tc>
        <w:tc>
          <w:tcPr>
            <w:tcW w:type="dxa" w:w="1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+149%</w:t>
            </w:r>
          </w:p>
        </w:tc>
        <w:tc>
          <w:tcPr>
            <w:tcW w:type="dxa" w:w="1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2.4×</w:t>
            </w:r>
          </w:p>
        </w:tc>
      </w:tr>
      <w:tr>
        <w:tc>
          <w:tcPr>
            <w:tcW w:type="dxa" w:w="1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Voting</w:t>
            </w:r>
          </w:p>
        </w:tc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0.2782</w:t>
            </w:r>
          </w:p>
        </w:tc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0.9800</w:t>
            </w:r>
          </w:p>
        </w:tc>
        <w:tc>
          <w:tcPr>
            <w:tcW w:type="dxa" w:w="1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+252%</w:t>
            </w:r>
          </w:p>
        </w:tc>
        <w:tc>
          <w:tcPr>
            <w:tcW w:type="dxa" w:w="1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5.9×</w:t>
            </w:r>
          </w:p>
        </w:tc>
      </w:tr>
      <w:tr>
        <w:tc>
          <w:tcPr>
            <w:tcW w:type="dxa" w:w="1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Stacking</w:t>
            </w:r>
          </w:p>
        </w:tc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0.4842</w:t>
            </w:r>
          </w:p>
        </w:tc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0.9985</w:t>
            </w:r>
          </w:p>
        </w:tc>
        <w:tc>
          <w:tcPr>
            <w:tcW w:type="dxa" w:w="1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+106%</w:t>
            </w:r>
          </w:p>
        </w:tc>
        <w:tc>
          <w:tcPr>
            <w:tcW w:type="dxa" w:w="1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3.0×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Computational Requirements</w:t>
      </w:r>
    </w:p>
    <w:p>
      <w:pPr>
        <w:pBdr>
          <w:bottom w:val="single" w:color="1A7A8A" w:sz="8" w:space="1"/>
        </w:pBdr>
        <w:spacing w:after="80" w:before="160"/>
      </w:pP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models were trained on an Intel i7-11800H with 32 GB RAM. The stacking classifier delivers the best performance at the cost of highest training time and memory. The Decision Tree remains a viable lightweight option for real-time inference.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Time (s)</w:t>
            </w:r>
          </w:p>
        </w:tc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(MB)</w:t>
            </w:r>
          </w:p>
        </w:tc>
        <w:tc>
          <w:tcPr>
            <w:tcW w:type="dxa" w:w="25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 (Balanced)</w:t>
            </w:r>
          </w:p>
        </w:tc>
      </w:tr>
      <w:tr>
        <w:tc>
          <w:tcPr>
            <w:tcW w:type="dxa" w:w="2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4.2</w:t>
            </w:r>
          </w:p>
        </w:tc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320</w:t>
            </w:r>
          </w:p>
        </w:tc>
        <w:tc>
          <w:tcPr>
            <w:tcW w:type="dxa" w:w="25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0.9361</w:t>
            </w:r>
          </w:p>
        </w:tc>
      </w:tr>
      <w:tr>
        <w:tc>
          <w:tcPr>
            <w:tcW w:type="dxa" w:w="2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Voting</w:t>
            </w:r>
          </w:p>
        </w:tc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98.3</w:t>
            </w:r>
          </w:p>
        </w:tc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2,100</w:t>
            </w:r>
          </w:p>
        </w:tc>
        <w:tc>
          <w:tcPr>
            <w:tcW w:type="dxa" w:w="25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0.9800</w:t>
            </w:r>
          </w:p>
        </w:tc>
      </w:tr>
      <w:tr>
        <w:tc>
          <w:tcPr>
            <w:tcW w:type="dxa" w:w="2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112.7</w:t>
            </w:r>
          </w:p>
        </w:tc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1,450</w:t>
            </w:r>
          </w:p>
        </w:tc>
        <w:tc>
          <w:tcPr>
            <w:tcW w:type="dxa" w:w="25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0.9977</w:t>
            </w:r>
          </w:p>
        </w:tc>
      </w:tr>
      <w:tr>
        <w:tc>
          <w:tcPr>
            <w:tcW w:type="dxa" w:w="2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Stacking</w:t>
            </w:r>
          </w:p>
        </w:tc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184.5</w:t>
            </w:r>
          </w:p>
        </w:tc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3,800</w:t>
            </w:r>
          </w:p>
        </w:tc>
        <w:tc>
          <w:tcPr>
            <w:tcW w:type="dxa" w:w="25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0.9985</w:t>
            </w:r>
          </w:p>
        </w:tc>
      </w:tr>
    </w:tbl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4292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8A93A6"/>
          <w:sz w:val="18"/>
          <w:szCs w:val="18"/>
        </w:rPr>
        <w:t xml:space="preserve">Figure 5 — Training time and memory usage per model</w:t>
      </w:r>
    </w:p>
    <w:p>
      <w:pPr>
        <w:spacing w:after="2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Conclusion</w:t>
      </w:r>
    </w:p>
    <w:p>
      <w:pPr>
        <w:pBdr>
          <w:bottom w:val="single" w:color="1A7A8A" w:sz="8" w:space="1"/>
        </w:pBdr>
        <w:spacing w:after="80" w:before="160"/>
      </w:pP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central finding of this study is that class imbalance — not model choice — was the primary bottleneck. RandomOverSampler alone improved F1-scores by 106–252% across all classifiers, transforming near-unusable baselines into clinically viable detectors. The stacking classifier achieves 99.85% F1-score with perfect precision, making it the recommended choice for production deployment.</w:t>
      </w:r>
    </w:p>
    <w:p>
      <w:pPr>
        <w:spacing w:after="8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Stacking classifier achieves 99.85% F1 with perfect 1.00 precision on balanced data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Recall improves 3–6x across all models after class balancing — false negatives reduced ~300%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RandomOverSampler outperforms SMOTE and ADASYN in both F1 gain and runtime efficiency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Full 24-hour EEG recordings processed in under 3 minutes with this pipeline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Even a simple Decision Tree reaches 93.6% F1 after balancing — model complexity matters less than data quality</w:t>
      </w:r>
    </w:p>
    <w:p>
      <w:pPr>
        <w:spacing w:after="8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Future Directions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Patient-specific model adaptation to address inter-patient EEG variability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Real-time inference pipeline for continuous bedside monitoring integration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Deep learning approaches (CNN, LSTM) on raw EEG waveforms for automatic feature learning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Integration with hospital EEG systems via HL7/FHIR clinical data standards</w:t>
      </w:r>
    </w:p>
    <w:p>
      <w:pPr>
        <w:spacing w:after="2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Technical Stack</w:t>
      </w:r>
    </w:p>
    <w:p>
      <w:pPr>
        <w:pBdr>
          <w:bottom w:val="single" w:color="1A7A8A" w:sz="8" w:space="1"/>
        </w:pBdr>
        <w:spacing w:after="8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3.10+</w:t>
            </w:r>
          </w:p>
        </w:tc>
        <w:tc>
          <w:tcPr>
            <w:tcW w:type="dxa" w:w="5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Core language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1.3+</w:t>
            </w:r>
          </w:p>
        </w:tc>
        <w:tc>
          <w:tcPr>
            <w:tcW w:type="dxa" w:w="5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ML models, metrics, feature selection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MNE-Python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1.5+</w:t>
            </w:r>
          </w:p>
        </w:tc>
        <w:tc>
          <w:tcPr>
            <w:tcW w:type="dxa" w:w="5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EDF loading, channel selection, EEG preprocessing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imbalanced-learn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0.11+</w:t>
            </w:r>
          </w:p>
        </w:tc>
        <w:tc>
          <w:tcPr>
            <w:tcW w:type="dxa" w:w="5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RandomOverSampler, SMOTE, ADASYN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XGBoost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1.7+</w:t>
            </w:r>
          </w:p>
        </w:tc>
        <w:tc>
          <w:tcPr>
            <w:tcW w:type="dxa" w:w="5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Gradient boosting base learner in stacking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1.24+</w:t>
            </w:r>
          </w:p>
        </w:tc>
        <w:tc>
          <w:tcPr>
            <w:tcW w:type="dxa" w:w="5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Numerical operations and array handling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Matplotlib / Seaborn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3.7+</w:t>
            </w:r>
          </w:p>
        </w:tc>
        <w:tc>
          <w:tcPr>
            <w:tcW w:type="dxa" w:w="5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Visualisation and confusion matrices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2.0+</w:t>
            </w:r>
          </w:p>
        </w:tc>
        <w:tc>
          <w:tcPr>
            <w:tcW w:type="dxa" w:w="54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Data manipulation and results tables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References</w:t>
      </w:r>
    </w:p>
    <w:p>
      <w:pPr>
        <w:pBdr>
          <w:bottom w:val="single" w:color="1A7A8A" w:sz="8" w:space="1"/>
        </w:pBdr>
        <w:spacing w:after="80" w:before="160"/>
      </w:pP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[1] W. Nasreddine, B. Atallah, and O. Ismaeil, "EEG Dataset for Epileptic Seizure Detection," Mendeley Data, v1, 2021. DOI: 10.17632/5pc2j46cbc.1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[2] F. Pedregosa et al., "Scikit-learn: Machine Learning in Python," Journal of Machine Learning Research, vol. 12, pp. 2825–2830, 2011.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[3] A. Gramfort et al., "MNE software for processing MEG and EEG data," NeuroImage, vol. 86, pp. 446–460, 2014.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[4] G. Lemaître, F. Nogueira, and C. K. Aridas, "Imbalanced-learn: A Python Toolbox," JMLR, vol. 18, no. 17, pp. 1–5, 2017.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8A" w:sz="6" w:space="1"/>
      </w:pBdr>
      <w:spacing w:after="120" w:before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EEG-Based Seizure Detection  |  Muhammad Hammad Durrani</w:t>
    </w:r>
    <w:r>
      <w:rPr>
        <w:rFonts w:ascii="Arial" w:cs="Arial" w:eastAsia="Arial" w:hAnsi="Arial"/>
        <w:color w:val="8A93A6"/>
        <w:sz w:val="16"/>
        <w:szCs w:val="16"/>
      </w:rPr>
      <w:t xml:space="preserve">     Page </w:t>
    </w:r>
    <w:r>
      <w:rPr>
        <w:rFonts w:ascii="Arial" w:cs="Arial" w:eastAsia="Arial" w:hAnsi="Arial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7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6223862b7e88335c811eac82f19e2389c36c81e2.png"/><Relationship Id="rId9" Type="http://schemas.openxmlformats.org/officeDocument/2006/relationships/image" Target="media/066f6b95683e5f941fd31886de9c414c3926b7ac.png"/><Relationship Id="rId10" Type="http://schemas.openxmlformats.org/officeDocument/2006/relationships/image" Target="media/0008ba0d89b53d86ff8481cf40658ae58a5f7e96.png"/><Relationship Id="rId11" Type="http://schemas.openxmlformats.org/officeDocument/2006/relationships/image" Target="media/cfbe9231f1b346dcc694678c22fcea0fa63b63ab.png"/><Relationship Id="rId12" Type="http://schemas.openxmlformats.org/officeDocument/2006/relationships/image" Target="media/ce10c59dfc7e6b5100c79cb6226c3e88b0e080c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2026-05-30T06:50:51.175Z</dcterms:created>
  <dcterms:modified xsi:type="dcterms:W3CDTF">2026-05-30T06:50:51.176Z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