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6270B5" w14:paraId="033D82A9" w14:textId="77777777">
        <w:tblPrEx>
          <w:tblCellMar>
            <w:top w:w="0" w:type="dxa"/>
            <w:bottom w:w="0" w:type="dxa"/>
          </w:tblCellMar>
        </w:tblPrEx>
        <w:tc>
          <w:tcPr>
            <w:tcW w:w="9314" w:type="dxa"/>
            <w:shd w:val="clear" w:color="auto" w:fill="CC0033"/>
            <w:tcMar>
              <w:top w:w="900" w:type="dxa"/>
              <w:left w:w="400" w:type="dxa"/>
              <w:bottom w:w="900" w:type="dxa"/>
              <w:right w:w="400" w:type="dxa"/>
            </w:tcMar>
            <w:vAlign w:val="center"/>
          </w:tcPr>
          <w:p w14:paraId="15807029" w14:textId="77777777" w:rsidR="006270B5" w:rsidRDefault="00000000">
            <w:pPr>
              <w:spacing w:after="160"/>
              <w:jc w:val="center"/>
            </w:pPr>
            <w:r>
              <w:rPr>
                <w:b/>
                <w:bCs/>
                <w:color w:val="FFFFFF"/>
                <w:sz w:val="40"/>
                <w:szCs w:val="40"/>
              </w:rPr>
              <w:t>IFRC Global Humanitarian Dashboard</w:t>
            </w:r>
          </w:p>
          <w:p w14:paraId="7B5B93AE" w14:textId="77777777" w:rsidR="006270B5" w:rsidRDefault="00000000">
            <w:pPr>
              <w:jc w:val="center"/>
            </w:pPr>
            <w:r>
              <w:rPr>
                <w:color w:val="FFFFFF"/>
                <w:sz w:val="22"/>
                <w:szCs w:val="22"/>
              </w:rPr>
              <w:t>An Interactive R Shiny Dashboard for Global Disaster Response Data</w:t>
            </w:r>
          </w:p>
        </w:tc>
      </w:tr>
    </w:tbl>
    <w:p w14:paraId="69CA3807" w14:textId="77777777" w:rsidR="006270B5" w:rsidRDefault="006270B5">
      <w:pPr>
        <w:spacing w:after="400"/>
      </w:pPr>
    </w:p>
    <w:tbl>
      <w:tblPr>
        <w:tblW w:w="9314" w:type="dxa"/>
        <w:tblCellMar>
          <w:left w:w="10" w:type="dxa"/>
          <w:right w:w="10" w:type="dxa"/>
        </w:tblCellMar>
        <w:tblLook w:val="04A0" w:firstRow="1" w:lastRow="0" w:firstColumn="1" w:lastColumn="0" w:noHBand="0" w:noVBand="1"/>
      </w:tblPr>
      <w:tblGrid>
        <w:gridCol w:w="4657"/>
        <w:gridCol w:w="4657"/>
      </w:tblGrid>
      <w:tr w:rsidR="006270B5" w14:paraId="53E13853" w14:textId="77777777">
        <w:tblPrEx>
          <w:tblCellMar>
            <w:top w:w="0" w:type="dxa"/>
            <w:bottom w:w="0" w:type="dxa"/>
          </w:tblCellMar>
        </w:tblPrEx>
        <w:tc>
          <w:tcPr>
            <w:tcW w:w="4657" w:type="dxa"/>
            <w:vAlign w:val="center"/>
          </w:tcPr>
          <w:p w14:paraId="0DD44BF3" w14:textId="77777777" w:rsidR="006270B5" w:rsidRDefault="00000000">
            <w:pPr>
              <w:jc w:val="right"/>
            </w:pPr>
            <w:r>
              <w:rPr>
                <w:noProof/>
              </w:rPr>
              <w:drawing>
                <wp:inline distT="0" distB="0" distL="0" distR="0" wp14:anchorId="76FC3439" wp14:editId="446C731B">
                  <wp:extent cx="666750"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6750" cy="666750"/>
                          </a:xfrm>
                          <a:prstGeom prst="rect">
                            <a:avLst/>
                          </a:prstGeom>
                        </pic:spPr>
                      </pic:pic>
                    </a:graphicData>
                  </a:graphic>
                </wp:inline>
              </w:drawing>
            </w:r>
          </w:p>
        </w:tc>
        <w:tc>
          <w:tcPr>
            <w:tcW w:w="4657" w:type="dxa"/>
            <w:vAlign w:val="center"/>
          </w:tcPr>
          <w:p w14:paraId="247266DF" w14:textId="77777777" w:rsidR="006270B5" w:rsidRDefault="00000000">
            <w:pPr>
              <w:ind w:left="300"/>
            </w:pPr>
            <w:r>
              <w:rPr>
                <w:noProof/>
              </w:rPr>
              <w:drawing>
                <wp:inline distT="0" distB="0" distL="0" distR="0" wp14:anchorId="0F88AB27" wp14:editId="091AB091">
                  <wp:extent cx="990600" cy="666750"/>
                  <wp:effectExtent l="0" t="0" r="0" b="0"/>
                  <wp:docPr id="177222365" name="Picture 17722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90600" cy="666750"/>
                          </a:xfrm>
                          <a:prstGeom prst="rect">
                            <a:avLst/>
                          </a:prstGeom>
                        </pic:spPr>
                      </pic:pic>
                    </a:graphicData>
                  </a:graphic>
                </wp:inline>
              </w:drawing>
            </w:r>
          </w:p>
        </w:tc>
      </w:tr>
    </w:tbl>
    <w:p w14:paraId="023AB4A7" w14:textId="77777777" w:rsidR="006270B5" w:rsidRDefault="006270B5">
      <w:pPr>
        <w:spacing w:after="300"/>
      </w:pPr>
    </w:p>
    <w:p w14:paraId="21311EBF" w14:textId="77777777" w:rsidR="006270B5" w:rsidRDefault="006270B5">
      <w:pPr>
        <w:pBdr>
          <w:bottom w:val="single" w:sz="6" w:space="1" w:color="E5E7EB"/>
        </w:pBdr>
        <w:spacing w:after="200"/>
      </w:pPr>
    </w:p>
    <w:p w14:paraId="609EB3E3" w14:textId="77777777" w:rsidR="00B164DF" w:rsidRDefault="00B164DF">
      <w:pPr>
        <w:spacing w:after="120"/>
        <w:jc w:val="center"/>
        <w:rPr>
          <w:b/>
          <w:bCs/>
          <w:color w:val="CC0033"/>
          <w:sz w:val="22"/>
          <w:szCs w:val="22"/>
        </w:rPr>
      </w:pPr>
    </w:p>
    <w:p w14:paraId="05923EF7" w14:textId="77777777" w:rsidR="00B164DF" w:rsidRDefault="00B164DF">
      <w:pPr>
        <w:spacing w:after="120"/>
        <w:jc w:val="center"/>
        <w:rPr>
          <w:b/>
          <w:bCs/>
          <w:color w:val="CC0033"/>
          <w:sz w:val="22"/>
          <w:szCs w:val="22"/>
        </w:rPr>
      </w:pPr>
    </w:p>
    <w:p w14:paraId="78D8358D" w14:textId="77777777" w:rsidR="00B164DF" w:rsidRDefault="00B164DF">
      <w:pPr>
        <w:spacing w:after="120"/>
        <w:jc w:val="center"/>
        <w:rPr>
          <w:b/>
          <w:bCs/>
          <w:color w:val="CC0033"/>
          <w:sz w:val="22"/>
          <w:szCs w:val="22"/>
        </w:rPr>
      </w:pPr>
    </w:p>
    <w:p w14:paraId="0FDF08DE" w14:textId="77777777" w:rsidR="00B164DF" w:rsidRDefault="00B164DF">
      <w:pPr>
        <w:spacing w:after="120"/>
        <w:jc w:val="center"/>
        <w:rPr>
          <w:b/>
          <w:bCs/>
          <w:color w:val="CC0033"/>
          <w:sz w:val="22"/>
          <w:szCs w:val="22"/>
        </w:rPr>
      </w:pPr>
    </w:p>
    <w:p w14:paraId="654395AA" w14:textId="77777777" w:rsidR="00B164DF" w:rsidRDefault="00B164DF">
      <w:pPr>
        <w:spacing w:after="120"/>
        <w:jc w:val="center"/>
        <w:rPr>
          <w:b/>
          <w:bCs/>
          <w:color w:val="CC0033"/>
          <w:sz w:val="22"/>
          <w:szCs w:val="22"/>
        </w:rPr>
      </w:pPr>
    </w:p>
    <w:p w14:paraId="3E32F80F" w14:textId="77777777" w:rsidR="00B164DF" w:rsidRDefault="00B164DF">
      <w:pPr>
        <w:spacing w:after="120"/>
        <w:jc w:val="center"/>
        <w:rPr>
          <w:b/>
          <w:bCs/>
          <w:color w:val="CC0033"/>
          <w:sz w:val="22"/>
          <w:szCs w:val="22"/>
        </w:rPr>
      </w:pPr>
    </w:p>
    <w:p w14:paraId="2D07AE50" w14:textId="77777777" w:rsidR="00B164DF" w:rsidRDefault="00B164DF">
      <w:pPr>
        <w:spacing w:after="120"/>
        <w:jc w:val="center"/>
        <w:rPr>
          <w:b/>
          <w:bCs/>
          <w:color w:val="CC0033"/>
          <w:sz w:val="22"/>
          <w:szCs w:val="22"/>
        </w:rPr>
      </w:pPr>
    </w:p>
    <w:p w14:paraId="74754214" w14:textId="4463357C" w:rsidR="006270B5" w:rsidRDefault="00000000">
      <w:pPr>
        <w:spacing w:after="120"/>
        <w:jc w:val="center"/>
      </w:pPr>
      <w:r>
        <w:rPr>
          <w:b/>
          <w:bCs/>
          <w:color w:val="CC0033"/>
          <w:sz w:val="22"/>
          <w:szCs w:val="22"/>
        </w:rPr>
        <w:t>PROJECT REPORT</w:t>
      </w:r>
    </w:p>
    <w:p w14:paraId="5174EF0D" w14:textId="27EC93E2" w:rsidR="006270B5" w:rsidRPr="00B164DF" w:rsidRDefault="00000000">
      <w:pPr>
        <w:spacing w:after="40"/>
        <w:jc w:val="center"/>
        <w:rPr>
          <w:rFonts w:asciiTheme="majorBidi" w:hAnsiTheme="majorBidi" w:cstheme="majorBidi"/>
          <w:sz w:val="24"/>
          <w:szCs w:val="24"/>
        </w:rPr>
      </w:pPr>
      <w:r w:rsidRPr="00B164DF">
        <w:rPr>
          <w:rFonts w:asciiTheme="majorBidi" w:hAnsiTheme="majorBidi" w:cstheme="majorBidi"/>
          <w:color w:val="1A1A2E"/>
          <w:sz w:val="24"/>
          <w:szCs w:val="24"/>
        </w:rPr>
        <w:t>Mhamad Shhab Aldeen Hasan | P166175</w:t>
      </w:r>
    </w:p>
    <w:p w14:paraId="0E03B43F" w14:textId="77777777" w:rsidR="006270B5" w:rsidRPr="00B164DF" w:rsidRDefault="00000000">
      <w:pPr>
        <w:spacing w:after="40"/>
        <w:jc w:val="center"/>
        <w:rPr>
          <w:rFonts w:asciiTheme="majorBidi" w:hAnsiTheme="majorBidi" w:cstheme="majorBidi"/>
          <w:sz w:val="24"/>
          <w:szCs w:val="24"/>
        </w:rPr>
      </w:pPr>
      <w:r w:rsidRPr="00B164DF">
        <w:rPr>
          <w:rFonts w:asciiTheme="majorBidi" w:hAnsiTheme="majorBidi" w:cstheme="majorBidi"/>
          <w:color w:val="1A1A2E"/>
          <w:sz w:val="24"/>
          <w:szCs w:val="24"/>
        </w:rPr>
        <w:t xml:space="preserve">MSc Data Science &amp; Analytics, Universiti </w:t>
      </w:r>
      <w:proofErr w:type="spellStart"/>
      <w:r w:rsidRPr="00B164DF">
        <w:rPr>
          <w:rFonts w:asciiTheme="majorBidi" w:hAnsiTheme="majorBidi" w:cstheme="majorBidi"/>
          <w:color w:val="1A1A2E"/>
          <w:sz w:val="24"/>
          <w:szCs w:val="24"/>
        </w:rPr>
        <w:t>Kebangsaan</w:t>
      </w:r>
      <w:proofErr w:type="spellEnd"/>
      <w:r w:rsidRPr="00B164DF">
        <w:rPr>
          <w:rFonts w:asciiTheme="majorBidi" w:hAnsiTheme="majorBidi" w:cstheme="majorBidi"/>
          <w:color w:val="1A1A2E"/>
          <w:sz w:val="24"/>
          <w:szCs w:val="24"/>
        </w:rPr>
        <w:t xml:space="preserve"> Malaysia</w:t>
      </w:r>
    </w:p>
    <w:p w14:paraId="3F26854A" w14:textId="77777777" w:rsidR="006270B5" w:rsidRPr="00B164DF" w:rsidRDefault="00000000">
      <w:pPr>
        <w:spacing w:after="40"/>
        <w:jc w:val="center"/>
        <w:rPr>
          <w:rFonts w:asciiTheme="majorBidi" w:hAnsiTheme="majorBidi" w:cstheme="majorBidi"/>
          <w:sz w:val="24"/>
          <w:szCs w:val="24"/>
        </w:rPr>
      </w:pPr>
      <w:r w:rsidRPr="00B164DF">
        <w:rPr>
          <w:rFonts w:asciiTheme="majorBidi" w:hAnsiTheme="majorBidi" w:cstheme="majorBidi"/>
          <w:color w:val="1A1A2E"/>
          <w:sz w:val="24"/>
          <w:szCs w:val="24"/>
        </w:rPr>
        <w:t>STQD6124 Data Visualization &amp; Communication</w:t>
      </w:r>
    </w:p>
    <w:p w14:paraId="43D44EC2" w14:textId="77777777" w:rsidR="006270B5" w:rsidRDefault="00000000">
      <w:r>
        <w:br w:type="page"/>
      </w:r>
    </w:p>
    <w:p w14:paraId="42DE5160" w14:textId="77777777" w:rsidR="006270B5" w:rsidRDefault="006270B5">
      <w:pPr>
        <w:sectPr w:rsidR="006270B5">
          <w:headerReference w:type="default" r:id="rId9"/>
          <w:footerReference w:type="default" r:id="rId10"/>
          <w:pgSz w:w="11906" w:h="16838"/>
          <w:pgMar w:top="1296" w:right="1296" w:bottom="1296" w:left="1296" w:header="708" w:footer="708" w:gutter="0"/>
          <w:cols w:space="720"/>
          <w:docGrid w:linePitch="360"/>
        </w:sectPr>
      </w:pPr>
    </w:p>
    <w:p w14:paraId="65E4B51A" w14:textId="77777777" w:rsidR="006270B5" w:rsidRDefault="00000000">
      <w:pPr>
        <w:pStyle w:val="Heading1"/>
        <w:pBdr>
          <w:bottom w:val="single" w:sz="14" w:space="6" w:color="CC0033"/>
        </w:pBdr>
        <w:spacing w:before="300" w:after="160"/>
      </w:pPr>
      <w:r>
        <w:rPr>
          <w:b/>
          <w:bCs/>
          <w:color w:val="CC0033"/>
          <w:sz w:val="30"/>
          <w:szCs w:val="30"/>
        </w:rPr>
        <w:lastRenderedPageBreak/>
        <w:t>1. Overview</w:t>
      </w:r>
    </w:p>
    <w:p w14:paraId="12048F7F" w14:textId="77777777" w:rsidR="006270B5" w:rsidRDefault="00000000">
      <w:pPr>
        <w:spacing w:after="160" w:line="276" w:lineRule="auto"/>
        <w:jc w:val="both"/>
      </w:pPr>
      <w:r>
        <w:rPr>
          <w:color w:val="1A1A2E"/>
        </w:rPr>
        <w:t>The IFRC Global Humanitarian Dashboard is an interactive R Shiny application built to explore humanitarian emergency data published on the IFRC GO Platform. It brings together three real, unedited datasets — Emergency Events, Appeals, and Countries — spanning 2023–2026, covering 1,000 logged disaster events, 1,000 funding appeals, and 151 countries.</w:t>
      </w:r>
    </w:p>
    <w:p w14:paraId="5401C7F0" w14:textId="77777777" w:rsidR="006270B5" w:rsidRDefault="00000000">
      <w:pPr>
        <w:spacing w:after="160" w:line="276" w:lineRule="auto"/>
        <w:jc w:val="both"/>
      </w:pPr>
      <w:r>
        <w:rPr>
          <w:color w:val="1A1A2E"/>
        </w:rPr>
        <w:t xml:space="preserve">Unlike a static report, the dashboard lets a user filter, click, and drill into individual events and </w:t>
      </w:r>
      <w:proofErr w:type="gramStart"/>
      <w:r>
        <w:rPr>
          <w:color w:val="1A1A2E"/>
        </w:rPr>
        <w:t>appeals</w:t>
      </w:r>
      <w:proofErr w:type="gramEnd"/>
      <w:r>
        <w:rPr>
          <w:color w:val="1A1A2E"/>
        </w:rPr>
        <w:t xml:space="preserve"> in real time — by region, country, disaster type, severity, appeal status, and year. The goal was to give the same evidence-based storytelling as the project's companion R Markdown storyboard, but in a format built for hands-on exploration rather than a fixed narrative.</w:t>
      </w:r>
    </w:p>
    <w:p w14:paraId="636022FE" w14:textId="77777777" w:rsidR="006270B5" w:rsidRDefault="00000000">
      <w:pPr>
        <w:pStyle w:val="Heading2"/>
        <w:spacing w:before="240" w:after="100"/>
      </w:pPr>
      <w:r>
        <w:rPr>
          <w:b/>
          <w:bCs/>
          <w:color w:val="1A1A2E"/>
          <w:sz w:val="24"/>
          <w:szCs w:val="24"/>
        </w:rPr>
        <w:t>Key headline figures shown on every tab</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553"/>
        <w:gridCol w:w="1552"/>
        <w:gridCol w:w="1552"/>
        <w:gridCol w:w="1552"/>
        <w:gridCol w:w="1552"/>
      </w:tblGrid>
      <w:tr w:rsidR="006270B5" w14:paraId="0F7EF4BE" w14:textId="77777777">
        <w:tblPrEx>
          <w:tblCellMar>
            <w:top w:w="0" w:type="dxa"/>
            <w:bottom w:w="0" w:type="dxa"/>
          </w:tblCellMar>
        </w:tblPrEx>
        <w:tc>
          <w:tcPr>
            <w:tcW w:w="1552" w:type="dxa"/>
            <w:tcBorders>
              <w:bottom w:val="single" w:sz="6" w:space="0" w:color="E5E7EB"/>
            </w:tcBorders>
            <w:tcMar>
              <w:top w:w="120" w:type="dxa"/>
              <w:left w:w="60" w:type="dxa"/>
              <w:bottom w:w="40" w:type="dxa"/>
              <w:right w:w="60" w:type="dxa"/>
            </w:tcMar>
          </w:tcPr>
          <w:p w14:paraId="7A2B5E2F" w14:textId="77777777" w:rsidR="006270B5" w:rsidRDefault="00000000">
            <w:pPr>
              <w:jc w:val="center"/>
            </w:pPr>
            <w:r>
              <w:rPr>
                <w:b/>
                <w:bCs/>
                <w:color w:val="CC0033"/>
                <w:sz w:val="24"/>
                <w:szCs w:val="24"/>
              </w:rPr>
              <w:t>1,000</w:t>
            </w:r>
          </w:p>
        </w:tc>
        <w:tc>
          <w:tcPr>
            <w:tcW w:w="1552" w:type="dxa"/>
            <w:tcBorders>
              <w:bottom w:val="single" w:sz="6" w:space="0" w:color="E5E7EB"/>
            </w:tcBorders>
            <w:tcMar>
              <w:top w:w="120" w:type="dxa"/>
              <w:left w:w="60" w:type="dxa"/>
              <w:bottom w:w="40" w:type="dxa"/>
              <w:right w:w="60" w:type="dxa"/>
            </w:tcMar>
          </w:tcPr>
          <w:p w14:paraId="6CC93133" w14:textId="77777777" w:rsidR="006270B5" w:rsidRDefault="00000000">
            <w:pPr>
              <w:jc w:val="center"/>
            </w:pPr>
            <w:r>
              <w:rPr>
                <w:b/>
                <w:bCs/>
                <w:color w:val="CC0033"/>
                <w:sz w:val="24"/>
                <w:szCs w:val="24"/>
              </w:rPr>
              <w:t>151</w:t>
            </w:r>
          </w:p>
        </w:tc>
        <w:tc>
          <w:tcPr>
            <w:tcW w:w="1552" w:type="dxa"/>
            <w:tcBorders>
              <w:bottom w:val="single" w:sz="6" w:space="0" w:color="E5E7EB"/>
            </w:tcBorders>
            <w:tcMar>
              <w:top w:w="120" w:type="dxa"/>
              <w:left w:w="60" w:type="dxa"/>
              <w:bottom w:w="40" w:type="dxa"/>
              <w:right w:w="60" w:type="dxa"/>
            </w:tcMar>
          </w:tcPr>
          <w:p w14:paraId="7D7162BE" w14:textId="77777777" w:rsidR="006270B5" w:rsidRDefault="00000000">
            <w:pPr>
              <w:jc w:val="center"/>
            </w:pPr>
            <w:r>
              <w:rPr>
                <w:b/>
                <w:bCs/>
                <w:color w:val="CC0033"/>
                <w:sz w:val="24"/>
                <w:szCs w:val="24"/>
              </w:rPr>
              <w:t>$4.34B</w:t>
            </w:r>
          </w:p>
        </w:tc>
        <w:tc>
          <w:tcPr>
            <w:tcW w:w="1552" w:type="dxa"/>
            <w:tcBorders>
              <w:bottom w:val="single" w:sz="6" w:space="0" w:color="E5E7EB"/>
            </w:tcBorders>
            <w:tcMar>
              <w:top w:w="120" w:type="dxa"/>
              <w:left w:w="60" w:type="dxa"/>
              <w:bottom w:w="40" w:type="dxa"/>
              <w:right w:w="60" w:type="dxa"/>
            </w:tcMar>
          </w:tcPr>
          <w:p w14:paraId="01E5FE8D" w14:textId="77777777" w:rsidR="006270B5" w:rsidRDefault="00000000">
            <w:pPr>
              <w:jc w:val="center"/>
            </w:pPr>
            <w:r>
              <w:rPr>
                <w:b/>
                <w:bCs/>
                <w:color w:val="CC0033"/>
                <w:sz w:val="24"/>
                <w:szCs w:val="24"/>
              </w:rPr>
              <w:t>$1.99B</w:t>
            </w:r>
          </w:p>
        </w:tc>
        <w:tc>
          <w:tcPr>
            <w:tcW w:w="1552" w:type="dxa"/>
            <w:tcBorders>
              <w:bottom w:val="single" w:sz="6" w:space="0" w:color="E5E7EB"/>
            </w:tcBorders>
            <w:tcMar>
              <w:top w:w="120" w:type="dxa"/>
              <w:left w:w="60" w:type="dxa"/>
              <w:bottom w:w="40" w:type="dxa"/>
              <w:right w:w="60" w:type="dxa"/>
            </w:tcMar>
          </w:tcPr>
          <w:p w14:paraId="6F630D82" w14:textId="77777777" w:rsidR="006270B5" w:rsidRDefault="00000000">
            <w:pPr>
              <w:jc w:val="center"/>
            </w:pPr>
            <w:r>
              <w:rPr>
                <w:b/>
                <w:bCs/>
                <w:color w:val="CC0033"/>
                <w:sz w:val="24"/>
                <w:szCs w:val="24"/>
              </w:rPr>
              <w:t>$2.35B</w:t>
            </w:r>
          </w:p>
        </w:tc>
        <w:tc>
          <w:tcPr>
            <w:tcW w:w="1552" w:type="dxa"/>
            <w:tcBorders>
              <w:bottom w:val="single" w:sz="6" w:space="0" w:color="E5E7EB"/>
            </w:tcBorders>
            <w:tcMar>
              <w:top w:w="120" w:type="dxa"/>
              <w:left w:w="60" w:type="dxa"/>
              <w:bottom w:w="40" w:type="dxa"/>
              <w:right w:w="60" w:type="dxa"/>
            </w:tcMar>
          </w:tcPr>
          <w:p w14:paraId="460A2D76" w14:textId="77777777" w:rsidR="006270B5" w:rsidRDefault="00000000">
            <w:pPr>
              <w:jc w:val="center"/>
            </w:pPr>
            <w:r>
              <w:rPr>
                <w:b/>
                <w:bCs/>
                <w:color w:val="CC0033"/>
                <w:sz w:val="24"/>
                <w:szCs w:val="24"/>
              </w:rPr>
              <w:t>6</w:t>
            </w:r>
          </w:p>
        </w:tc>
      </w:tr>
      <w:tr w:rsidR="006270B5" w14:paraId="180D1EB9" w14:textId="77777777">
        <w:tblPrEx>
          <w:tblCellMar>
            <w:top w:w="0" w:type="dxa"/>
            <w:bottom w:w="0" w:type="dxa"/>
          </w:tblCellMar>
        </w:tblPrEx>
        <w:tc>
          <w:tcPr>
            <w:tcW w:w="1552" w:type="dxa"/>
            <w:tcMar>
              <w:top w:w="20" w:type="dxa"/>
              <w:left w:w="60" w:type="dxa"/>
              <w:bottom w:w="120" w:type="dxa"/>
              <w:right w:w="60" w:type="dxa"/>
            </w:tcMar>
          </w:tcPr>
          <w:p w14:paraId="147FCD94" w14:textId="77777777" w:rsidR="006270B5" w:rsidRDefault="00000000">
            <w:pPr>
              <w:jc w:val="center"/>
            </w:pPr>
            <w:r>
              <w:rPr>
                <w:color w:val="6B7280"/>
                <w:sz w:val="14"/>
                <w:szCs w:val="14"/>
              </w:rPr>
              <w:t>Events</w:t>
            </w:r>
          </w:p>
        </w:tc>
        <w:tc>
          <w:tcPr>
            <w:tcW w:w="1552" w:type="dxa"/>
            <w:tcMar>
              <w:top w:w="20" w:type="dxa"/>
              <w:left w:w="60" w:type="dxa"/>
              <w:bottom w:w="120" w:type="dxa"/>
              <w:right w:w="60" w:type="dxa"/>
            </w:tcMar>
          </w:tcPr>
          <w:p w14:paraId="05FE7538" w14:textId="77777777" w:rsidR="006270B5" w:rsidRDefault="00000000">
            <w:pPr>
              <w:jc w:val="center"/>
            </w:pPr>
            <w:r>
              <w:rPr>
                <w:color w:val="6B7280"/>
                <w:sz w:val="14"/>
                <w:szCs w:val="14"/>
              </w:rPr>
              <w:t>Countries</w:t>
            </w:r>
          </w:p>
        </w:tc>
        <w:tc>
          <w:tcPr>
            <w:tcW w:w="1552" w:type="dxa"/>
            <w:tcMar>
              <w:top w:w="20" w:type="dxa"/>
              <w:left w:w="60" w:type="dxa"/>
              <w:bottom w:w="120" w:type="dxa"/>
              <w:right w:w="60" w:type="dxa"/>
            </w:tcMar>
          </w:tcPr>
          <w:p w14:paraId="0DE39FA4" w14:textId="77777777" w:rsidR="006270B5" w:rsidRDefault="00000000">
            <w:pPr>
              <w:jc w:val="center"/>
            </w:pPr>
            <w:r>
              <w:rPr>
                <w:color w:val="6B7280"/>
                <w:sz w:val="14"/>
                <w:szCs w:val="14"/>
              </w:rPr>
              <w:t>Aid Requested</w:t>
            </w:r>
          </w:p>
        </w:tc>
        <w:tc>
          <w:tcPr>
            <w:tcW w:w="1552" w:type="dxa"/>
            <w:tcMar>
              <w:top w:w="20" w:type="dxa"/>
              <w:left w:w="60" w:type="dxa"/>
              <w:bottom w:w="120" w:type="dxa"/>
              <w:right w:w="60" w:type="dxa"/>
            </w:tcMar>
          </w:tcPr>
          <w:p w14:paraId="70701631" w14:textId="77777777" w:rsidR="006270B5" w:rsidRDefault="00000000">
            <w:pPr>
              <w:jc w:val="center"/>
            </w:pPr>
            <w:r>
              <w:rPr>
                <w:color w:val="6B7280"/>
                <w:sz w:val="14"/>
                <w:szCs w:val="14"/>
              </w:rPr>
              <w:t>Aid Funded</w:t>
            </w:r>
          </w:p>
        </w:tc>
        <w:tc>
          <w:tcPr>
            <w:tcW w:w="1552" w:type="dxa"/>
            <w:tcMar>
              <w:top w:w="20" w:type="dxa"/>
              <w:left w:w="60" w:type="dxa"/>
              <w:bottom w:w="120" w:type="dxa"/>
              <w:right w:w="60" w:type="dxa"/>
            </w:tcMar>
          </w:tcPr>
          <w:p w14:paraId="171037CF" w14:textId="77777777" w:rsidR="006270B5" w:rsidRDefault="00000000">
            <w:pPr>
              <w:jc w:val="center"/>
            </w:pPr>
            <w:r>
              <w:rPr>
                <w:color w:val="6B7280"/>
                <w:sz w:val="14"/>
                <w:szCs w:val="14"/>
              </w:rPr>
              <w:t>Funding Gap</w:t>
            </w:r>
          </w:p>
        </w:tc>
        <w:tc>
          <w:tcPr>
            <w:tcW w:w="1552" w:type="dxa"/>
            <w:tcMar>
              <w:top w:w="20" w:type="dxa"/>
              <w:left w:w="60" w:type="dxa"/>
              <w:bottom w:w="120" w:type="dxa"/>
              <w:right w:w="60" w:type="dxa"/>
            </w:tcMar>
          </w:tcPr>
          <w:p w14:paraId="6439CA27" w14:textId="77777777" w:rsidR="006270B5" w:rsidRDefault="00000000">
            <w:pPr>
              <w:jc w:val="center"/>
            </w:pPr>
            <w:r>
              <w:rPr>
                <w:color w:val="6B7280"/>
                <w:sz w:val="14"/>
                <w:szCs w:val="14"/>
              </w:rPr>
              <w:t>Red Alerts</w:t>
            </w:r>
          </w:p>
        </w:tc>
      </w:tr>
    </w:tbl>
    <w:p w14:paraId="4A606FE8" w14:textId="77777777" w:rsidR="006270B5" w:rsidRDefault="006270B5">
      <w:pPr>
        <w:spacing w:after="280"/>
      </w:pPr>
    </w:p>
    <w:p w14:paraId="70B1E2CE" w14:textId="77777777" w:rsidR="006270B5" w:rsidRDefault="00000000">
      <w:pPr>
        <w:pStyle w:val="Heading1"/>
        <w:pBdr>
          <w:bottom w:val="single" w:sz="14" w:space="6" w:color="CC0033"/>
        </w:pBdr>
        <w:spacing w:before="300" w:after="160"/>
      </w:pPr>
      <w:r>
        <w:rPr>
          <w:b/>
          <w:bCs/>
          <w:color w:val="CC0033"/>
          <w:sz w:val="30"/>
          <w:szCs w:val="30"/>
        </w:rPr>
        <w:t>2. Technical Architecture</w:t>
      </w:r>
    </w:p>
    <w:p w14:paraId="7356FCA2" w14:textId="77777777" w:rsidR="006270B5" w:rsidRDefault="00000000">
      <w:pPr>
        <w:spacing w:after="160" w:line="276" w:lineRule="auto"/>
        <w:jc w:val="both"/>
      </w:pPr>
      <w:r>
        <w:rPr>
          <w:color w:val="1A1A2E"/>
        </w:rPr>
        <w:t>The dashboard is built entirely in R using the Shiny reactive framework, with the following supporting packages:</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7"/>
        <w:gridCol w:w="6707"/>
      </w:tblGrid>
      <w:tr w:rsidR="006270B5" w14:paraId="51463C5D" w14:textId="77777777">
        <w:tblPrEx>
          <w:tblCellMar>
            <w:top w:w="0" w:type="dxa"/>
            <w:bottom w:w="0" w:type="dxa"/>
          </w:tblCellMar>
        </w:tblPrEx>
        <w:tc>
          <w:tcPr>
            <w:tcW w:w="2607" w:type="dxa"/>
            <w:shd w:val="clear" w:color="auto" w:fill="CC0033"/>
            <w:tcMar>
              <w:top w:w="100" w:type="dxa"/>
              <w:left w:w="120" w:type="dxa"/>
              <w:bottom w:w="100" w:type="dxa"/>
              <w:right w:w="80" w:type="dxa"/>
            </w:tcMar>
          </w:tcPr>
          <w:p w14:paraId="6B26C02B" w14:textId="77777777" w:rsidR="006270B5" w:rsidRDefault="00000000">
            <w:r>
              <w:rPr>
                <w:b/>
                <w:bCs/>
                <w:color w:val="FFFFFF"/>
                <w:sz w:val="19"/>
                <w:szCs w:val="19"/>
              </w:rPr>
              <w:t>Package</w:t>
            </w:r>
          </w:p>
        </w:tc>
        <w:tc>
          <w:tcPr>
            <w:tcW w:w="6706" w:type="dxa"/>
            <w:shd w:val="clear" w:color="auto" w:fill="CC0033"/>
            <w:tcMar>
              <w:top w:w="100" w:type="dxa"/>
              <w:left w:w="120" w:type="dxa"/>
              <w:bottom w:w="100" w:type="dxa"/>
              <w:right w:w="80" w:type="dxa"/>
            </w:tcMar>
          </w:tcPr>
          <w:p w14:paraId="48A7326C" w14:textId="77777777" w:rsidR="006270B5" w:rsidRDefault="00000000">
            <w:r>
              <w:rPr>
                <w:b/>
                <w:bCs/>
                <w:color w:val="FFFFFF"/>
                <w:sz w:val="19"/>
                <w:szCs w:val="19"/>
              </w:rPr>
              <w:t>Role in the dashboard</w:t>
            </w:r>
          </w:p>
        </w:tc>
      </w:tr>
      <w:tr w:rsidR="006270B5" w14:paraId="5A12EC1D" w14:textId="77777777">
        <w:tblPrEx>
          <w:tblCellMar>
            <w:top w:w="0" w:type="dxa"/>
            <w:bottom w:w="0" w:type="dxa"/>
          </w:tblCellMar>
        </w:tblPrEx>
        <w:tc>
          <w:tcPr>
            <w:tcW w:w="2607" w:type="dxa"/>
            <w:tcMar>
              <w:top w:w="100" w:type="dxa"/>
              <w:left w:w="120" w:type="dxa"/>
              <w:bottom w:w="100" w:type="dxa"/>
              <w:right w:w="80" w:type="dxa"/>
            </w:tcMar>
          </w:tcPr>
          <w:p w14:paraId="0E86A18B" w14:textId="77777777" w:rsidR="006270B5" w:rsidRDefault="00000000">
            <w:r>
              <w:rPr>
                <w:color w:val="1A1A2E"/>
                <w:sz w:val="19"/>
                <w:szCs w:val="19"/>
              </w:rPr>
              <w:t>shiny</w:t>
            </w:r>
          </w:p>
        </w:tc>
        <w:tc>
          <w:tcPr>
            <w:tcW w:w="6706" w:type="dxa"/>
            <w:tcMar>
              <w:top w:w="100" w:type="dxa"/>
              <w:left w:w="120" w:type="dxa"/>
              <w:bottom w:w="100" w:type="dxa"/>
              <w:right w:w="80" w:type="dxa"/>
            </w:tcMar>
          </w:tcPr>
          <w:p w14:paraId="5DEFF83C" w14:textId="77777777" w:rsidR="006270B5" w:rsidRDefault="00000000">
            <w:r>
              <w:rPr>
                <w:color w:val="1A1A2E"/>
                <w:sz w:val="19"/>
                <w:szCs w:val="19"/>
              </w:rPr>
              <w:t>Core reactive web application framework</w:t>
            </w:r>
          </w:p>
        </w:tc>
      </w:tr>
      <w:tr w:rsidR="006270B5" w14:paraId="70198840" w14:textId="77777777">
        <w:tblPrEx>
          <w:tblCellMar>
            <w:top w:w="0" w:type="dxa"/>
            <w:bottom w:w="0" w:type="dxa"/>
          </w:tblCellMar>
        </w:tblPrEx>
        <w:tc>
          <w:tcPr>
            <w:tcW w:w="2607" w:type="dxa"/>
            <w:tcMar>
              <w:top w:w="100" w:type="dxa"/>
              <w:left w:w="120" w:type="dxa"/>
              <w:bottom w:w="100" w:type="dxa"/>
              <w:right w:w="80" w:type="dxa"/>
            </w:tcMar>
          </w:tcPr>
          <w:p w14:paraId="22F8F7F8" w14:textId="77777777" w:rsidR="006270B5" w:rsidRDefault="00000000">
            <w:r>
              <w:rPr>
                <w:color w:val="1A1A2E"/>
                <w:sz w:val="19"/>
                <w:szCs w:val="19"/>
              </w:rPr>
              <w:t>leaflet</w:t>
            </w:r>
          </w:p>
        </w:tc>
        <w:tc>
          <w:tcPr>
            <w:tcW w:w="6706" w:type="dxa"/>
            <w:tcMar>
              <w:top w:w="100" w:type="dxa"/>
              <w:left w:w="120" w:type="dxa"/>
              <w:bottom w:w="100" w:type="dxa"/>
              <w:right w:w="80" w:type="dxa"/>
            </w:tcMar>
          </w:tcPr>
          <w:p w14:paraId="444D99FE" w14:textId="77777777" w:rsidR="006270B5" w:rsidRDefault="00000000">
            <w:r>
              <w:rPr>
                <w:color w:val="1A1A2E"/>
                <w:sz w:val="19"/>
                <w:szCs w:val="19"/>
              </w:rPr>
              <w:t>Interactive choropleth world map (Events Map tab)</w:t>
            </w:r>
          </w:p>
        </w:tc>
      </w:tr>
      <w:tr w:rsidR="006270B5" w14:paraId="254097E8" w14:textId="77777777">
        <w:tblPrEx>
          <w:tblCellMar>
            <w:top w:w="0" w:type="dxa"/>
            <w:bottom w:w="0" w:type="dxa"/>
          </w:tblCellMar>
        </w:tblPrEx>
        <w:tc>
          <w:tcPr>
            <w:tcW w:w="2607" w:type="dxa"/>
            <w:tcMar>
              <w:top w:w="100" w:type="dxa"/>
              <w:left w:w="120" w:type="dxa"/>
              <w:bottom w:w="100" w:type="dxa"/>
              <w:right w:w="80" w:type="dxa"/>
            </w:tcMar>
          </w:tcPr>
          <w:p w14:paraId="1E8CFD6E" w14:textId="77777777" w:rsidR="006270B5" w:rsidRDefault="00000000">
            <w:r>
              <w:rPr>
                <w:color w:val="1A1A2E"/>
                <w:sz w:val="19"/>
                <w:szCs w:val="19"/>
              </w:rPr>
              <w:t xml:space="preserve">sf / </w:t>
            </w:r>
            <w:proofErr w:type="spellStart"/>
            <w:r>
              <w:rPr>
                <w:color w:val="1A1A2E"/>
                <w:sz w:val="19"/>
                <w:szCs w:val="19"/>
              </w:rPr>
              <w:t>rnaturalearth</w:t>
            </w:r>
            <w:proofErr w:type="spellEnd"/>
          </w:p>
        </w:tc>
        <w:tc>
          <w:tcPr>
            <w:tcW w:w="6706" w:type="dxa"/>
            <w:tcMar>
              <w:top w:w="100" w:type="dxa"/>
              <w:left w:w="120" w:type="dxa"/>
              <w:bottom w:w="100" w:type="dxa"/>
              <w:right w:w="80" w:type="dxa"/>
            </w:tcMar>
          </w:tcPr>
          <w:p w14:paraId="21E33A4E" w14:textId="77777777" w:rsidR="006270B5" w:rsidRDefault="00000000">
            <w:r>
              <w:rPr>
                <w:color w:val="1A1A2E"/>
                <w:sz w:val="19"/>
                <w:szCs w:val="19"/>
              </w:rPr>
              <w:t>Real country boundary polygons for the choropleth</w:t>
            </w:r>
          </w:p>
        </w:tc>
      </w:tr>
      <w:tr w:rsidR="006270B5" w14:paraId="238C94EC" w14:textId="77777777">
        <w:tblPrEx>
          <w:tblCellMar>
            <w:top w:w="0" w:type="dxa"/>
            <w:bottom w:w="0" w:type="dxa"/>
          </w:tblCellMar>
        </w:tblPrEx>
        <w:tc>
          <w:tcPr>
            <w:tcW w:w="2607" w:type="dxa"/>
            <w:tcMar>
              <w:top w:w="100" w:type="dxa"/>
              <w:left w:w="120" w:type="dxa"/>
              <w:bottom w:w="100" w:type="dxa"/>
              <w:right w:w="80" w:type="dxa"/>
            </w:tcMar>
          </w:tcPr>
          <w:p w14:paraId="3A106364" w14:textId="77777777" w:rsidR="006270B5" w:rsidRDefault="00000000">
            <w:proofErr w:type="spellStart"/>
            <w:r>
              <w:rPr>
                <w:color w:val="1A1A2E"/>
                <w:sz w:val="19"/>
                <w:szCs w:val="19"/>
              </w:rPr>
              <w:t>plotly</w:t>
            </w:r>
            <w:proofErr w:type="spellEnd"/>
          </w:p>
        </w:tc>
        <w:tc>
          <w:tcPr>
            <w:tcW w:w="6706" w:type="dxa"/>
            <w:tcMar>
              <w:top w:w="100" w:type="dxa"/>
              <w:left w:w="120" w:type="dxa"/>
              <w:bottom w:w="100" w:type="dxa"/>
              <w:right w:w="80" w:type="dxa"/>
            </w:tcMar>
          </w:tcPr>
          <w:p w14:paraId="21C1D171" w14:textId="77777777" w:rsidR="006270B5" w:rsidRDefault="00000000">
            <w:r>
              <w:rPr>
                <w:color w:val="1A1A2E"/>
                <w:sz w:val="19"/>
                <w:szCs w:val="19"/>
              </w:rPr>
              <w:t>Interactive charts (bar, line, donut) across all tabs</w:t>
            </w:r>
          </w:p>
        </w:tc>
      </w:tr>
      <w:tr w:rsidR="006270B5" w14:paraId="65C90FD6" w14:textId="77777777">
        <w:tblPrEx>
          <w:tblCellMar>
            <w:top w:w="0" w:type="dxa"/>
            <w:bottom w:w="0" w:type="dxa"/>
          </w:tblCellMar>
        </w:tblPrEx>
        <w:tc>
          <w:tcPr>
            <w:tcW w:w="2607" w:type="dxa"/>
            <w:tcMar>
              <w:top w:w="100" w:type="dxa"/>
              <w:left w:w="120" w:type="dxa"/>
              <w:bottom w:w="100" w:type="dxa"/>
              <w:right w:w="80" w:type="dxa"/>
            </w:tcMar>
          </w:tcPr>
          <w:p w14:paraId="6339F667" w14:textId="77777777" w:rsidR="006270B5" w:rsidRDefault="00000000">
            <w:proofErr w:type="spellStart"/>
            <w:r>
              <w:rPr>
                <w:color w:val="1A1A2E"/>
                <w:sz w:val="19"/>
                <w:szCs w:val="19"/>
              </w:rPr>
              <w:t>dplyr</w:t>
            </w:r>
            <w:proofErr w:type="spellEnd"/>
          </w:p>
        </w:tc>
        <w:tc>
          <w:tcPr>
            <w:tcW w:w="6706" w:type="dxa"/>
            <w:tcMar>
              <w:top w:w="100" w:type="dxa"/>
              <w:left w:w="120" w:type="dxa"/>
              <w:bottom w:w="100" w:type="dxa"/>
              <w:right w:w="80" w:type="dxa"/>
            </w:tcMar>
          </w:tcPr>
          <w:p w14:paraId="41AEB0FF" w14:textId="77777777" w:rsidR="006270B5" w:rsidRDefault="00000000">
            <w:r>
              <w:rPr>
                <w:color w:val="1A1A2E"/>
                <w:sz w:val="19"/>
                <w:szCs w:val="19"/>
              </w:rPr>
              <w:t xml:space="preserve">Data filtering, </w:t>
            </w:r>
            <w:proofErr w:type="gramStart"/>
            <w:r>
              <w:rPr>
                <w:color w:val="1A1A2E"/>
                <w:sz w:val="19"/>
                <w:szCs w:val="19"/>
              </w:rPr>
              <w:t>joins</w:t>
            </w:r>
            <w:proofErr w:type="gramEnd"/>
            <w:r>
              <w:rPr>
                <w:color w:val="1A1A2E"/>
                <w:sz w:val="19"/>
                <w:szCs w:val="19"/>
              </w:rPr>
              <w:t>, and aggregation</w:t>
            </w:r>
          </w:p>
        </w:tc>
      </w:tr>
      <w:tr w:rsidR="006270B5" w14:paraId="1C23C7B4" w14:textId="77777777">
        <w:tblPrEx>
          <w:tblCellMar>
            <w:top w:w="0" w:type="dxa"/>
            <w:bottom w:w="0" w:type="dxa"/>
          </w:tblCellMar>
        </w:tblPrEx>
        <w:tc>
          <w:tcPr>
            <w:tcW w:w="2607" w:type="dxa"/>
            <w:tcMar>
              <w:top w:w="100" w:type="dxa"/>
              <w:left w:w="120" w:type="dxa"/>
              <w:bottom w:w="100" w:type="dxa"/>
              <w:right w:w="80" w:type="dxa"/>
            </w:tcMar>
          </w:tcPr>
          <w:p w14:paraId="6D715F7A" w14:textId="77777777" w:rsidR="006270B5" w:rsidRDefault="00000000">
            <w:r>
              <w:rPr>
                <w:color w:val="1A1A2E"/>
                <w:sz w:val="19"/>
                <w:szCs w:val="19"/>
              </w:rPr>
              <w:t>DT</w:t>
            </w:r>
          </w:p>
        </w:tc>
        <w:tc>
          <w:tcPr>
            <w:tcW w:w="6706" w:type="dxa"/>
            <w:tcMar>
              <w:top w:w="100" w:type="dxa"/>
              <w:left w:w="120" w:type="dxa"/>
              <w:bottom w:w="100" w:type="dxa"/>
              <w:right w:w="80" w:type="dxa"/>
            </w:tcMar>
          </w:tcPr>
          <w:p w14:paraId="3168CA40" w14:textId="77777777" w:rsidR="006270B5" w:rsidRDefault="00000000">
            <w:r>
              <w:rPr>
                <w:color w:val="1A1A2E"/>
                <w:sz w:val="19"/>
                <w:szCs w:val="19"/>
              </w:rPr>
              <w:t>Sortable, searchable data table (Appeals tab)</w:t>
            </w:r>
          </w:p>
        </w:tc>
      </w:tr>
      <w:tr w:rsidR="006270B5" w14:paraId="7A6FB43A" w14:textId="77777777">
        <w:tblPrEx>
          <w:tblCellMar>
            <w:top w:w="0" w:type="dxa"/>
            <w:bottom w:w="0" w:type="dxa"/>
          </w:tblCellMar>
        </w:tblPrEx>
        <w:tc>
          <w:tcPr>
            <w:tcW w:w="2607" w:type="dxa"/>
            <w:tcMar>
              <w:top w:w="100" w:type="dxa"/>
              <w:left w:w="120" w:type="dxa"/>
              <w:bottom w:w="100" w:type="dxa"/>
              <w:right w:w="80" w:type="dxa"/>
            </w:tcMar>
          </w:tcPr>
          <w:p w14:paraId="23B0FEB0" w14:textId="77777777" w:rsidR="006270B5" w:rsidRDefault="00000000">
            <w:proofErr w:type="spellStart"/>
            <w:r>
              <w:rPr>
                <w:color w:val="1A1A2E"/>
                <w:sz w:val="19"/>
                <w:szCs w:val="19"/>
              </w:rPr>
              <w:t>lubridate</w:t>
            </w:r>
            <w:proofErr w:type="spellEnd"/>
            <w:r>
              <w:rPr>
                <w:color w:val="1A1A2E"/>
                <w:sz w:val="19"/>
                <w:szCs w:val="19"/>
              </w:rPr>
              <w:t xml:space="preserve"> / </w:t>
            </w:r>
            <w:proofErr w:type="spellStart"/>
            <w:r>
              <w:rPr>
                <w:color w:val="1A1A2E"/>
                <w:sz w:val="19"/>
                <w:szCs w:val="19"/>
              </w:rPr>
              <w:t>stringr</w:t>
            </w:r>
            <w:proofErr w:type="spellEnd"/>
            <w:r>
              <w:rPr>
                <w:color w:val="1A1A2E"/>
                <w:sz w:val="19"/>
                <w:szCs w:val="19"/>
              </w:rPr>
              <w:t xml:space="preserve"> / scales</w:t>
            </w:r>
          </w:p>
        </w:tc>
        <w:tc>
          <w:tcPr>
            <w:tcW w:w="6706" w:type="dxa"/>
            <w:tcMar>
              <w:top w:w="100" w:type="dxa"/>
              <w:left w:w="120" w:type="dxa"/>
              <w:bottom w:w="100" w:type="dxa"/>
              <w:right w:w="80" w:type="dxa"/>
            </w:tcMar>
          </w:tcPr>
          <w:p w14:paraId="5827658D" w14:textId="77777777" w:rsidR="006270B5" w:rsidRDefault="00000000">
            <w:r>
              <w:rPr>
                <w:color w:val="1A1A2E"/>
                <w:sz w:val="19"/>
                <w:szCs w:val="19"/>
              </w:rPr>
              <w:t>Date handling, text cleaning, number formatting</w:t>
            </w:r>
          </w:p>
        </w:tc>
      </w:tr>
    </w:tbl>
    <w:p w14:paraId="2A620564" w14:textId="77777777" w:rsidR="006270B5" w:rsidRDefault="006270B5">
      <w:pPr>
        <w:spacing w:after="160"/>
      </w:pPr>
    </w:p>
    <w:p w14:paraId="71791DE2" w14:textId="008CEE44" w:rsidR="006270B5" w:rsidRDefault="00000000" w:rsidP="00B164DF">
      <w:pPr>
        <w:spacing w:after="160" w:line="276" w:lineRule="auto"/>
        <w:jc w:val="both"/>
      </w:pPr>
      <w:r>
        <w:rPr>
          <w:color w:val="1A1A2E"/>
        </w:rPr>
        <w:t>All filters across the three tabs are reactive: selecting a region, country, disaster type, severity level, or year range immediately recalculates the map, charts, and data table without reloading the page.</w:t>
      </w:r>
    </w:p>
    <w:p w14:paraId="4E7C54DF" w14:textId="603230F4" w:rsidR="006270B5" w:rsidRDefault="00000000">
      <w:pPr>
        <w:pStyle w:val="Heading1"/>
        <w:pBdr>
          <w:bottom w:val="single" w:sz="14" w:space="6" w:color="CC0033"/>
        </w:pBdr>
        <w:spacing w:before="300" w:after="160"/>
      </w:pPr>
      <w:r>
        <w:rPr>
          <w:b/>
          <w:bCs/>
          <w:color w:val="CC0033"/>
          <w:sz w:val="30"/>
          <w:szCs w:val="30"/>
        </w:rPr>
        <w:t>3. Dashboard Walkthrough</w:t>
      </w:r>
    </w:p>
    <w:p w14:paraId="12D0CCE6" w14:textId="77777777" w:rsidR="006270B5" w:rsidRDefault="00000000">
      <w:pPr>
        <w:spacing w:after="160" w:line="276" w:lineRule="auto"/>
        <w:jc w:val="both"/>
      </w:pPr>
      <w:r>
        <w:rPr>
          <w:color w:val="1A1A2E"/>
        </w:rPr>
        <w:t xml:space="preserve">The dashboard is </w:t>
      </w:r>
      <w:proofErr w:type="spellStart"/>
      <w:r>
        <w:rPr>
          <w:color w:val="1A1A2E"/>
        </w:rPr>
        <w:t>organised</w:t>
      </w:r>
      <w:proofErr w:type="spellEnd"/>
      <w:r>
        <w:rPr>
          <w:color w:val="1A1A2E"/>
        </w:rPr>
        <w:t xml:space="preserve"> into three tabs, each covering a different angle on the same underlying data: where disasters are happening, how well they are funded, and what patterns emerge over time.</w:t>
      </w:r>
    </w:p>
    <w:p w14:paraId="6F515DE2" w14:textId="77777777" w:rsidR="006270B5" w:rsidRDefault="006270B5">
      <w:pPr>
        <w:spacing w:after="8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6270B5" w14:paraId="46F262E2" w14:textId="77777777">
        <w:tblPrEx>
          <w:tblCellMar>
            <w:top w:w="0" w:type="dxa"/>
            <w:bottom w:w="0" w:type="dxa"/>
          </w:tblCellMar>
        </w:tblPrEx>
        <w:tc>
          <w:tcPr>
            <w:tcW w:w="9314" w:type="dxa"/>
            <w:shd w:val="clear" w:color="auto" w:fill="CC0033"/>
            <w:tcMar>
              <w:top w:w="140" w:type="dxa"/>
              <w:left w:w="200" w:type="dxa"/>
              <w:bottom w:w="140" w:type="dxa"/>
              <w:right w:w="200" w:type="dxa"/>
            </w:tcMar>
            <w:vAlign w:val="center"/>
          </w:tcPr>
          <w:p w14:paraId="1F8B8823" w14:textId="77777777" w:rsidR="006270B5" w:rsidRDefault="00000000">
            <w:r>
              <w:rPr>
                <w:b/>
                <w:bCs/>
                <w:color w:val="FFFFFF"/>
                <w:sz w:val="22"/>
                <w:szCs w:val="22"/>
              </w:rPr>
              <w:t>TAB 1 — Events Map</w:t>
            </w:r>
          </w:p>
        </w:tc>
      </w:tr>
    </w:tbl>
    <w:p w14:paraId="5BC84C78" w14:textId="77777777" w:rsidR="006270B5" w:rsidRDefault="006270B5">
      <w:pPr>
        <w:spacing w:after="160"/>
      </w:pPr>
    </w:p>
    <w:p w14:paraId="2E2A85AA" w14:textId="03101BD9" w:rsidR="006270B5" w:rsidRDefault="00000000">
      <w:pPr>
        <w:spacing w:after="160" w:line="276" w:lineRule="auto"/>
        <w:jc w:val="both"/>
      </w:pPr>
      <w:r>
        <w:rPr>
          <w:color w:val="1A1A2E"/>
        </w:rPr>
        <w:t xml:space="preserve">The Events Map tab is the dashboard's entry point. On the left, five filters (region, country, disaster type, severity, and a year-range slider) narrow the dataset in real time, with a live-updating list of matching events below. On the </w:t>
      </w:r>
      <w:r>
        <w:rPr>
          <w:color w:val="1A1A2E"/>
        </w:rPr>
        <w:lastRenderedPageBreak/>
        <w:t xml:space="preserve">right, an interactive choropleth map </w:t>
      </w:r>
      <w:proofErr w:type="spellStart"/>
      <w:r>
        <w:rPr>
          <w:color w:val="1A1A2E"/>
        </w:rPr>
        <w:t>colours</w:t>
      </w:r>
      <w:proofErr w:type="spellEnd"/>
      <w:r>
        <w:rPr>
          <w:color w:val="1A1A2E"/>
        </w:rPr>
        <w:t xml:space="preserve"> every country by how many matching events it has logged darker red means more events, and countries with zero matching events still render in light grey rather than being left blank, so the map always shows the complete picture rather than only a partial one.</w:t>
      </w:r>
    </w:p>
    <w:p w14:paraId="30569E14" w14:textId="77777777" w:rsidR="006270B5" w:rsidRDefault="00000000">
      <w:pPr>
        <w:keepNext/>
        <w:spacing w:before="100"/>
        <w:jc w:val="center"/>
      </w:pPr>
      <w:r>
        <w:rPr>
          <w:noProof/>
        </w:rPr>
        <w:drawing>
          <wp:inline distT="0" distB="0" distL="0" distR="0" wp14:anchorId="5FF46365" wp14:editId="72121A86">
            <wp:extent cx="5981700" cy="2990850"/>
            <wp:effectExtent l="0" t="0" r="0" b="0"/>
            <wp:docPr id="539344003" name="Picture 539344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81700" cy="2990850"/>
                    </a:xfrm>
                    <a:prstGeom prst="rect">
                      <a:avLst/>
                    </a:prstGeom>
                  </pic:spPr>
                </pic:pic>
              </a:graphicData>
            </a:graphic>
          </wp:inline>
        </w:drawing>
      </w:r>
    </w:p>
    <w:p w14:paraId="05FB3E82" w14:textId="77777777" w:rsidR="006270B5" w:rsidRDefault="00000000">
      <w:pPr>
        <w:spacing w:before="60" w:after="220"/>
        <w:jc w:val="center"/>
      </w:pPr>
      <w:r>
        <w:rPr>
          <w:i/>
          <w:iCs/>
          <w:color w:val="6B7280"/>
          <w:sz w:val="17"/>
          <w:szCs w:val="17"/>
        </w:rPr>
        <w:t>Figure 1. Events Map tab — filter panel and country choropleth.</w:t>
      </w:r>
    </w:p>
    <w:p w14:paraId="718DE0FD" w14:textId="77777777" w:rsidR="00B164DF" w:rsidRDefault="00000000" w:rsidP="00B164DF">
      <w:pPr>
        <w:spacing w:after="160" w:line="276" w:lineRule="auto"/>
        <w:jc w:val="both"/>
        <w:rPr>
          <w:color w:val="1A1A2E"/>
        </w:rPr>
      </w:pPr>
      <w:r>
        <w:rPr>
          <w:color w:val="1A1A2E"/>
        </w:rPr>
        <w:t xml:space="preserve">Clicking any country on the map, or any event in the list, opens a detail panel with the disaster's name, country, date, type, IFRC severity rating, the responding National Society (with a live link to its website), and a </w:t>
      </w:r>
      <w:proofErr w:type="gramStart"/>
      <w:r>
        <w:rPr>
          <w:color w:val="1A1A2E"/>
        </w:rPr>
        <w:t>cleaned</w:t>
      </w:r>
      <w:proofErr w:type="gramEnd"/>
      <w:r>
        <w:rPr>
          <w:color w:val="1A1A2E"/>
        </w:rPr>
        <w:t xml:space="preserve"> summary of the situational report.</w:t>
      </w:r>
    </w:p>
    <w:p w14:paraId="125BC8EC" w14:textId="77777777" w:rsidR="00B164DF" w:rsidRDefault="00B164DF" w:rsidP="00B164DF">
      <w:pPr>
        <w:spacing w:after="160" w:line="276" w:lineRule="auto"/>
        <w:jc w:val="both"/>
        <w:rPr>
          <w:color w:val="1A1A2E"/>
        </w:rPr>
      </w:pPr>
    </w:p>
    <w:p w14:paraId="2FA1B8F3" w14:textId="6AFD4C0F" w:rsidR="006270B5" w:rsidRDefault="00000000" w:rsidP="00B164DF">
      <w:pPr>
        <w:spacing w:after="160" w:line="276" w:lineRule="auto"/>
        <w:jc w:val="both"/>
      </w:pPr>
      <w:r>
        <w:rPr>
          <w:noProof/>
        </w:rPr>
        <w:drawing>
          <wp:inline distT="0" distB="0" distL="0" distR="0" wp14:anchorId="3F8F38D7" wp14:editId="0A23327D">
            <wp:extent cx="6050317" cy="3003550"/>
            <wp:effectExtent l="0" t="0" r="7620" b="6350"/>
            <wp:docPr id="2068972944" name="Picture 2068972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67207" cy="3011935"/>
                    </a:xfrm>
                    <a:prstGeom prst="rect">
                      <a:avLst/>
                    </a:prstGeom>
                  </pic:spPr>
                </pic:pic>
              </a:graphicData>
            </a:graphic>
          </wp:inline>
        </w:drawing>
      </w:r>
    </w:p>
    <w:p w14:paraId="6A410D81" w14:textId="77777777" w:rsidR="006270B5" w:rsidRDefault="00000000">
      <w:pPr>
        <w:spacing w:before="60" w:after="220"/>
        <w:jc w:val="center"/>
      </w:pPr>
      <w:r>
        <w:rPr>
          <w:i/>
          <w:iCs/>
          <w:color w:val="6B7280"/>
          <w:sz w:val="17"/>
          <w:szCs w:val="17"/>
        </w:rPr>
        <w:t>Figure 2. Clicking an event (here, a flood in Kyrgyzstan) opens its full detail panel, including the National Society link and situational report summary.</w:t>
      </w:r>
    </w:p>
    <w:p w14:paraId="5CAFF5CA" w14:textId="77777777" w:rsidR="006270B5" w:rsidRDefault="00000000">
      <w:r>
        <w:br w:type="page"/>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6270B5" w14:paraId="590320A5" w14:textId="77777777">
        <w:tblPrEx>
          <w:tblCellMar>
            <w:top w:w="0" w:type="dxa"/>
            <w:bottom w:w="0" w:type="dxa"/>
          </w:tblCellMar>
        </w:tblPrEx>
        <w:tc>
          <w:tcPr>
            <w:tcW w:w="9314" w:type="dxa"/>
            <w:shd w:val="clear" w:color="auto" w:fill="CC0033"/>
            <w:tcMar>
              <w:top w:w="140" w:type="dxa"/>
              <w:left w:w="200" w:type="dxa"/>
              <w:bottom w:w="140" w:type="dxa"/>
              <w:right w:w="200" w:type="dxa"/>
            </w:tcMar>
            <w:vAlign w:val="center"/>
          </w:tcPr>
          <w:p w14:paraId="65751DBF" w14:textId="77777777" w:rsidR="006270B5" w:rsidRDefault="00000000">
            <w:r>
              <w:rPr>
                <w:b/>
                <w:bCs/>
                <w:color w:val="FFFFFF"/>
                <w:sz w:val="22"/>
                <w:szCs w:val="22"/>
              </w:rPr>
              <w:lastRenderedPageBreak/>
              <w:t>TAB 2 — Funding &amp; Appeals</w:t>
            </w:r>
          </w:p>
        </w:tc>
      </w:tr>
    </w:tbl>
    <w:p w14:paraId="6808483C" w14:textId="77777777" w:rsidR="006270B5" w:rsidRDefault="006270B5">
      <w:pPr>
        <w:spacing w:after="160"/>
      </w:pPr>
    </w:p>
    <w:p w14:paraId="20C80E06" w14:textId="77777777" w:rsidR="006270B5" w:rsidRDefault="00000000">
      <w:pPr>
        <w:spacing w:after="160" w:line="276" w:lineRule="auto"/>
        <w:jc w:val="both"/>
      </w:pPr>
      <w:r>
        <w:rPr>
          <w:color w:val="1A1A2E"/>
        </w:rPr>
        <w:t>The Funding &amp; Appeals tab answers the dashboard's most important question: is IFRC receiving the money it asks for? Four summary cards at the top give the headline numbers — total requested, total funded, the resulting gap, and the average percentage funded across all appeals — recalculated live as filters change.</w:t>
      </w:r>
    </w:p>
    <w:p w14:paraId="35CEC90F" w14:textId="77777777" w:rsidR="006270B5" w:rsidRDefault="00000000">
      <w:pPr>
        <w:keepNext/>
        <w:spacing w:before="100"/>
        <w:jc w:val="center"/>
      </w:pPr>
      <w:r>
        <w:rPr>
          <w:noProof/>
        </w:rPr>
        <w:drawing>
          <wp:inline distT="0" distB="0" distL="0" distR="0" wp14:anchorId="1911C15F" wp14:editId="00422739">
            <wp:extent cx="6038850" cy="3084127"/>
            <wp:effectExtent l="0" t="0" r="0" b="2540"/>
            <wp:docPr id="893551764" name="Picture 89355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64313" cy="3097131"/>
                    </a:xfrm>
                    <a:prstGeom prst="rect">
                      <a:avLst/>
                    </a:prstGeom>
                  </pic:spPr>
                </pic:pic>
              </a:graphicData>
            </a:graphic>
          </wp:inline>
        </w:drawing>
      </w:r>
    </w:p>
    <w:p w14:paraId="590405DC" w14:textId="77777777" w:rsidR="006270B5" w:rsidRDefault="00000000">
      <w:pPr>
        <w:spacing w:before="60" w:after="220"/>
        <w:jc w:val="center"/>
      </w:pPr>
      <w:r>
        <w:rPr>
          <w:i/>
          <w:iCs/>
          <w:color w:val="6B7280"/>
          <w:sz w:val="17"/>
          <w:szCs w:val="17"/>
        </w:rPr>
        <w:t>Figure 3. Funding &amp; Appeals tab — summary cards and the requested-vs-funded chart by region.</w:t>
      </w:r>
    </w:p>
    <w:p w14:paraId="0A61B8B8" w14:textId="77777777" w:rsidR="006270B5" w:rsidRDefault="00000000">
      <w:pPr>
        <w:spacing w:after="160" w:line="276" w:lineRule="auto"/>
        <w:jc w:val="both"/>
      </w:pPr>
      <w:r>
        <w:rPr>
          <w:color w:val="1A1A2E"/>
        </w:rPr>
        <w:t xml:space="preserve">Below the summary cards, a horizontal bar chart compares requested versus funded amounts by region, making it immediately visible that funding shortfalls are not evenly distributed — some regions consistently receive a larger share of what they ask for than others. A full, searchable appeal-level table sits beneath the chart, with </w:t>
      </w:r>
      <w:proofErr w:type="spellStart"/>
      <w:r>
        <w:rPr>
          <w:color w:val="1A1A2E"/>
        </w:rPr>
        <w:t>colour</w:t>
      </w:r>
      <w:proofErr w:type="spellEnd"/>
      <w:r>
        <w:rPr>
          <w:color w:val="1A1A2E"/>
        </w:rPr>
        <w:t>-coded status badges (Active, Closed, Frozen) and a direct link to each National Society's website.</w:t>
      </w:r>
    </w:p>
    <w:p w14:paraId="61F81E9E" w14:textId="77777777" w:rsidR="006270B5" w:rsidRDefault="00000000">
      <w:pPr>
        <w:keepNext/>
        <w:spacing w:before="100"/>
        <w:jc w:val="center"/>
      </w:pPr>
      <w:r>
        <w:rPr>
          <w:noProof/>
        </w:rPr>
        <w:drawing>
          <wp:inline distT="0" distB="0" distL="0" distR="0" wp14:anchorId="3D2254BD" wp14:editId="7DF8008E">
            <wp:extent cx="5822950" cy="2973864"/>
            <wp:effectExtent l="0" t="0" r="6350" b="0"/>
            <wp:docPr id="1433030875" name="Picture 1433030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31875" cy="2978422"/>
                    </a:xfrm>
                    <a:prstGeom prst="rect">
                      <a:avLst/>
                    </a:prstGeom>
                  </pic:spPr>
                </pic:pic>
              </a:graphicData>
            </a:graphic>
          </wp:inline>
        </w:drawing>
      </w:r>
    </w:p>
    <w:p w14:paraId="06BB80F3" w14:textId="77777777" w:rsidR="006270B5" w:rsidRDefault="00000000">
      <w:pPr>
        <w:spacing w:before="60" w:after="220"/>
        <w:jc w:val="center"/>
      </w:pPr>
      <w:r>
        <w:rPr>
          <w:i/>
          <w:iCs/>
          <w:color w:val="6B7280"/>
          <w:sz w:val="17"/>
          <w:szCs w:val="17"/>
        </w:rPr>
        <w:t>Figure 4. The appeal-level data table, with status badges and a live status guide explaining what each badge means.</w:t>
      </w:r>
    </w:p>
    <w:p w14:paraId="624E8CD1" w14:textId="77777777" w:rsidR="006270B5" w:rsidRDefault="00000000">
      <w:r>
        <w:br w:type="page"/>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4"/>
      </w:tblGrid>
      <w:tr w:rsidR="006270B5" w14:paraId="2DDB6B1F" w14:textId="77777777">
        <w:tblPrEx>
          <w:tblCellMar>
            <w:top w:w="0" w:type="dxa"/>
            <w:bottom w:w="0" w:type="dxa"/>
          </w:tblCellMar>
        </w:tblPrEx>
        <w:tc>
          <w:tcPr>
            <w:tcW w:w="9314" w:type="dxa"/>
            <w:shd w:val="clear" w:color="auto" w:fill="CC0033"/>
            <w:tcMar>
              <w:top w:w="140" w:type="dxa"/>
              <w:left w:w="200" w:type="dxa"/>
              <w:bottom w:w="140" w:type="dxa"/>
              <w:right w:w="200" w:type="dxa"/>
            </w:tcMar>
            <w:vAlign w:val="center"/>
          </w:tcPr>
          <w:p w14:paraId="7A7D2402" w14:textId="77777777" w:rsidR="006270B5" w:rsidRDefault="00000000">
            <w:r>
              <w:rPr>
                <w:b/>
                <w:bCs/>
                <w:color w:val="FFFFFF"/>
                <w:sz w:val="22"/>
                <w:szCs w:val="22"/>
              </w:rPr>
              <w:lastRenderedPageBreak/>
              <w:t>TAB 3 — Disaster Trends</w:t>
            </w:r>
          </w:p>
        </w:tc>
      </w:tr>
    </w:tbl>
    <w:p w14:paraId="55A94A9E" w14:textId="77777777" w:rsidR="006270B5" w:rsidRDefault="006270B5">
      <w:pPr>
        <w:spacing w:after="160"/>
      </w:pPr>
    </w:p>
    <w:p w14:paraId="5AA07EBE" w14:textId="016AB72B" w:rsidR="006270B5" w:rsidRDefault="00000000">
      <w:pPr>
        <w:spacing w:after="160" w:line="276" w:lineRule="auto"/>
        <w:jc w:val="both"/>
      </w:pPr>
      <w:r>
        <w:rPr>
          <w:color w:val="1A1A2E"/>
        </w:rPr>
        <w:t>The Disaster Trends tab steps back from individual events to show patterns across the whole dataset. A horizontal bar chart ranks disaster types by frequency floods dominate, consistent with their global reach and seasonal recurrence while a multi-line chart alongside it tracks how each disaster type's event count has moved year by year from 2023 to 2026.</w:t>
      </w:r>
    </w:p>
    <w:p w14:paraId="5A2B15B7" w14:textId="77777777" w:rsidR="006270B5" w:rsidRDefault="00000000">
      <w:pPr>
        <w:keepNext/>
        <w:spacing w:before="100"/>
        <w:jc w:val="center"/>
      </w:pPr>
      <w:r>
        <w:rPr>
          <w:noProof/>
        </w:rPr>
        <w:drawing>
          <wp:inline distT="0" distB="0" distL="0" distR="0" wp14:anchorId="176D0901" wp14:editId="2D05B1AD">
            <wp:extent cx="5846520" cy="2933700"/>
            <wp:effectExtent l="0" t="0" r="1905" b="0"/>
            <wp:docPr id="687780055" name="Picture 68778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56877" cy="2938897"/>
                    </a:xfrm>
                    <a:prstGeom prst="rect">
                      <a:avLst/>
                    </a:prstGeom>
                  </pic:spPr>
                </pic:pic>
              </a:graphicData>
            </a:graphic>
          </wp:inline>
        </w:drawing>
      </w:r>
    </w:p>
    <w:p w14:paraId="41ECED64" w14:textId="77777777" w:rsidR="006270B5" w:rsidRDefault="00000000">
      <w:pPr>
        <w:spacing w:before="60" w:after="220"/>
        <w:jc w:val="center"/>
      </w:pPr>
      <w:r>
        <w:rPr>
          <w:i/>
          <w:iCs/>
          <w:color w:val="6B7280"/>
          <w:sz w:val="17"/>
          <w:szCs w:val="17"/>
        </w:rPr>
        <w:t>Figure 5. Disaster type frequency (left) and year-by-year trend per disaster type (right).</w:t>
      </w:r>
    </w:p>
    <w:p w14:paraId="395BDBFC" w14:textId="41867C3F" w:rsidR="006270B5" w:rsidRDefault="00000000">
      <w:pPr>
        <w:spacing w:after="160" w:line="276" w:lineRule="auto"/>
        <w:jc w:val="both"/>
      </w:pPr>
      <w:r>
        <w:rPr>
          <w:color w:val="1A1A2E"/>
        </w:rPr>
        <w:t>Underneath, a donut chart breaks down IFRC's own severity classification (Yellow, Orange, Red) across all logged events, and a second bar chart ranks the 15 most affected countries by raw event count giving a quick answer to “where is this happening most?” without needing to touch a filter.</w:t>
      </w:r>
    </w:p>
    <w:p w14:paraId="14133767" w14:textId="77777777" w:rsidR="006270B5" w:rsidRDefault="00000000">
      <w:pPr>
        <w:keepNext/>
        <w:spacing w:before="100"/>
        <w:jc w:val="center"/>
      </w:pPr>
      <w:r>
        <w:rPr>
          <w:noProof/>
        </w:rPr>
        <w:drawing>
          <wp:inline distT="0" distB="0" distL="0" distR="0" wp14:anchorId="75D5872B" wp14:editId="40AD61ED">
            <wp:extent cx="5968112" cy="3048000"/>
            <wp:effectExtent l="0" t="0" r="0" b="0"/>
            <wp:docPr id="1724361598" name="Picture 172436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79084" cy="3053603"/>
                    </a:xfrm>
                    <a:prstGeom prst="rect">
                      <a:avLst/>
                    </a:prstGeom>
                  </pic:spPr>
                </pic:pic>
              </a:graphicData>
            </a:graphic>
          </wp:inline>
        </w:drawing>
      </w:r>
    </w:p>
    <w:p w14:paraId="404130A0" w14:textId="77777777" w:rsidR="006270B5" w:rsidRDefault="00000000">
      <w:pPr>
        <w:spacing w:before="60" w:after="220"/>
        <w:jc w:val="center"/>
      </w:pPr>
      <w:r>
        <w:rPr>
          <w:i/>
          <w:iCs/>
          <w:color w:val="6B7280"/>
          <w:sz w:val="17"/>
          <w:szCs w:val="17"/>
        </w:rPr>
        <w:t>Figure 6. Severity distribution (left) and the 15 most affected countries by event count (right).</w:t>
      </w:r>
    </w:p>
    <w:p w14:paraId="1FF34B89" w14:textId="77777777" w:rsidR="006270B5" w:rsidRDefault="00000000">
      <w:r>
        <w:br w:type="page"/>
      </w:r>
    </w:p>
    <w:p w14:paraId="53A57F57" w14:textId="77777777" w:rsidR="006270B5" w:rsidRDefault="00000000">
      <w:pPr>
        <w:pStyle w:val="Heading1"/>
        <w:pBdr>
          <w:bottom w:val="single" w:sz="14" w:space="6" w:color="CC0033"/>
        </w:pBdr>
        <w:spacing w:before="300" w:after="160"/>
      </w:pPr>
      <w:r>
        <w:rPr>
          <w:b/>
          <w:bCs/>
          <w:color w:val="CC0033"/>
          <w:sz w:val="30"/>
          <w:szCs w:val="30"/>
        </w:rPr>
        <w:lastRenderedPageBreak/>
        <w:t>4. Design &amp; Branding</w:t>
      </w:r>
    </w:p>
    <w:p w14:paraId="0F130BC5" w14:textId="77777777" w:rsidR="006270B5" w:rsidRDefault="00000000">
      <w:pPr>
        <w:spacing w:after="160" w:line="276" w:lineRule="auto"/>
        <w:jc w:val="both"/>
      </w:pPr>
      <w:r>
        <w:rPr>
          <w:color w:val="1A1A2E"/>
        </w:rPr>
        <w:t xml:space="preserve">The dashboard's visual identity was built to match IFRC's own brand rather than </w:t>
      </w:r>
      <w:proofErr w:type="gramStart"/>
      <w:r>
        <w:rPr>
          <w:color w:val="1A1A2E"/>
        </w:rPr>
        <w:t>use</w:t>
      </w:r>
      <w:proofErr w:type="gramEnd"/>
      <w:r>
        <w:rPr>
          <w:color w:val="1A1A2E"/>
        </w:rPr>
        <w:t xml:space="preserve"> Shiny's default styling. All UI elements were </w:t>
      </w:r>
      <w:proofErr w:type="gramStart"/>
      <w:r>
        <w:rPr>
          <w:color w:val="1A1A2E"/>
        </w:rPr>
        <w:t>custom-styled</w:t>
      </w:r>
      <w:proofErr w:type="gramEnd"/>
      <w:r>
        <w:rPr>
          <w:color w:val="1A1A2E"/>
        </w:rPr>
        <w:t xml:space="preserve"> with CSS layered on top of the standard Shiny/Bootstrap components:</w:t>
      </w:r>
    </w:p>
    <w:p w14:paraId="68B72BE7" w14:textId="77777777" w:rsidR="006270B5" w:rsidRDefault="00000000">
      <w:pPr>
        <w:pStyle w:val="ListParagraph"/>
        <w:numPr>
          <w:ilvl w:val="0"/>
          <w:numId w:val="2"/>
        </w:numPr>
        <w:spacing w:after="80" w:line="264" w:lineRule="auto"/>
      </w:pPr>
      <w:r>
        <w:rPr>
          <w:color w:val="1A1A2E"/>
        </w:rPr>
        <w:t xml:space="preserve">Primary </w:t>
      </w:r>
      <w:proofErr w:type="gramStart"/>
      <w:r>
        <w:rPr>
          <w:color w:val="1A1A2E"/>
        </w:rPr>
        <w:t>red (#</w:t>
      </w:r>
      <w:proofErr w:type="gramEnd"/>
      <w:r>
        <w:rPr>
          <w:color w:val="1A1A2E"/>
        </w:rPr>
        <w:t>CC0033) used for the top bar, active tab underline, key statistics, and chart accents.</w:t>
      </w:r>
    </w:p>
    <w:p w14:paraId="561C249E" w14:textId="20EF9A45" w:rsidR="006270B5" w:rsidRDefault="00000000">
      <w:pPr>
        <w:pStyle w:val="ListParagraph"/>
        <w:numPr>
          <w:ilvl w:val="0"/>
          <w:numId w:val="2"/>
        </w:numPr>
        <w:spacing w:after="80" w:line="264" w:lineRule="auto"/>
      </w:pPr>
      <w:r>
        <w:rPr>
          <w:color w:val="1A1A2E"/>
        </w:rPr>
        <w:t xml:space="preserve">Neutral </w:t>
      </w:r>
      <w:r w:rsidR="00B164DF">
        <w:rPr>
          <w:color w:val="1A1A2E"/>
        </w:rPr>
        <w:t>grays (</w:t>
      </w:r>
      <w:proofErr w:type="gramStart"/>
      <w:r>
        <w:rPr>
          <w:color w:val="1A1A2E"/>
        </w:rPr>
        <w:t>6B7280 / #</w:t>
      </w:r>
      <w:proofErr w:type="gramEnd"/>
      <w:r>
        <w:rPr>
          <w:color w:val="1A1A2E"/>
        </w:rPr>
        <w:t>E5E7EB) for secondary text, borders, and card backgrounds, keeping the red reserved for what matters most.</w:t>
      </w:r>
    </w:p>
    <w:p w14:paraId="10B5AA3A" w14:textId="4E4C5D85" w:rsidR="006270B5" w:rsidRDefault="00000000">
      <w:pPr>
        <w:pStyle w:val="ListParagraph"/>
        <w:numPr>
          <w:ilvl w:val="0"/>
          <w:numId w:val="2"/>
        </w:numPr>
        <w:spacing w:after="80" w:line="264" w:lineRule="auto"/>
      </w:pPr>
      <w:proofErr w:type="gramStart"/>
      <w:r>
        <w:rPr>
          <w:color w:val="1A1A2E"/>
        </w:rPr>
        <w:t>Card-based layout every</w:t>
      </w:r>
      <w:proofErr w:type="gramEnd"/>
      <w:r>
        <w:rPr>
          <w:color w:val="1A1A2E"/>
        </w:rPr>
        <w:t xml:space="preserve"> chart, table, and panel sits in its own white rounded card with a subtle shadow, consistent across all three tabs.</w:t>
      </w:r>
    </w:p>
    <w:p w14:paraId="24502AF8" w14:textId="77777777" w:rsidR="006270B5" w:rsidRDefault="00000000">
      <w:pPr>
        <w:pStyle w:val="ListParagraph"/>
        <w:numPr>
          <w:ilvl w:val="0"/>
          <w:numId w:val="2"/>
        </w:numPr>
        <w:spacing w:after="80" w:line="264" w:lineRule="auto"/>
      </w:pPr>
      <w:r>
        <w:rPr>
          <w:color w:val="1A1A2E"/>
        </w:rPr>
        <w:t>Inter typeface (loaded from Google Fonts) for a clean, modern sans-serif look throughout.</w:t>
      </w:r>
    </w:p>
    <w:p w14:paraId="328D32E7" w14:textId="1001CBF3" w:rsidR="006270B5" w:rsidRDefault="00000000">
      <w:pPr>
        <w:pStyle w:val="ListParagraph"/>
        <w:numPr>
          <w:ilvl w:val="0"/>
          <w:numId w:val="2"/>
        </w:numPr>
        <w:spacing w:after="80" w:line="264" w:lineRule="auto"/>
      </w:pPr>
      <w:r>
        <w:rPr>
          <w:color w:val="1A1A2E"/>
        </w:rPr>
        <w:t xml:space="preserve">Status </w:t>
      </w:r>
      <w:proofErr w:type="spellStart"/>
      <w:r>
        <w:rPr>
          <w:color w:val="1A1A2E"/>
        </w:rPr>
        <w:t>colour</w:t>
      </w:r>
      <w:proofErr w:type="spellEnd"/>
      <w:r>
        <w:rPr>
          <w:color w:val="1A1A2E"/>
        </w:rPr>
        <w:t xml:space="preserve"> coding green for funded amounts, red for gaps, orange for percentages, and a traffic-light badge system (green/yellow/gray) for appeal status.</w:t>
      </w:r>
    </w:p>
    <w:p w14:paraId="6DE69458" w14:textId="77777777" w:rsidR="006270B5" w:rsidRDefault="00000000">
      <w:r>
        <w:br w:type="page"/>
      </w:r>
    </w:p>
    <w:p w14:paraId="41D5D84C" w14:textId="77777777" w:rsidR="006270B5" w:rsidRDefault="00000000">
      <w:pPr>
        <w:pStyle w:val="Heading1"/>
        <w:pBdr>
          <w:bottom w:val="single" w:sz="14" w:space="6" w:color="CC0033"/>
        </w:pBdr>
        <w:spacing w:before="300" w:after="160"/>
      </w:pPr>
      <w:r>
        <w:rPr>
          <w:b/>
          <w:bCs/>
          <w:color w:val="CC0033"/>
          <w:sz w:val="30"/>
          <w:szCs w:val="30"/>
        </w:rPr>
        <w:lastRenderedPageBreak/>
        <w:t>5. Data Integrity Notes</w:t>
      </w:r>
    </w:p>
    <w:p w14:paraId="43D7BDD7" w14:textId="77777777" w:rsidR="006270B5" w:rsidRDefault="00000000">
      <w:pPr>
        <w:spacing w:after="160" w:line="276" w:lineRule="auto"/>
        <w:jc w:val="both"/>
      </w:pPr>
      <w:r>
        <w:rPr>
          <w:color w:val="1A1A2E"/>
        </w:rPr>
        <w:t>In keeping with the same principle applied throughout this project's companion storyboard, the dashboard is built exclusively from real, unedited fields in the source datasets. Two limitations are worth stating explicitly:</w:t>
      </w:r>
    </w:p>
    <w:p w14:paraId="469ABFF7" w14:textId="77777777" w:rsidR="006270B5" w:rsidRDefault="00000000">
      <w:pPr>
        <w:pStyle w:val="ListParagraph"/>
        <w:numPr>
          <w:ilvl w:val="0"/>
          <w:numId w:val="2"/>
        </w:numPr>
        <w:spacing w:after="80" w:line="264" w:lineRule="auto"/>
      </w:pPr>
      <w:r>
        <w:rPr>
          <w:color w:val="1A1A2E"/>
        </w:rPr>
        <w:t xml:space="preserve">The map </w:t>
      </w:r>
      <w:proofErr w:type="spellStart"/>
      <w:r>
        <w:rPr>
          <w:color w:val="1A1A2E"/>
        </w:rPr>
        <w:t>colours</w:t>
      </w:r>
      <w:proofErr w:type="spellEnd"/>
      <w:r>
        <w:rPr>
          <w:color w:val="1A1A2E"/>
        </w:rPr>
        <w:t xml:space="preserve"> and event counts reflect the Emergency Events extract as logged by IFRC field reports; they are a record of what was reported, not an independent verification of ground conditions.</w:t>
      </w:r>
    </w:p>
    <w:p w14:paraId="39C33EEC" w14:textId="77777777" w:rsidR="006270B5" w:rsidRDefault="00000000">
      <w:pPr>
        <w:pStyle w:val="ListParagraph"/>
        <w:numPr>
          <w:ilvl w:val="0"/>
          <w:numId w:val="2"/>
        </w:numPr>
        <w:spacing w:after="80" w:line="264" w:lineRule="auto"/>
      </w:pPr>
      <w:r>
        <w:rPr>
          <w:color w:val="1A1A2E"/>
        </w:rPr>
        <w:t xml:space="preserve">Funding figures (requested, funded, gap) come directly from the Appeals extract's own </w:t>
      </w:r>
      <w:proofErr w:type="spellStart"/>
      <w:r>
        <w:rPr>
          <w:color w:val="1A1A2E"/>
        </w:rPr>
        <w:t>amount_requested</w:t>
      </w:r>
      <w:proofErr w:type="spellEnd"/>
      <w:r>
        <w:rPr>
          <w:color w:val="1A1A2E"/>
        </w:rPr>
        <w:t xml:space="preserve"> and </w:t>
      </w:r>
      <w:proofErr w:type="spellStart"/>
      <w:r>
        <w:rPr>
          <w:color w:val="1A1A2E"/>
        </w:rPr>
        <w:t>amount_funded</w:t>
      </w:r>
      <w:proofErr w:type="spellEnd"/>
      <w:r>
        <w:rPr>
          <w:color w:val="1A1A2E"/>
        </w:rPr>
        <w:t xml:space="preserve"> fields, aggregated with no adjustment or estimation.</w:t>
      </w:r>
    </w:p>
    <w:p w14:paraId="1251B58F" w14:textId="77777777" w:rsidR="006270B5" w:rsidRDefault="00000000">
      <w:pPr>
        <w:spacing w:after="160" w:line="276" w:lineRule="auto"/>
        <w:jc w:val="both"/>
      </w:pPr>
      <w:r>
        <w:rPr>
          <w:color w:val="1A1A2E"/>
        </w:rPr>
        <w:t>No value in this dashboard is simulated, interpolated, or estimated beyond straightforward aggregation (counts, sums, and percentages) of the source data.</w:t>
      </w:r>
    </w:p>
    <w:p w14:paraId="63AEEFE9" w14:textId="77777777" w:rsidR="006270B5" w:rsidRDefault="006270B5">
      <w:pPr>
        <w:spacing w:after="200"/>
      </w:pPr>
    </w:p>
    <w:p w14:paraId="4936A9FE" w14:textId="77777777" w:rsidR="006270B5" w:rsidRDefault="00000000">
      <w:pPr>
        <w:pStyle w:val="Heading1"/>
        <w:pBdr>
          <w:bottom w:val="single" w:sz="14" w:space="6" w:color="CC0033"/>
        </w:pBdr>
        <w:spacing w:before="300" w:after="160"/>
      </w:pPr>
      <w:r>
        <w:rPr>
          <w:b/>
          <w:bCs/>
          <w:color w:val="CC0033"/>
          <w:sz w:val="30"/>
          <w:szCs w:val="30"/>
        </w:rPr>
        <w:t>6. Summary</w:t>
      </w:r>
    </w:p>
    <w:p w14:paraId="512441C6" w14:textId="77777777" w:rsidR="006270B5" w:rsidRDefault="00000000">
      <w:pPr>
        <w:spacing w:after="160" w:line="276" w:lineRule="auto"/>
        <w:jc w:val="both"/>
      </w:pPr>
      <w:r>
        <w:rPr>
          <w:color w:val="1A1A2E"/>
        </w:rPr>
        <w:t xml:space="preserve">Together, the three tabs let a user move </w:t>
      </w:r>
      <w:proofErr w:type="gramStart"/>
      <w:r>
        <w:rPr>
          <w:color w:val="1A1A2E"/>
        </w:rPr>
        <w:t>from a global overview (Disaster Trends),</w:t>
      </w:r>
      <w:proofErr w:type="gramEnd"/>
      <w:r>
        <w:rPr>
          <w:color w:val="1A1A2E"/>
        </w:rPr>
        <w:t xml:space="preserve"> to a specific country or event (Events Map), to the financial reality behind the response (Funding &amp; </w:t>
      </w:r>
      <w:proofErr w:type="gramStart"/>
      <w:r>
        <w:rPr>
          <w:color w:val="1A1A2E"/>
        </w:rPr>
        <w:t>Appeals) —</w:t>
      </w:r>
      <w:proofErr w:type="gramEnd"/>
      <w:r>
        <w:rPr>
          <w:color w:val="1A1A2E"/>
        </w:rPr>
        <w:t xml:space="preserve"> all from the same underlying, honestly-documented dataset. The dashboard is intended as a companion tool to the project's R Markdown storyboard: where the storyboard tells one fixed story, this dashboard lets the reader explore the data on their own terms.</w:t>
      </w:r>
    </w:p>
    <w:sectPr w:rsidR="006270B5">
      <w:headerReference w:type="default" r:id="rId17"/>
      <w:footerReference w:type="default" r:id="rId18"/>
      <w:pgSz w:w="11906" w:h="16838"/>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B84B3" w14:textId="77777777" w:rsidR="00B42DFB" w:rsidRDefault="00B42DFB">
      <w:r>
        <w:separator/>
      </w:r>
    </w:p>
  </w:endnote>
  <w:endnote w:type="continuationSeparator" w:id="0">
    <w:p w14:paraId="44D9CA9C" w14:textId="77777777" w:rsidR="00B42DFB" w:rsidRDefault="00B42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29BF8" w14:textId="77777777" w:rsidR="006270B5" w:rsidRDefault="00000000">
    <w:pPr>
      <w:jc w:val="center"/>
    </w:pPr>
    <w:r>
      <w:rPr>
        <w:color w:val="6B7280"/>
        <w:sz w:val="14"/>
        <w:szCs w:val="14"/>
      </w:rPr>
      <w:t>IFRC GO Platform Data · Emergency Events, Appeals &amp; Countries extracts, 2019–2026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0814A" w14:textId="77777777" w:rsidR="006270B5" w:rsidRDefault="00000000">
    <w:pPr>
      <w:pBdr>
        <w:top w:val="single" w:sz="6" w:space="4" w:color="E5E7EB"/>
      </w:pBdr>
      <w:tabs>
        <w:tab w:val="right" w:pos="9314"/>
      </w:tabs>
    </w:pPr>
    <w:r>
      <w:rPr>
        <w:color w:val="6B7280"/>
        <w:sz w:val="15"/>
        <w:szCs w:val="15"/>
      </w:rPr>
      <w:t>Mhamad Shhab Aldeen Hasan (P166175)</w:t>
    </w:r>
    <w:r>
      <w:rPr>
        <w:color w:val="6B7280"/>
        <w:sz w:val="15"/>
        <w:szCs w:val="15"/>
      </w:rPr>
      <w:tab/>
      <w:t xml:space="preserve">Page </w:t>
    </w:r>
    <w:r>
      <w:rPr>
        <w:color w:val="6B7280"/>
        <w:sz w:val="15"/>
        <w:szCs w:val="15"/>
      </w:rPr>
      <w:fldChar w:fldCharType="begin"/>
    </w:r>
    <w:r>
      <w:rPr>
        <w:color w:val="6B7280"/>
        <w:sz w:val="15"/>
        <w:szCs w:val="15"/>
      </w:rPr>
      <w:instrText>PAGE</w:instrText>
    </w:r>
    <w:r>
      <w:rPr>
        <w:color w:val="6B7280"/>
        <w:sz w:val="15"/>
        <w:szCs w:val="15"/>
      </w:rPr>
      <w:fldChar w:fldCharType="separate"/>
    </w:r>
    <w:r w:rsidR="00B164DF">
      <w:rPr>
        <w:noProof/>
        <w:color w:val="6B7280"/>
        <w:sz w:val="15"/>
        <w:szCs w:val="15"/>
      </w:rPr>
      <w:t>2</w:t>
    </w:r>
    <w:r>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FB7C7" w14:textId="77777777" w:rsidR="00B42DFB" w:rsidRDefault="00B42DFB">
      <w:r>
        <w:separator/>
      </w:r>
    </w:p>
  </w:footnote>
  <w:footnote w:type="continuationSeparator" w:id="0">
    <w:p w14:paraId="64A385F7" w14:textId="77777777" w:rsidR="00B42DFB" w:rsidRDefault="00B42D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57499" w14:textId="77777777" w:rsidR="006270B5" w:rsidRDefault="006270B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038B6" w14:textId="77777777" w:rsidR="006270B5" w:rsidRDefault="00000000">
    <w:pPr>
      <w:pBdr>
        <w:bottom w:val="single" w:sz="16" w:space="4" w:color="CC0033"/>
      </w:pBdr>
      <w:tabs>
        <w:tab w:val="right" w:pos="9314"/>
      </w:tabs>
    </w:pPr>
    <w:r>
      <w:rPr>
        <w:noProof/>
      </w:rPr>
      <w:drawing>
        <wp:inline distT="0" distB="0" distL="0" distR="0" wp14:anchorId="1A25294B" wp14:editId="1EADF51F">
          <wp:extent cx="152400" cy="152400"/>
          <wp:effectExtent l="0" t="0" r="0" b="0"/>
          <wp:docPr id="246266067" name="Picture 246266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2400" cy="152400"/>
                  </a:xfrm>
                  <a:prstGeom prst="rect">
                    <a:avLst/>
                  </a:prstGeom>
                </pic:spPr>
              </pic:pic>
            </a:graphicData>
          </a:graphic>
        </wp:inline>
      </w:drawing>
    </w:r>
    <w:r>
      <w:rPr>
        <w:color w:val="6B7280"/>
        <w:sz w:val="15"/>
        <w:szCs w:val="15"/>
      </w:rPr>
      <w:t xml:space="preserve">  IFRC Global Humanitarian Dashboard — Project Report</w:t>
    </w:r>
    <w:r>
      <w:rPr>
        <w:color w:val="6B7280"/>
        <w:sz w:val="15"/>
        <w:szCs w:val="15"/>
      </w:rPr>
      <w:tab/>
      <w:t>STQD6124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C7F6C"/>
    <w:multiLevelType w:val="hybridMultilevel"/>
    <w:tmpl w:val="4398881A"/>
    <w:lvl w:ilvl="0" w:tplc="DB3E822A">
      <w:start w:val="1"/>
      <w:numFmt w:val="bullet"/>
      <w:lvlText w:val="●"/>
      <w:lvlJc w:val="left"/>
      <w:pPr>
        <w:ind w:left="720" w:hanging="360"/>
      </w:pPr>
    </w:lvl>
    <w:lvl w:ilvl="1" w:tplc="10CE019A">
      <w:start w:val="1"/>
      <w:numFmt w:val="bullet"/>
      <w:lvlText w:val="○"/>
      <w:lvlJc w:val="left"/>
      <w:pPr>
        <w:ind w:left="1440" w:hanging="360"/>
      </w:pPr>
    </w:lvl>
    <w:lvl w:ilvl="2" w:tplc="E1226BAE">
      <w:start w:val="1"/>
      <w:numFmt w:val="bullet"/>
      <w:lvlText w:val="■"/>
      <w:lvlJc w:val="left"/>
      <w:pPr>
        <w:ind w:left="2160" w:hanging="360"/>
      </w:pPr>
    </w:lvl>
    <w:lvl w:ilvl="3" w:tplc="48C2CE10">
      <w:start w:val="1"/>
      <w:numFmt w:val="bullet"/>
      <w:lvlText w:val="●"/>
      <w:lvlJc w:val="left"/>
      <w:pPr>
        <w:ind w:left="2880" w:hanging="360"/>
      </w:pPr>
    </w:lvl>
    <w:lvl w:ilvl="4" w:tplc="F46C6C74">
      <w:start w:val="1"/>
      <w:numFmt w:val="bullet"/>
      <w:lvlText w:val="○"/>
      <w:lvlJc w:val="left"/>
      <w:pPr>
        <w:ind w:left="3600" w:hanging="360"/>
      </w:pPr>
    </w:lvl>
    <w:lvl w:ilvl="5" w:tplc="04AEDF8A">
      <w:start w:val="1"/>
      <w:numFmt w:val="bullet"/>
      <w:lvlText w:val="■"/>
      <w:lvlJc w:val="left"/>
      <w:pPr>
        <w:ind w:left="4320" w:hanging="360"/>
      </w:pPr>
    </w:lvl>
    <w:lvl w:ilvl="6" w:tplc="41224224">
      <w:start w:val="1"/>
      <w:numFmt w:val="bullet"/>
      <w:lvlText w:val="●"/>
      <w:lvlJc w:val="left"/>
      <w:pPr>
        <w:ind w:left="5040" w:hanging="360"/>
      </w:pPr>
    </w:lvl>
    <w:lvl w:ilvl="7" w:tplc="DFEE6CAA">
      <w:start w:val="1"/>
      <w:numFmt w:val="bullet"/>
      <w:lvlText w:val="●"/>
      <w:lvlJc w:val="left"/>
      <w:pPr>
        <w:ind w:left="5760" w:hanging="360"/>
      </w:pPr>
    </w:lvl>
    <w:lvl w:ilvl="8" w:tplc="51EC5354">
      <w:start w:val="1"/>
      <w:numFmt w:val="bullet"/>
      <w:lvlText w:val="●"/>
      <w:lvlJc w:val="left"/>
      <w:pPr>
        <w:ind w:left="6480" w:hanging="360"/>
      </w:pPr>
    </w:lvl>
  </w:abstractNum>
  <w:abstractNum w:abstractNumId="1" w15:restartNumberingAfterBreak="0">
    <w:nsid w:val="5F7021E0"/>
    <w:multiLevelType w:val="hybridMultilevel"/>
    <w:tmpl w:val="698CACF6"/>
    <w:lvl w:ilvl="0" w:tplc="0D3AD7C8">
      <w:start w:val="1"/>
      <w:numFmt w:val="bullet"/>
      <w:lvlText w:val="•"/>
      <w:lvlJc w:val="left"/>
      <w:pPr>
        <w:ind w:left="400" w:hanging="260"/>
      </w:pPr>
    </w:lvl>
    <w:lvl w:ilvl="1" w:tplc="D12C1F5A">
      <w:numFmt w:val="decimal"/>
      <w:lvlText w:val=""/>
      <w:lvlJc w:val="left"/>
    </w:lvl>
    <w:lvl w:ilvl="2" w:tplc="03AA0A24">
      <w:numFmt w:val="decimal"/>
      <w:lvlText w:val=""/>
      <w:lvlJc w:val="left"/>
    </w:lvl>
    <w:lvl w:ilvl="3" w:tplc="43849DD4">
      <w:numFmt w:val="decimal"/>
      <w:lvlText w:val=""/>
      <w:lvlJc w:val="left"/>
    </w:lvl>
    <w:lvl w:ilvl="4" w:tplc="36A0FBF0">
      <w:numFmt w:val="decimal"/>
      <w:lvlText w:val=""/>
      <w:lvlJc w:val="left"/>
    </w:lvl>
    <w:lvl w:ilvl="5" w:tplc="B9464FE6">
      <w:numFmt w:val="decimal"/>
      <w:lvlText w:val=""/>
      <w:lvlJc w:val="left"/>
    </w:lvl>
    <w:lvl w:ilvl="6" w:tplc="BFE66338">
      <w:numFmt w:val="decimal"/>
      <w:lvlText w:val=""/>
      <w:lvlJc w:val="left"/>
    </w:lvl>
    <w:lvl w:ilvl="7" w:tplc="DFD0DA24">
      <w:numFmt w:val="decimal"/>
      <w:lvlText w:val=""/>
      <w:lvlJc w:val="left"/>
    </w:lvl>
    <w:lvl w:ilvl="8" w:tplc="24565C36">
      <w:numFmt w:val="decimal"/>
      <w:lvlText w:val=""/>
      <w:lvlJc w:val="left"/>
    </w:lvl>
  </w:abstractNum>
  <w:num w:numId="1" w16cid:durableId="1211647072">
    <w:abstractNumId w:val="0"/>
    <w:lvlOverride w:ilvl="0">
      <w:startOverride w:val="1"/>
    </w:lvlOverride>
  </w:num>
  <w:num w:numId="2" w16cid:durableId="16776109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0B5"/>
    <w:rsid w:val="006270B5"/>
    <w:rsid w:val="00B164DF"/>
    <w:rsid w:val="00B42DFB"/>
    <w:rsid w:val="00BB75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14051"/>
  <w15:docId w15:val="{A2F000B8-F99C-464E-BD1B-21B2AD561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1073</Words>
  <Characters>6118</Characters>
  <Application>Microsoft Office Word</Application>
  <DocSecurity>0</DocSecurity>
  <Lines>50</Lines>
  <Paragraphs>14</Paragraphs>
  <ScaleCrop>false</ScaleCrop>
  <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IFRC Global Humanitarian Dashboard — Project Report</dc:title>
  <dc:creator>Mhamad Shhab Aldeen Hasan</dc:creator>
  <cp:lastModifiedBy>Mhamad Shhab Aldeen Hasan</cp:lastModifiedBy>
  <cp:revision>2</cp:revision>
  <dcterms:created xsi:type="dcterms:W3CDTF">2026-07-26T09:36:00Z</dcterms:created>
  <dcterms:modified xsi:type="dcterms:W3CDTF">2026-07-26T09:44:00Z</dcterms:modified>
</cp:coreProperties>
</file>