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xml:space="preserve">.-4. (canceled) </w:t>
        <w:br/>
      </w:r>
      <w:r>
        <w:t xml:space="preserve"> </w:t>
        <w:br/>
      </w:r>
      <w:r>
        <w:rPr>
          <w:b/>
        </w:rPr>
        <w:t>Regarding claim 2</w:t>
      </w:r>
      <w:r>
        <w:t xml:space="preserve">. A motor control device configured to perform drive control of a stepping motor by performing a pre-excitation of excitation for a first time period at a current lower than that used during driving before starting or when starting driving of the stepping motor, and post-excitation of excitation for a second time period at a current lower than that used during driving when stopping or after stopping the driving of the stepping motor, wherein, when performing the post-excitation during a previous stopping of driving of the stepping motor and the pre-excitation during a subsequent starting of driving of the stepping motor without transitioning via a non-excited state, the motor control device is configured to perform the post-excitation and the pre-excitation consecutively for a time that is shorter than a sum of the first time period and the second time period. </w:t>
        <w:br/>
      </w:r>
      <w:r>
        <w:t xml:space="preserve"> </w:t>
        <w:br/>
      </w:r>
      <w:r>
        <w:rPr>
          <w:b/>
        </w:rPr>
        <w:t>Regarding claim 3</w:t>
      </w:r>
      <w:r>
        <w:t>. The motor control device according to claim 5, wherein</w:t>
        <w:br/>
        <w:t xml:space="preserve">drive control of the stepping motor is performed based on a drive instruction from a drive instruction device, and when a next drive instruction is received before the post-excitation during the previous stopping of driving is completed, the post-excitation and the pre-excitation are performed consecutively. </w:t>
        <w:br/>
      </w:r>
      <w:r>
        <w:t xml:space="preserve"> </w:t>
        <w:br/>
      </w:r>
      <w:r>
        <w:rPr>
          <w:b/>
        </w:rPr>
        <w:t>Regarding claim 4</w:t>
      </w:r>
      <w:r>
        <w:t>. The motor control device according to claim 5, wherein,</w:t>
        <w:br/>
        <w:t xml:space="preserve">when the post-excitation and the pre-excitation are consecutively performed, the post-excitation is performed for the second time period and the pre-excitation is performed for a time shorter than the first time period. </w:t>
        <w:br/>
      </w:r>
      <w:r>
        <w:t xml:space="preserve"> </w:t>
        <w:br/>
      </w:r>
      <w:r>
        <w:rPr>
          <w:b/>
        </w:rPr>
        <w:t>Regarding claim 5</w:t>
      </w:r>
      <w:r>
        <w:t>. A feeder comprising:</w:t>
        <w:br/>
        <w:t xml:space="preserve">a motor control device according to claim 5; and a feeder mechanism including a stepping motor driven and controlled by the motor control device, wherein a component is fed by driving of the stepping motor.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