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same,and shall set forth the best mode contemplated by the inventor or joint inventor of carrying out the invention. </w:t>
        <w:br/>
        <w:t xml:space="preserve"> </w:t>
        <w:br/>
      </w:r>
    </w:p>
    <w:p>
      <w:pPr>
        <w:jc w:val="center"/>
      </w:pPr>
      <w:r>
        <w:rPr>
          <w:b/>
        </w:rPr>
        <w:t xml:space="preserve">The following is a quotation of 35 U.S.C. 112(b): </w:t>
        <w:br/>
      </w:r>
    </w:p>
    <w:p>
      <w:pPr>
        <w:jc w:val="both"/>
      </w:pPr>
      <w:r>
        <w:rPr>
          <w:sz w:val="20"/>
        </w:rPr>
        <w:t xml:space="preserve">(b)  CONCLUSION.—The specification shall conclude with one or more claims particularly pointing out and distinctly </w:t>
        <w:br/>
        <w:t>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