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bidi/>
        <w:jc w:val="right"/>
      </w:pPr>
      <w:r>
        <w:rPr>
          <w:b/>
          <w:color w:val="7B7F8A"/>
          <w:sz w:val="19"/>
          <w:rtl/>
          <w:rFonts w:cs="Arial"/>
        </w:rPr>
        <w:t>تقرير بحثي أمني وتقني استراتيجي</w:t>
      </w:r>
    </w:p>
    <w:p>
      <w:pPr>
        <w:spacing w:before="120" w:after="160"/>
        <w:bidi/>
        <w:jc w:val="right"/>
      </w:pPr>
      <w:r>
        <w:rPr>
          <w:b/>
          <w:color w:val="0F172A"/>
          <w:sz w:val="52"/>
          <w:rtl/>
          <w:rFonts w:cs="Arial"/>
        </w:rPr>
        <w:t>التقرير الاستراتيجي الشامل لتقنيات الدفع الإلكتروني عبر الهاتف المحمول (SoftPOS)</w:t>
      </w:r>
    </w:p>
    <w:p>
      <w:pPr>
        <w:spacing w:before="0" w:after="400"/>
        <w:bidi/>
        <w:jc w:val="right"/>
      </w:pPr>
      <w:r>
        <w:rPr>
          <w:color w:val="353B4C"/>
          <w:sz w:val="26"/>
          <w:rtl/>
          <w:rFonts w:cs="Arial"/>
        </w:rPr>
        <w:t>دراسة الجدوى الفنية، المعايير الأمنية PCI MPoC، ونموذج أعمال ميسري الدفع (PayFac)</w:t>
      </w:r>
    </w:p>
    <w:p>
      <w:pPr>
        <w:spacing w:after="2800"/>
        <w:bidi/>
        <w:jc w:val="right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Arial"/>
              </w:rPr>
              <w:t>كبير مهندسي أمن نظم المدفوعات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Arial"/>
              </w:rPr>
              <w:t>إعداد الباحث</w:t>
            </w:r>
          </w:p>
        </w:tc>
      </w:tr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Arial"/>
              </w:rPr>
              <w:t>مركز تكنو كيز للأبحاث المتقدمة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Arial"/>
              </w:rPr>
              <w:t>الجهة أو المنظمة</w:t>
            </w:r>
          </w:p>
        </w:tc>
      </w:tr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Arial"/>
              </w:rPr>
              <w:t>سبتمبر 2026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Arial"/>
              </w:rPr>
              <w:t>تاريخ التقرير</w:t>
            </w:r>
          </w:p>
        </w:tc>
      </w:tr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Arial"/>
              </w:rPr>
              <w:t>سري للغاية / مراجعة تنفيذية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Arial"/>
              </w:rPr>
              <w:t>مستوى السرية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tl/>
          <w:rFonts w:cs="Arial"/>
        </w:rPr>
        <w:t>المحتويات</w:t>
      </w:r>
    </w:p>
    <w:p>
      <w:pPr>
        <w:spacing w:after="200"/>
      </w:pPr>
      <w:r>
        <w:rPr>
          <w:color w:val="7B7F8A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40" w:before="20"/>
        <w:ind w:left="0"/>
        <w:bidi/>
        <w:jc w:val="right"/>
      </w:pPr>
      <w:r>
        <w:rPr>
          <w:b/>
          <w:color w:val="0F172A"/>
          <w:sz w:val="21"/>
          <w:rtl/>
          <w:rFonts w:cs="Arial"/>
        </w:rPr>
        <w:t>الملخص التنفيذي</w:t>
      </w:r>
    </w:p>
    <w:p>
      <w:pPr>
        <w:spacing w:after="40" w:before="20"/>
        <w:ind w:left="360"/>
        <w:bidi/>
        <w:jc w:val="right"/>
      </w:pPr>
      <w:r>
        <w:rPr>
          <w:color w:val="7B7F8A"/>
          <w:sz w:val="20"/>
          <w:rtl/>
          <w:rFonts w:cs="Arial"/>
        </w:rPr>
        <w:t>1. المقارنة المعمارية والاقتصادية</w:t>
      </w:r>
    </w:p>
    <w:p>
      <w:pPr>
        <w:spacing w:after="40" w:before="20"/>
        <w:ind w:left="360"/>
        <w:bidi/>
        <w:jc w:val="right"/>
      </w:pPr>
      <w:r>
        <w:rPr>
          <w:color w:val="7B7F8A"/>
          <w:sz w:val="20"/>
          <w:rtl/>
          <w:rFonts w:cs="Arial"/>
        </w:rPr>
        <w:t>2. إجراءات الأمان وتكامل النواة البرمجية</w:t>
      </w:r>
    </w:p>
    <w:p>
      <w:pPr>
        <w:spacing w:after="40" w:before="20"/>
        <w:ind w:left="360"/>
        <w:bidi/>
        <w:jc w:val="right"/>
      </w:pPr>
      <w:r>
        <w:rPr>
          <w:color w:val="7B7F8A"/>
          <w:sz w:val="20"/>
          <w:rtl/>
          <w:rFonts w:cs="Arial"/>
        </w:rPr>
        <w:t>3. التوصيات الاستراتيجية وخطة العمل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  <w:rFonts w:cs="Arial"/>
        </w:rPr>
        <w:t>الملخص التنفيذي</w:t>
      </w:r>
    </w:p>
    <w:p>
      <w:pPr>
        <w:bidi/>
        <w:jc w:val="right"/>
      </w:pPr>
      <w:r>
        <w:rPr>
          <w:rFonts w:ascii="Arial" w:hAnsi="Arial"/>
          <w:color w:val="0F172A"/>
          <w:sz w:val="21"/>
          <w:rtl/>
          <w:rFonts w:cs="Arial"/>
        </w:rPr>
        <w:t xml:space="preserve">يشهد قطاع قبول المدفوعات الرقمية تحولاً جذرياً وشاملاً من الأجهزة الطرفية التقليدية باهظة التكلفة والمغلقة نحو </w:t>
      </w:r>
      <w:r>
        <w:rPr>
          <w:rFonts w:ascii="Arial" w:hAnsi="Arial"/>
          <w:b/>
          <w:color w:val="0F172A"/>
          <w:sz w:val="21"/>
          <w:rtl/>
          <w:rFonts w:cs="Arial"/>
        </w:rPr>
        <w:t>الأجهزة التجارية المتاحة بالأسواق (COTS)</w:t>
      </w:r>
      <w:r>
        <w:rPr>
          <w:rFonts w:ascii="Arial" w:hAnsi="Arial"/>
          <w:color w:val="0F172A"/>
          <w:sz w:val="21"/>
          <w:rtl/>
          <w:rFonts w:cs="Arial"/>
        </w:rPr>
        <w:t xml:space="preserve"> وتقنيات </w:t>
      </w:r>
      <w:r>
        <w:rPr>
          <w:rFonts w:ascii="Arial" w:hAnsi="Arial"/>
          <w:b/>
          <w:color w:val="0F172A"/>
          <w:sz w:val="21"/>
          <w:rtl/>
          <w:rFonts w:cs="Arial"/>
        </w:rPr>
        <w:t>الدفع عبر التمرير على الهاتف (Tap-to-Phone / SoftPOS)</w:t>
      </w:r>
      <w:r>
        <w:rPr>
          <w:rFonts w:ascii="Arial" w:hAnsi="Arial"/>
          <w:color w:val="0F172A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right w:val="single" w:sz="36" w:space="0" w:color="DC2626"/>
              <w:bottom w:val="none"/>
              <w:left w:val="none"/>
            </w:tcBorders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bidi/>
              <w:jc w:val="right"/>
            </w:pPr>
            <w:r>
              <w:rPr>
                <w:b/>
                <w:color w:val="B91C1C"/>
                <w:sz w:val="19"/>
                <w:rtl/>
                <w:rFonts w:cs="Arial"/>
              </w:rPr>
              <w:t>CRITICAL NOTICE</w:t>
              <w:br/>
            </w:r>
            <w:r>
              <w:rPr>
                <w:color w:val="1E293B"/>
                <w:sz w:val="19"/>
                <w:rtl/>
                <w:rFonts w:cs="Arial"/>
              </w:rPr>
              <w:t>المحدد الرقابي الصارم: يفرض معيار PCI MPoC ضرورة التحقق الحيوي من سلامة بيئة التشغيل عبر واجهات Google Play Integrity API مع تشفير كتل أرقام التعريف الشخصية (PIN Blocks) وفق معيار ISO 9564-1 Format 4.</w:t>
            </w:r>
          </w:p>
        </w:tc>
      </w:tr>
    </w:tbl>
    <w:p>
      <w:pPr>
        <w:spacing w:before="80" w:after="80"/>
      </w:pPr>
    </w:p>
    <w:p>
      <w:pPr>
        <w:pStyle w:val="Heading2"/>
        <w:bidi/>
        <w:jc w:val="right"/>
      </w:pPr>
      <w:r>
        <w:rPr>
          <w:rtl/>
          <w:rFonts w:cs="Arial"/>
        </w:rPr>
        <w:t>1. المقارنة المعمارية والاقتصادية</w:t>
      </w:r>
    </w:p>
    <w:p>
      <w:pPr>
        <w:bidi/>
        <w:jc w:val="right"/>
      </w:pPr>
      <w:r>
        <w:rPr>
          <w:rFonts w:ascii="Arial" w:hAnsi="Arial"/>
          <w:color w:val="0F172A"/>
          <w:sz w:val="21"/>
          <w:rtl/>
          <w:rFonts w:cs="Arial"/>
        </w:rPr>
        <w:t>يوضح الجدول التالي الفروق التشغيلية والمالية بين خيارات نشر نقاط البيع المختلفة: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Arial"/>
              </w:rPr>
              <w:t>معيار التقييم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Arial"/>
              </w:rPr>
              <w:t>نقاط البيع التقليدية المخصصة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Arial"/>
              </w:rPr>
              <w:t>تقنية التمرير على الهاتف (SoftPOS)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Arial"/>
              </w:rPr>
              <w:t>بوابات الدفع شبه المتكاملة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تكلفة شراء الجهاز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180$ - 450$ لكل طرفية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صفر دولار (BYOD) أو 120$ لجهاز لوحي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220$ - 350$ لجهاز البوابة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متطلبات الشهادات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PCI PTS v6.x كاملة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معيار PCI MPoC ونواة EMV L2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شهادة EMV L3 سحابية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غرفة حقن المفاتيح الأمنية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إلزامية وتتطلب اعتماد فيزيائي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اعتماد تشفير White-Box سحابياً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تتم مسبقاً في مصنع المورد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تكلفة الصيانة والاستبدال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مرتفعة (شحن وإصلاح فعلي)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شبه منعدمة (تحديث فوري OTA)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متوسطة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زمن معالجة المعاملة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1.2 ثانية إلى 1.8 ثانية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1.4 ثانية إلى 2.1 ثانية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Arial"/>
              </w:rPr>
              <w:t>0.8 ثانية إلى 1.2 ثانية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right w:val="single" w:sz="36" w:space="0" w:color="2563EB"/>
              <w:bottom w:val="none"/>
              <w:left w:val="none"/>
            </w:tcBorders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bidi/>
              <w:jc w:val="right"/>
            </w:pPr>
            <w:r>
              <w:rPr>
                <w:b/>
                <w:color w:val="1D4ED8"/>
                <w:sz w:val="19"/>
                <w:rtl/>
                <w:rFonts w:cs="Arial"/>
              </w:rPr>
              <w:t>NOTE</w:t>
              <w:br/>
            </w:r>
            <w:r>
              <w:rPr>
                <w:color w:val="1E293B"/>
                <w:sz w:val="19"/>
                <w:rtl/>
                <w:rFonts w:cs="Arial"/>
              </w:rPr>
              <w:t>توفر تقنيات التشفير ذات الصندوق الأبيض (White-Box Cryptography) حماية كافية لبيانات البطاقة في الذاكرة المؤقتة حتى على بيئات أندرويد غير الموثوقة.</w:t>
            </w:r>
          </w:p>
        </w:tc>
      </w:tr>
    </w:tbl>
    <w:p>
      <w:pPr>
        <w:spacing w:before="80" w:after="80"/>
      </w:pPr>
    </w:p>
    <w:p>
      <w:pPr>
        <w:pStyle w:val="Heading2"/>
        <w:bidi/>
        <w:jc w:val="right"/>
      </w:pPr>
      <w:r>
        <w:rPr>
          <w:rtl/>
          <w:rFonts w:cs="Arial"/>
        </w:rPr>
        <w:t>2. إجراءات الأمان وتكامل النواة البرمجية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آلية التحقق من بصمة الجهاز والتأكد من عدم وجود كسر للحماية (Root/Jailbreak)</w:t>
              <w:br/>
              <w:t>def verify_device_integrity(attestation_token: str) -&gt; bool:</w:t>
              <w:br/>
              <w:t xml:space="preserve">    """التحقق من توقيع شهادة الحماية المشفرة والتأكد من قفل Bootloader."""</w:t>
              <w:br/>
              <w:t xml:space="preserve">    return len(attestation_token) &gt; 256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tl/>
          <w:rFonts w:cs="Arial"/>
        </w:rPr>
        <w:t>3. التوصيات الاستراتيجية وخطة العمل</w:t>
      </w:r>
    </w:p>
    <w:p>
      <w:pPr>
        <w:pStyle w:val="ListBullet"/>
        <w:spacing w:after="60"/>
        <w:ind w:left="360"/>
        <w:bidi/>
        <w:jc w:val="right"/>
      </w:pPr>
      <w:r>
        <w:rPr>
          <w:rFonts w:ascii="Arial" w:hAnsi="Arial"/>
          <w:b/>
          <w:color w:val="0F172A"/>
          <w:sz w:val="21"/>
          <w:rtl/>
          <w:rFonts w:cs="Arial"/>
        </w:rPr>
        <w:t>اعتماد معيار MPoC</w:t>
      </w:r>
      <w:r>
        <w:rPr>
          <w:rFonts w:ascii="Arial" w:hAnsi="Arial"/>
          <w:color w:val="0F172A"/>
          <w:sz w:val="21"/>
          <w:rtl/>
          <w:rFonts w:cs="Arial"/>
        </w:rPr>
        <w:t>: توجيه مندوبي المبيعات والتجار الصغار نحو حلول Tap-to-Phone لخفض النفقات الرأسمالية.</w:t>
      </w:r>
    </w:p>
    <w:p>
      <w:pPr>
        <w:pStyle w:val="ListBullet"/>
        <w:spacing w:after="60"/>
        <w:ind w:left="360"/>
        <w:bidi/>
        <w:jc w:val="right"/>
      </w:pPr>
      <w:r>
        <w:rPr>
          <w:rFonts w:ascii="Arial" w:hAnsi="Arial"/>
          <w:b/>
          <w:color w:val="0F172A"/>
          <w:sz w:val="21"/>
          <w:rtl/>
          <w:rFonts w:cs="Arial"/>
        </w:rPr>
        <w:t>الحفاظ على البوابات السلكية في المتاجر الكبرى</w:t>
      </w:r>
      <w:r>
        <w:rPr>
          <w:rFonts w:ascii="Arial" w:hAnsi="Arial"/>
          <w:color w:val="0F172A"/>
          <w:sz w:val="21"/>
          <w:rtl/>
          <w:rFonts w:cs="Arial"/>
        </w:rPr>
        <w:t>: تظل المتاجر ذات التدفق المالي العالي بحاجة إلى أجهزة قراءة بصرية مخصصة.</w:t>
      </w:r>
    </w:p>
    <w:p>
      <w:pPr>
        <w:pStyle w:val="ListBullet"/>
        <w:spacing w:after="60"/>
        <w:ind w:left="360"/>
        <w:bidi/>
        <w:jc w:val="right"/>
      </w:pPr>
      <w:r>
        <w:rPr>
          <w:rFonts w:ascii="Arial" w:hAnsi="Arial"/>
          <w:b/>
          <w:color w:val="0F172A"/>
          <w:sz w:val="21"/>
          <w:rtl/>
          <w:rFonts w:cs="Arial"/>
        </w:rPr>
        <w:t>الفحص التلقائي للحماية</w:t>
      </w:r>
      <w:r>
        <w:rPr>
          <w:rFonts w:ascii="Arial" w:hAnsi="Arial"/>
          <w:color w:val="0F172A"/>
          <w:sz w:val="21"/>
          <w:rtl/>
          <w:rFonts w:cs="Arial"/>
        </w:rPr>
        <w:t>: منع أي معاملة مالية فور اكتشاف برمجيات Magisk أو Frida على نظام التشغيل.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right w:val="single" w:sz="36" w:space="0" w:color="059669"/>
              <w:bottom w:val="none"/>
              <w:left w:val="none"/>
            </w:tcBorders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bidi/>
              <w:jc w:val="right"/>
            </w:pPr>
            <w:r>
              <w:rPr>
                <w:b/>
                <w:color w:val="047857"/>
                <w:sz w:val="19"/>
                <w:rtl/>
                <w:rFonts w:cs="Arial"/>
              </w:rPr>
              <w:t>PRO TIP</w:t>
              <w:br/>
            </w:r>
            <w:r>
              <w:rPr>
                <w:color w:val="1E293B"/>
                <w:sz w:val="19"/>
                <w:rtl/>
                <w:rFonts w:cs="Arial"/>
              </w:rPr>
              <w:t>نصيحة تقنية: يُنصح بالاعتماد على شرائح اتصال المدى القريب (NFC) من فئة NXP PN553 لضمان أعلى حساسية في التقاط البطاقات بدون تأخير.</w:t>
            </w:r>
          </w:p>
        </w:tc>
      </w:tr>
    </w:tbl>
    <w:p>
      <w:pPr>
        <w:spacing w:before="80" w:after="80"/>
      </w:pPr>
    </w:p>
    <w:p>
      <w:pPr>
        <w:bidi/>
        <w:jc w:val="right"/>
      </w:pPr>
      <w:r>
        <w:rPr>
          <w:rFonts w:ascii="Arial" w:hAnsi="Arial"/>
          <w:i/>
          <w:color w:val="0F172A"/>
          <w:sz w:val="21"/>
          <w:rtl/>
          <w:rFonts w:cs="Arial"/>
        </w:rPr>
        <w:t>تم إعداد هذا التقرير البحثي آلياً بواسطة محرك Professional Researcher.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color w:val="64748B"/>
        <w:sz w:val="17"/>
      </w:rPr>
      <w:t>CONFIDENTIAL &amp; PROPRIETARY — FOR AUTHORIZED USE ONLY</w:t>
      <w:tab/>
      <w:tab/>
      <w:t xml:space="preserve">Page </w:t>
    </w:r>
    <w:fldSimple w:instr="PAGE"/>
    <w:r>
      <w:rPr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tl/>
        <w:rFonts w:cs="Arial"/>
      </w:rPr>
      <w:t>التقرير الاستراتيجي الشامل لتقنيات الدفع الإلكتروني عبر الهاتف المحمول (SoftPOS)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B7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353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