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b/>
          <w:color w:val="2563EB"/>
          <w:sz w:val="19"/>
        </w:rPr>
        <w:t>STRATEGIC RESEARCH &amp; TECHNICAL EVALUATION</w:t>
      </w:r>
    </w:p>
    <w:p>
      <w:pPr>
        <w:spacing w:before="120" w:after="160"/>
      </w:pPr>
      <w:r>
        <w:rPr>
          <w:b/>
          <w:color w:val="0F172A"/>
          <w:sz w:val="52"/>
        </w:rPr>
        <w:t>Next-Gen Fintech Acceptance &amp; SoftPOS</w:t>
      </w:r>
    </w:p>
    <w:p>
      <w:pPr>
        <w:spacing w:before="0" w:after="400"/>
      </w:pPr>
      <w:r>
        <w:rPr>
          <w:color w:val="334155"/>
          <w:sz w:val="26"/>
        </w:rPr>
        <w:t>PCI MPoC Certification, Tap-to-Pay Architecture, and Unit Economics</w:t>
      </w:r>
    </w:p>
    <w:p>
      <w:pPr>
        <w:spacing w:after="280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Senior Payments &amp; Security Researcher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ORGANIZATION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TeknoKeys FinTech Labs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DATE OF REPORT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October 2026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CLASSIFICATION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Confidential / Executive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0"/>
      </w:pPr>
      <w:r>
        <w:rPr>
          <w:color w:val="2563EB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40" w:before="20"/>
        <w:ind w:left="360"/>
      </w:pPr>
      <w:r>
        <w:rPr>
          <w:color w:val="2563EB"/>
          <w:sz w:val="20"/>
        </w:rPr>
        <w:t>Executive Agenda</w:t>
      </w:r>
    </w:p>
    <w:p>
      <w:pPr>
        <w:spacing w:after="40" w:before="20"/>
        <w:ind w:left="360"/>
      </w:pPr>
      <w:r>
        <w:rPr>
          <w:color w:val="2563EB"/>
          <w:sz w:val="20"/>
        </w:rPr>
        <w:t>Market Drivers: The Shift to SoftPOS</w:t>
      </w:r>
    </w:p>
    <w:p>
      <w:pPr>
        <w:spacing w:after="40" w:before="20"/>
        <w:ind w:left="360"/>
      </w:pPr>
      <w:r>
        <w:rPr>
          <w:color w:val="2563EB"/>
          <w:sz w:val="20"/>
        </w:rPr>
        <w:t>Architectural Comparison: MPoC vs. Legacy POS</w:t>
      </w:r>
    </w:p>
    <w:p>
      <w:pPr>
        <w:spacing w:after="40" w:before="20"/>
        <w:ind w:left="720"/>
      </w:pPr>
      <w:r>
        <w:rPr>
          <w:color w:val="334155"/>
          <w:sz w:val="19"/>
        </w:rPr>
        <w:t>Legacy Dedicated POS</w:t>
      </w:r>
    </w:p>
    <w:p>
      <w:pPr>
        <w:spacing w:after="40" w:before="20"/>
        <w:ind w:left="720"/>
      </w:pPr>
      <w:r>
        <w:rPr>
          <w:color w:val="334155"/>
          <w:sz w:val="19"/>
        </w:rPr>
        <w:t>Modern COTS SoftPOS</w:t>
      </w:r>
    </w:p>
    <w:p>
      <w:pPr>
        <w:spacing w:after="40" w:before="20"/>
        <w:ind w:left="360"/>
      </w:pPr>
      <w:r>
        <w:rPr>
          <w:color w:val="2563EB"/>
          <w:sz w:val="20"/>
        </w:rPr>
        <w:t>Acceptance Latency &amp; Performance</w:t>
      </w:r>
    </w:p>
    <w:p>
      <w:pPr>
        <w:spacing w:after="40" w:before="20"/>
        <w:ind w:left="360"/>
      </w:pPr>
      <w:r>
        <w:rPr>
          <w:color w:val="2563EB"/>
          <w:sz w:val="20"/>
        </w:rPr>
        <w:t>Security Compliance &amp; Runtime Self-Protection</w:t>
      </w:r>
    </w:p>
    <w:p>
      <w:pPr>
        <w:spacing w:after="40" w:before="20"/>
        <w:ind w:left="360"/>
      </w:pPr>
      <w:r>
        <w:rPr>
          <w:color w:val="2563EB"/>
          <w:sz w:val="20"/>
        </w:rPr>
        <w:t>Contactless Kernel Evaluation Matrix</w:t>
      </w:r>
    </w:p>
    <w:p>
      <w:pPr>
        <w:spacing w:after="40" w:before="20"/>
        <w:ind w:left="360"/>
      </w:pPr>
      <w:r>
        <w:rPr>
          <w:color w:val="2563EB"/>
          <w:sz w:val="20"/>
        </w:rPr>
        <w:t>Cryptographic Key Derivation Flow</w:t>
      </w:r>
    </w:p>
    <w:p>
      <w:pPr>
        <w:spacing w:after="40" w:before="20"/>
        <w:ind w:left="360"/>
      </w:pPr>
      <w:r>
        <w:rPr>
          <w:color w:val="2563EB"/>
          <w:sz w:val="20"/>
        </w:rPr>
        <w:t>Strategic Recommendations &amp; Milestones</w:t>
      </w:r>
    </w:p>
    <w:p>
      <w:r>
        <w:br w:type="page"/>
      </w:r>
    </w:p>
    <w:p>
      <w:pPr>
        <w:pStyle w:val="Heading2"/>
      </w:pPr>
      <w:r>
        <w:t>Executive Agenda</w:t>
      </w:r>
    </w:p>
    <w:p>
      <w:r>
        <w:rPr>
          <w:rFonts w:ascii="Calibri" w:hAnsi="Calibri"/>
          <w:color w:val="1E293B"/>
          <w:sz w:val="21"/>
        </w:rPr>
        <w:t>&lt;!-- layout: agenda --&gt; &lt;!-- category: Overview --&gt;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Market Inflection: From Dedicated POS to COTS SoftPOS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Architectural Stack: Kernel, HCE &amp; Secure Element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Security Posture: PCI MPoC vs. Legacy SPoC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Production Performance &amp; Transaction Latency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Regulatory Roadmap &amp; Commercial ROI</w:t>
      </w:r>
    </w:p>
    <w:p>
      <w:pPr>
        <w:pStyle w:val="Heading2"/>
      </w:pPr>
      <w:r>
        <w:t>Market Drivers: The Shift to SoftPOS</w:t>
      </w:r>
    </w:p>
    <w:p>
      <w:r>
        <w:rPr>
          <w:rFonts w:ascii="Calibri" w:hAnsi="Calibri"/>
          <w:color w:val="1E293B"/>
          <w:sz w:val="21"/>
        </w:rPr>
        <w:t>&lt;!-- category: Strategic Context --&gt; Traditional payment acceptance requires capital-intensive hardware and lengthy deployment cycles: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Zero Dedicated Hardware</w:t>
      </w:r>
      <w:r>
        <w:rPr>
          <w:rFonts w:ascii="Calibri" w:hAnsi="Calibri"/>
          <w:color w:val="1E293B"/>
          <w:sz w:val="21"/>
        </w:rPr>
        <w:t>: Any commercial smartphone running Android 11+ or iOS 16+ functions as an EMV contactless terminal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Massive TCO Reduction</w:t>
      </w:r>
      <w:r>
        <w:rPr>
          <w:rFonts w:ascii="Calibri" w:hAnsi="Calibri"/>
          <w:color w:val="1E293B"/>
          <w:sz w:val="21"/>
        </w:rPr>
        <w:t>: Lowers terminal acquisition costs by over 70% for micro-merchants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PCI MPoC Standard</w:t>
      </w:r>
      <w:r>
        <w:rPr>
          <w:rFonts w:ascii="Calibri" w:hAnsi="Calibri"/>
          <w:color w:val="1E293B"/>
          <w:sz w:val="21"/>
        </w:rPr>
        <w:t>: Unified specification replacing fragmented SPoC and CPoC frameworks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Decoupled software PIN-on-glass from proprietary kernel vendors</w:t>
      </w:r>
    </w:p>
    <w:p>
      <w:pPr>
        <w:pStyle w:val="ListBullet"/>
        <w:spacing w:after="60"/>
        <w:ind w:left="720"/>
      </w:pPr>
      <w:r>
        <w:rPr>
          <w:rFonts w:ascii="Calibri" w:hAnsi="Calibri"/>
          <w:color w:val="1E293B"/>
          <w:sz w:val="21"/>
        </w:rPr>
        <w:t>Direct cloud attestation via Google Play Integrity and Apple App Attest</w:t>
      </w:r>
    </w:p>
    <w:p>
      <w:pPr>
        <w:pStyle w:val="Heading2"/>
      </w:pPr>
      <w:r>
        <w:t>Architectural Comparison: MPoC vs. Legacy POS</w:t>
      </w:r>
    </w:p>
    <w:p>
      <w:r>
        <w:rPr>
          <w:rFonts w:ascii="Calibri" w:hAnsi="Calibri"/>
          <w:color w:val="1E293B"/>
          <w:sz w:val="21"/>
        </w:rPr>
        <w:t>&lt;!-- layout: two-column --&gt; &lt;!-- category: System Architecture --&gt;</w:t>
      </w:r>
    </w:p>
    <w:p>
      <w:pPr>
        <w:pStyle w:val="Heading3"/>
      </w:pPr>
      <w:r>
        <w:t>Legacy Dedicated POS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Proprietary locked terminal hardware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High physical maintenance &amp; replacement cost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Slow firmware OTA distribution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Fragmented peripheral drivers (serial, USB)</w:t>
      </w:r>
    </w:p>
    <w:p>
      <w:pPr>
        <w:pStyle w:val="Heading3"/>
      </w:pPr>
      <w:r>
        <w:t>Modern COTS SoftPOS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Standard commercial Android &amp; iOS devices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Ephemeral software keys via cloud HSM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Instant app updates via public app stores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Unified API integration with ERP &amp; CRM apps</w:t>
      </w:r>
    </w:p>
    <w:p>
      <w:pPr>
        <w:pStyle w:val="Heading2"/>
      </w:pPr>
      <w:r>
        <w:t>Acceptance Latency &amp; Performance</w:t>
      </w:r>
    </w:p>
    <w:p>
      <w:r>
        <w:rPr>
          <w:rFonts w:ascii="Calibri" w:hAnsi="Calibri"/>
          <w:color w:val="1E293B"/>
          <w:sz w:val="21"/>
        </w:rPr>
        <w:t>&lt;!-- layout: metrics --&gt; &lt;!-- category: Benchmarks --&gt;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&lt;350ms</w:t>
      </w:r>
      <w:r>
        <w:rPr>
          <w:rFonts w:ascii="Calibri" w:hAnsi="Calibri"/>
          <w:color w:val="1E293B"/>
          <w:sz w:val="21"/>
        </w:rPr>
        <w:t xml:space="preserve"> Tap-to-Approval | Contactless RF card read latency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99.98%</w:t>
      </w:r>
      <w:r>
        <w:rPr>
          <w:rFonts w:ascii="Calibri" w:hAnsi="Calibri"/>
          <w:color w:val="1E293B"/>
          <w:sz w:val="21"/>
        </w:rPr>
        <w:t xml:space="preserve"> Processing Uptime | Redundant dual-cloud ISO 8583 switch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48%</w:t>
      </w:r>
      <w:r>
        <w:rPr>
          <w:rFonts w:ascii="Calibri" w:hAnsi="Calibri"/>
          <w:color w:val="1E293B"/>
          <w:sz w:val="21"/>
        </w:rPr>
        <w:t xml:space="preserve"> Cost Reduction | Per-terminal deployment &amp; operational cost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color w:val="1E293B"/>
          <w:sz w:val="21"/>
        </w:rPr>
        <w:t>100k+</w:t>
      </w:r>
      <w:r>
        <w:rPr>
          <w:rFonts w:ascii="Calibri" w:hAnsi="Calibri"/>
          <w:color w:val="1E293B"/>
          <w:sz w:val="21"/>
        </w:rPr>
        <w:t xml:space="preserve"> Concurrent Terminals | Horizontally scalable serverless gateway</w:t>
      </w:r>
    </w:p>
    <w:p>
      <w:pPr>
        <w:pStyle w:val="Heading2"/>
      </w:pPr>
      <w:r>
        <w:t>Security Compliance &amp; Runtime Self-Protection</w:t>
      </w:r>
    </w:p>
    <w:p>
      <w:r>
        <w:rPr>
          <w:rFonts w:ascii="Calibri" w:hAnsi="Calibri"/>
          <w:color w:val="1E293B"/>
          <w:sz w:val="21"/>
        </w:rPr>
        <w:t>&lt;!-- layout: callout --&gt; &lt;!-- category: Attestation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C2626"/>
              <w:bottom w:val="none"/>
              <w:righ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19"/>
              </w:rPr>
              <w:t>PCI MPOC RUNTIME APPLICATION SELF-PROTECTION (RASP)</w:t>
              <w:br/>
            </w:r>
            <w:r>
              <w:rPr>
                <w:color w:val="1E293B"/>
                <w:sz w:val="19"/>
              </w:rPr>
              <w:t>SoftPOS software running on off-the-shelf devices must operate under zero-trust assumptions. The application binary must continuously verify environment integrity: detecting root/jailbreak, hooking frameworks (Frida, Xposed), debugger attachments, and emulator virtualization. Any detected compromise triggers immediate cryptographic zeroization of ephemeral session keys.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Contactless Kernel Evaluation Matrix</w:t>
      </w:r>
    </w:p>
    <w:p>
      <w:r>
        <w:rPr>
          <w:rFonts w:ascii="Calibri" w:hAnsi="Calibri"/>
          <w:color w:val="1E293B"/>
          <w:sz w:val="21"/>
        </w:rPr>
        <w:t>&lt;!-- layout: table --&gt; &lt;!-- category: Technical Matrix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Kernel Capability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Visa payWave (qVSDC)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Mastercard PayPass (M/Chip)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AMEX ExpressPay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Max Transaction Speed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~320 ms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~340 ms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~310 ms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Offline Data Auth (ODA)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CDA Preferred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CDA Supported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CDA / fDDA Supported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Cryptographic MAC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ARQC / TC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ARQC / AAC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ARQC / TC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Field 55 TLV Padding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Standard EMV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Extended Tags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  <w:jc w:val="left"/>
            </w:pPr>
            <w:r>
              <w:rPr>
                <w:color w:val="1E293B"/>
                <w:sz w:val="17"/>
              </w:rPr>
              <w:t>Standard EMV</w:t>
            </w:r>
          </w:p>
        </w:tc>
      </w:tr>
    </w:tbl>
    <w:p>
      <w:pPr>
        <w:spacing w:after="120"/>
      </w:pPr>
    </w:p>
    <w:p>
      <w:pPr>
        <w:pStyle w:val="Heading2"/>
      </w:pPr>
      <w:r>
        <w:t>Cryptographic Key Derivation Flow</w:t>
      </w:r>
    </w:p>
    <w:p>
      <w:r>
        <w:rPr>
          <w:rFonts w:ascii="Calibri" w:hAnsi="Calibri"/>
          <w:color w:val="1E293B"/>
          <w:sz w:val="21"/>
        </w:rPr>
        <w:t>&lt;!-- layout: code --&gt; &lt;!-- category: Engineering --&gt;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derive_session_keys(bdk: bytes, ksn: bytes) -&gt; tuple[bytes, bytes]:</w:t>
              <w:br/>
              <w:t xml:space="preserve">    # ANSI X9.24 DUKPT 2017 AES working key derivation</w:t>
              <w:br/>
              <w:t xml:space="preserve">    device_id = ksn[:8]</w:t>
              <w:br/>
              <w:t xml:space="preserve">    counter = int.from_bytes(ksn[8:], byteorder="big")</w:t>
              <w:br/>
              <w:t xml:space="preserve">    </w:t>
              <w:br/>
              <w:t xml:space="preserve">    # Generate cryptographic initial key (IK) inside hardware boundary</w:t>
              <w:br/>
              <w:t xml:space="preserve">    initial_key = hsm_client.derive_initial_key(bdk, device_id)</w:t>
              <w:br/>
              <w:t xml:space="preserve">    pin_key, mac_key = hsm_client.derive_working_keys(initial_key, counter)</w:t>
              <w:br/>
              <w:t xml:space="preserve">    </w:t>
              <w:br/>
              <w:t xml:space="preserve">    return pin_key, mac_key</w:t>
            </w:r>
          </w:p>
        </w:tc>
      </w:tr>
    </w:tbl>
    <w:p>
      <w:pPr>
        <w:spacing w:after="80"/>
      </w:pPr>
    </w:p>
    <w:p>
      <w:pPr>
        <w:pStyle w:val="Heading2"/>
      </w:pPr>
      <w:r>
        <w:t>Strategic Recommendations &amp; Milestones</w:t>
      </w:r>
    </w:p>
    <w:p>
      <w:r>
        <w:rPr>
          <w:rFonts w:ascii="Calibri" w:hAnsi="Calibri"/>
          <w:color w:val="1E293B"/>
          <w:sz w:val="21"/>
        </w:rPr>
        <w:t>&lt;!-- layout: closing --&gt; &lt;!-- category: Next Steps --&gt; Adopting PCI MPoC architecture enables rapid commercial expansion while satisfying bank-grade security standards.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Q4 2026: Complete lab security evaluation with accredited PCI testing laboratory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Q1 2027: Launch merchant pilot across 5,000 retail storefronts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1E293B"/>
          <w:sz w:val="21"/>
        </w:rPr>
        <w:t>Inquiries &amp; Partnerships: fintech-labs@teknokeys.com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Next-Gen Fintech Acceptance &amp; SoftPOS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