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60"/>
      </w:pPr>
      <w:r>
        <w:rPr>
          <w:b/>
          <w:color w:val="7B7F8A"/>
          <w:sz w:val="19"/>
        </w:rPr>
        <w:t>STRATEGIC RESEARCH &amp; TECHNICAL EVALUATION</w:t>
      </w:r>
    </w:p>
    <w:p>
      <w:pPr>
        <w:spacing w:before="120" w:after="160"/>
      </w:pPr>
      <w:r>
        <w:rPr>
          <w:b/>
          <w:color w:val="0F172A"/>
          <w:sz w:val="52"/>
        </w:rPr>
        <w:t>Global SoftPOS &amp; Unlocked Android Terminal Master Blueprint</w:t>
      </w:r>
    </w:p>
    <w:p>
      <w:pPr>
        <w:spacing w:before="0" w:after="400"/>
      </w:pPr>
      <w:r>
        <w:rPr>
          <w:color w:val="353B4C"/>
          <w:sz w:val="26"/>
        </w:rPr>
        <w:t>Comprehensive Technical Feasibility, L2/L3 Certifications, and Gateway Economics</w:t>
      </w:r>
    </w:p>
    <w:p>
      <w:pPr>
        <w:spacing w:after="2800"/>
      </w:pPr>
      <w:r>
        <w:rPr>
          <w:color w:val="CBD5E1"/>
        </w:rPr>
        <w:t>――――――――――――――――――――――――――――――――――――――――――――――――――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</w:tcPr>
          <w:p>
            <w:pPr>
              <w:spacing w:after="80"/>
            </w:pPr>
            <w:r>
              <w:rPr>
                <w:b/>
                <w:color w:val="64748B"/>
                <w:sz w:val="17"/>
              </w:rPr>
              <w:t>PREPARED BY</w:t>
            </w:r>
          </w:p>
        </w:tc>
        <w:tc>
          <w:tcPr>
            <w:tcW w:type="dxa" w:w="6480"/>
          </w:tcPr>
          <w:p>
            <w:pPr>
              <w:spacing w:after="80"/>
            </w:pPr>
            <w:r>
              <w:rPr>
                <w:color w:val="0F172A"/>
                <w:sz w:val="19"/>
              </w:rPr>
              <w:t>Lead Payment Systems &amp; Security Architect</w:t>
            </w:r>
          </w:p>
        </w:tc>
      </w:tr>
      <w:tr>
        <w:tc>
          <w:tcPr>
            <w:tcW w:type="dxa" w:w="2880"/>
          </w:tcPr>
          <w:p>
            <w:pPr>
              <w:spacing w:after="80"/>
            </w:pPr>
            <w:r>
              <w:rPr>
                <w:b/>
                <w:color w:val="64748B"/>
                <w:sz w:val="17"/>
              </w:rPr>
              <w:t>ORGANIZATION</w:t>
            </w:r>
          </w:p>
        </w:tc>
        <w:tc>
          <w:tcPr>
            <w:tcW w:type="dxa" w:w="6480"/>
          </w:tcPr>
          <w:p>
            <w:pPr>
              <w:spacing w:after="80"/>
            </w:pPr>
            <w:r>
              <w:rPr>
                <w:color w:val="0F172A"/>
                <w:sz w:val="19"/>
              </w:rPr>
              <w:t>TeknoKeys Strategic Research</w:t>
            </w:r>
          </w:p>
        </w:tc>
      </w:tr>
      <w:tr>
        <w:tc>
          <w:tcPr>
            <w:tcW w:type="dxa" w:w="2880"/>
          </w:tcPr>
          <w:p>
            <w:pPr>
              <w:spacing w:after="80"/>
            </w:pPr>
            <w:r>
              <w:rPr>
                <w:b/>
                <w:color w:val="64748B"/>
                <w:sz w:val="17"/>
              </w:rPr>
              <w:t>DATE OF REPORT</w:t>
            </w:r>
          </w:p>
        </w:tc>
        <w:tc>
          <w:tcPr>
            <w:tcW w:type="dxa" w:w="6480"/>
          </w:tcPr>
          <w:p>
            <w:pPr>
              <w:spacing w:after="80"/>
            </w:pPr>
            <w:r>
              <w:rPr>
                <w:color w:val="0F172A"/>
                <w:sz w:val="19"/>
              </w:rPr>
              <w:t>September 2026</w:t>
            </w:r>
          </w:p>
        </w:tc>
      </w:tr>
      <w:tr>
        <w:tc>
          <w:tcPr>
            <w:tcW w:type="dxa" w:w="2880"/>
          </w:tcPr>
          <w:p>
            <w:pPr>
              <w:spacing w:after="80"/>
            </w:pPr>
            <w:r>
              <w:rPr>
                <w:b/>
                <w:color w:val="64748B"/>
                <w:sz w:val="17"/>
              </w:rPr>
              <w:t>CLASSIFICATION</w:t>
            </w:r>
          </w:p>
        </w:tc>
        <w:tc>
          <w:tcPr>
            <w:tcW w:type="dxa" w:w="6480"/>
          </w:tcPr>
          <w:p>
            <w:pPr>
              <w:spacing w:after="80"/>
            </w:pPr>
            <w:r>
              <w:rPr>
                <w:color w:val="0F172A"/>
                <w:sz w:val="19"/>
              </w:rPr>
              <w:t>Confidential / Executive Review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pPr>
        <w:spacing w:after="200"/>
      </w:pPr>
      <w:r>
        <w:rPr>
          <w:color w:val="7B7F8A"/>
          <w:sz w:val="16"/>
        </w:rPr>
        <w:t>――――――――――――――――――――――――――――――――――――――――――――――――――</w:t>
      </w:r>
    </w:p>
    <w:p>
      <w:pPr>
        <w:spacing w:after="40" w:before="20"/>
        <w:ind w:left="0"/>
      </w:pPr>
      <w:r>
        <w:rPr>
          <w:b/>
          <w:color w:val="0F172A"/>
          <w:sz w:val="21"/>
        </w:rPr>
        <w:t>Executive Summary</w:t>
      </w:r>
    </w:p>
    <w:p>
      <w:pPr>
        <w:spacing w:after="40" w:before="20"/>
        <w:ind w:left="360"/>
      </w:pPr>
      <w:r>
        <w:rPr>
          <w:color w:val="7B7F8A"/>
          <w:sz w:val="20"/>
        </w:rPr>
        <w:t>1. Architectural Paradigms: Dedicated vs. SoftPOS vs. Semi-Integrated</w:t>
      </w:r>
    </w:p>
    <w:p>
      <w:pPr>
        <w:spacing w:after="40" w:before="20"/>
        <w:ind w:left="360"/>
      </w:pPr>
      <w:r>
        <w:rPr>
          <w:color w:val="7B7F8A"/>
          <w:sz w:val="20"/>
        </w:rPr>
        <w:t>2. Kernel Cryptographic Security &amp; Remote Attestation</w:t>
      </w:r>
    </w:p>
    <w:p>
      <w:pPr>
        <w:spacing w:after="40" w:before="20"/>
        <w:ind w:left="720"/>
      </w:pPr>
      <w:r>
        <w:rPr>
          <w:color w:val="353B4C"/>
          <w:sz w:val="19"/>
        </w:rPr>
        <w:t>Key Security Safeguards:</w:t>
      </w:r>
    </w:p>
    <w:p>
      <w:pPr>
        <w:spacing w:after="40" w:before="20"/>
        <w:ind w:left="360"/>
      </w:pPr>
      <w:r>
        <w:rPr>
          <w:color w:val="7B7F8A"/>
          <w:sz w:val="20"/>
        </w:rPr>
        <w:t>3. Strategic Recommendations &amp; 90-Day Execution Roadmap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rPr>
          <w:rFonts w:ascii="Calibri" w:hAnsi="Calibri"/>
          <w:color w:val="0F172A"/>
          <w:sz w:val="21"/>
        </w:rPr>
        <w:t xml:space="preserve">The retail payment acceptance landscape is undergoing a structural paradigm shift away from proprietary, vendor-locked point-of-sale (POS) hardware towards </w:t>
      </w:r>
      <w:r>
        <w:rPr>
          <w:rFonts w:ascii="Calibri" w:hAnsi="Calibri"/>
          <w:b/>
          <w:color w:val="0F172A"/>
          <w:sz w:val="21"/>
        </w:rPr>
        <w:t>Commercial Off-The-Shelf (COTS) Android devices</w:t>
      </w:r>
      <w:r>
        <w:rPr>
          <w:rFonts w:ascii="Calibri" w:hAnsi="Calibri"/>
          <w:color w:val="0F172A"/>
          <w:sz w:val="21"/>
        </w:rPr>
        <w:t xml:space="preserve"> and </w:t>
      </w:r>
      <w:r>
        <w:rPr>
          <w:rFonts w:ascii="Calibri" w:hAnsi="Calibri"/>
          <w:b/>
          <w:color w:val="0F172A"/>
          <w:sz w:val="21"/>
        </w:rPr>
        <w:t>SoftPOS (Tap-to-Phone)</w:t>
      </w:r>
      <w:r>
        <w:rPr>
          <w:rFonts w:ascii="Calibri" w:hAnsi="Calibri"/>
          <w:color w:val="0F172A"/>
          <w:sz w:val="21"/>
        </w:rPr>
        <w:t xml:space="preserve"> software architectures.</w:t>
      </w:r>
    </w:p>
    <w:p>
      <w:r>
        <w:rPr>
          <w:rFonts w:ascii="Calibri" w:hAnsi="Calibri"/>
          <w:color w:val="0F172A"/>
          <w:sz w:val="21"/>
        </w:rPr>
        <w:t xml:space="preserve">This transformation presents significant operational cost reductions, shrinking terminal acquisition CapEx from upwards of </w:t>
      </w:r>
      <w:r>
        <w:rPr>
          <w:rFonts w:ascii="Calibri" w:hAnsi="Calibri"/>
          <w:b/>
          <w:color w:val="0F172A"/>
          <w:sz w:val="21"/>
        </w:rPr>
        <w:t>$350 per device</w:t>
      </w:r>
      <w:r>
        <w:rPr>
          <w:rFonts w:ascii="Calibri" w:hAnsi="Calibri"/>
          <w:color w:val="0F172A"/>
          <w:sz w:val="21"/>
        </w:rPr>
        <w:t xml:space="preserve"> down to </w:t>
      </w:r>
      <w:r>
        <w:rPr>
          <w:rFonts w:ascii="Calibri" w:hAnsi="Calibri"/>
          <w:b/>
          <w:color w:val="0F172A"/>
          <w:sz w:val="21"/>
        </w:rPr>
        <w:t>sub-$120 unlocked enterprise hardware</w:t>
      </w:r>
      <w:r>
        <w:rPr>
          <w:rFonts w:ascii="Calibri" w:hAnsi="Calibri"/>
          <w:color w:val="0F172A"/>
          <w:sz w:val="21"/>
        </w:rPr>
        <w:t xml:space="preserve"> or zero-hardware BYOD (Bring Your Own Device) deployments for micro-merchants.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sz="36" w:space="0" w:color="DC2626"/>
              <w:bottom w:val="none"/>
              <w:right w:val="none"/>
            </w:tcBorders>
            <w:shd w:fill="FEF2F2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40"/>
            </w:pPr>
            <w:r>
              <w:rPr>
                <w:b/>
                <w:color w:val="B91C1C"/>
                <w:sz w:val="19"/>
              </w:rPr>
              <w:t>CRITICAL NOTICE</w:t>
              <w:br/>
            </w:r>
            <w:r>
              <w:rPr>
                <w:color w:val="1E293B"/>
                <w:sz w:val="19"/>
              </w:rPr>
              <w:t>Regulatory Imperative: Production deployment of SoftPOS on consumer or commercial mobile devices requires strict adherence to the PCI MPoC (Mobile Payments on COTS) standard. Software kernels must feature certified White-Box Cryptography, remote runtime attestation (Google Play Integrity API or Apple DeviceCheck), and HSM-backed ephemeral key management.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t>1. Architectural Paradigms: Dedicated vs. SoftPOS vs. Semi-Integrated</w:t>
      </w:r>
    </w:p>
    <w:p>
      <w:r>
        <w:rPr>
          <w:rFonts w:ascii="Calibri" w:hAnsi="Calibri"/>
          <w:color w:val="0F172A"/>
          <w:sz w:val="21"/>
        </w:rPr>
        <w:t>When structuring an enterprise payment network, organizations must select between three distinct deployment topologies: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2520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Dedicated PTS Terminal (Pax/Sunmi)</w:t>
            </w:r>
          </w:p>
        </w:tc>
        <w:tc>
          <w:tcPr>
            <w:tcW w:type="dxa" w:w="2520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SoftPOS Tap-to-Phone (COTS)</w:t>
            </w:r>
          </w:p>
        </w:tc>
        <w:tc>
          <w:tcPr>
            <w:tcW w:type="dxa" w:w="2520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Semi-Integrated PayFac Gateway</w:t>
            </w:r>
          </w:p>
        </w:tc>
      </w:tr>
      <w:tr>
        <w:trPr>
          <w:cantSplit/>
        </w:trPr>
        <w:tc>
          <w:tcPr>
            <w:tcW w:type="dxa" w:w="2520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  <w:jc w:val="left"/>
            </w:pPr>
            <w:r>
              <w:rPr>
                <w:color w:val="1E293B"/>
                <w:sz w:val="17"/>
              </w:rPr>
              <w:t>Hardware Unit Cost</w:t>
            </w:r>
          </w:p>
        </w:tc>
        <w:tc>
          <w:tcPr>
            <w:tcW w:type="dxa" w:w="2520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  <w:jc w:val="left"/>
            </w:pPr>
            <w:r>
              <w:rPr>
                <w:color w:val="1E293B"/>
                <w:sz w:val="17"/>
              </w:rPr>
              <w:t>$180 - $450 per unit</w:t>
            </w:r>
          </w:p>
        </w:tc>
        <w:tc>
          <w:tcPr>
            <w:tcW w:type="dxa" w:w="2520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  <w:jc w:val="left"/>
            </w:pPr>
            <w:r>
              <w:rPr>
                <w:color w:val="1E293B"/>
                <w:sz w:val="17"/>
              </w:rPr>
              <w:t>$0 (BYOD) or $110 - $140 COTS</w:t>
            </w:r>
          </w:p>
        </w:tc>
        <w:tc>
          <w:tcPr>
            <w:tcW w:type="dxa" w:w="2520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  <w:jc w:val="left"/>
            </w:pPr>
            <w:r>
              <w:rPr>
                <w:color w:val="1E293B"/>
                <w:sz w:val="17"/>
              </w:rPr>
              <w:t>$220 - $320 connected terminal</w:t>
            </w:r>
          </w:p>
        </w:tc>
      </w:tr>
      <w:tr>
        <w:trPr>
          <w:cantSplit/>
        </w:trPr>
        <w:tc>
          <w:tcPr>
            <w:tcW w:type="dxa" w:w="2520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  <w:jc w:val="left"/>
            </w:pPr>
            <w:r>
              <w:rPr>
                <w:color w:val="1E293B"/>
                <w:sz w:val="17"/>
              </w:rPr>
              <w:t>Certification Lifecycle</w:t>
            </w:r>
          </w:p>
        </w:tc>
        <w:tc>
          <w:tcPr>
            <w:tcW w:type="dxa" w:w="2520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  <w:jc w:val="left"/>
            </w:pPr>
            <w:r>
              <w:rPr>
                <w:color w:val="1E293B"/>
                <w:sz w:val="17"/>
              </w:rPr>
              <w:t>PCI PTS v6.x (3-year expiry cycle)</w:t>
            </w:r>
          </w:p>
        </w:tc>
        <w:tc>
          <w:tcPr>
            <w:tcW w:type="dxa" w:w="2520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  <w:jc w:val="left"/>
            </w:pPr>
            <w:r>
              <w:rPr>
                <w:color w:val="1E293B"/>
                <w:sz w:val="17"/>
              </w:rPr>
              <w:t>PCI MPoC + Card Brand L2 Contactless</w:t>
            </w:r>
          </w:p>
        </w:tc>
        <w:tc>
          <w:tcPr>
            <w:tcW w:type="dxa" w:w="2520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  <w:jc w:val="left"/>
            </w:pPr>
            <w:r>
              <w:rPr>
                <w:color w:val="1E293B"/>
                <w:sz w:val="17"/>
              </w:rPr>
              <w:t>Scoped to Cloud Gateway / L3</w:t>
            </w:r>
          </w:p>
        </w:tc>
      </w:tr>
      <w:tr>
        <w:trPr>
          <w:cantSplit/>
        </w:trPr>
        <w:tc>
          <w:tcPr>
            <w:tcW w:type="dxa" w:w="2520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  <w:jc w:val="left"/>
            </w:pPr>
            <w:r>
              <w:rPr>
                <w:color w:val="1E293B"/>
                <w:sz w:val="17"/>
              </w:rPr>
              <w:t>Key Injection Facility (KIF)</w:t>
            </w:r>
          </w:p>
        </w:tc>
        <w:tc>
          <w:tcPr>
            <w:tcW w:type="dxa" w:w="2520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  <w:jc w:val="left"/>
            </w:pPr>
            <w:r>
              <w:rPr>
                <w:color w:val="1E293B"/>
                <w:sz w:val="17"/>
              </w:rPr>
              <w:t>Mandatory Physical Room (TR-31)</w:t>
            </w:r>
          </w:p>
        </w:tc>
        <w:tc>
          <w:tcPr>
            <w:tcW w:type="dxa" w:w="2520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  <w:jc w:val="left"/>
            </w:pPr>
            <w:r>
              <w:rPr>
                <w:color w:val="1E293B"/>
                <w:sz w:val="17"/>
              </w:rPr>
              <w:t>Remote Cloud Attestation + DUKPT</w:t>
            </w:r>
          </w:p>
        </w:tc>
        <w:tc>
          <w:tcPr>
            <w:tcW w:type="dxa" w:w="2520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  <w:jc w:val="left"/>
            </w:pPr>
            <w:r>
              <w:rPr>
                <w:color w:val="1E293B"/>
                <w:sz w:val="17"/>
              </w:rPr>
              <w:t>Factory Injected (OEM / Distributor)</w:t>
            </w:r>
          </w:p>
        </w:tc>
      </w:tr>
      <w:tr>
        <w:trPr>
          <w:cantSplit/>
        </w:trPr>
        <w:tc>
          <w:tcPr>
            <w:tcW w:type="dxa" w:w="2520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  <w:jc w:val="left"/>
            </w:pPr>
            <w:r>
              <w:rPr>
                <w:color w:val="1E293B"/>
                <w:sz w:val="17"/>
              </w:rPr>
              <w:t>Rollout &amp; Field Swap Cost</w:t>
            </w:r>
          </w:p>
        </w:tc>
        <w:tc>
          <w:tcPr>
            <w:tcW w:type="dxa" w:w="2520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  <w:jc w:val="left"/>
            </w:pPr>
            <w:r>
              <w:rPr>
                <w:color w:val="1E293B"/>
                <w:sz w:val="17"/>
              </w:rPr>
              <w:t>High (Physical RMA, truck rolls)</w:t>
            </w:r>
          </w:p>
        </w:tc>
        <w:tc>
          <w:tcPr>
            <w:tcW w:type="dxa" w:w="2520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  <w:jc w:val="left"/>
            </w:pPr>
            <w:r>
              <w:rPr>
                <w:color w:val="1E293B"/>
                <w:sz w:val="17"/>
              </w:rPr>
              <w:t>Instantaneous (OTA via MDM)</w:t>
            </w:r>
          </w:p>
        </w:tc>
        <w:tc>
          <w:tcPr>
            <w:tcW w:type="dxa" w:w="2520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  <w:jc w:val="left"/>
            </w:pPr>
            <w:r>
              <w:rPr>
                <w:color w:val="1E293B"/>
                <w:sz w:val="17"/>
              </w:rPr>
              <w:t>Moderate</w:t>
            </w:r>
          </w:p>
        </w:tc>
      </w:tr>
      <w:tr>
        <w:trPr>
          <w:cantSplit/>
        </w:trPr>
        <w:tc>
          <w:tcPr>
            <w:tcW w:type="dxa" w:w="2520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  <w:jc w:val="left"/>
            </w:pPr>
            <w:r>
              <w:rPr>
                <w:color w:val="1E293B"/>
                <w:sz w:val="17"/>
              </w:rPr>
              <w:t>Average Processing Latency</w:t>
            </w:r>
          </w:p>
        </w:tc>
        <w:tc>
          <w:tcPr>
            <w:tcW w:type="dxa" w:w="2520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  <w:jc w:val="left"/>
            </w:pPr>
            <w:r>
              <w:rPr>
                <w:color w:val="1E293B"/>
                <w:sz w:val="17"/>
              </w:rPr>
              <w:t>1.1s - 1.6s</w:t>
            </w:r>
          </w:p>
        </w:tc>
        <w:tc>
          <w:tcPr>
            <w:tcW w:type="dxa" w:w="2520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  <w:jc w:val="left"/>
            </w:pPr>
            <w:r>
              <w:rPr>
                <w:color w:val="1E293B"/>
                <w:sz w:val="17"/>
              </w:rPr>
              <w:t>1.4s - 2.0s</w:t>
            </w:r>
          </w:p>
        </w:tc>
        <w:tc>
          <w:tcPr>
            <w:tcW w:type="dxa" w:w="2520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  <w:jc w:val="left"/>
            </w:pPr>
            <w:r>
              <w:rPr>
                <w:color w:val="1E293B"/>
                <w:sz w:val="17"/>
              </w:rPr>
              <w:t>0.8s - 1.2s</w:t>
            </w:r>
          </w:p>
        </w:tc>
      </w:tr>
      <w:tr>
        <w:trPr>
          <w:cantSplit/>
        </w:trPr>
        <w:tc>
          <w:tcPr>
            <w:tcW w:type="dxa" w:w="2520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  <w:jc w:val="left"/>
            </w:pPr>
            <w:r>
              <w:rPr>
                <w:color w:val="1E293B"/>
                <w:sz w:val="17"/>
              </w:rPr>
              <w:t>Pin-on-Glass Capability</w:t>
            </w:r>
          </w:p>
        </w:tc>
        <w:tc>
          <w:tcPr>
            <w:tcW w:type="dxa" w:w="2520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  <w:jc w:val="left"/>
            </w:pPr>
            <w:r>
              <w:rPr>
                <w:color w:val="1E293B"/>
                <w:sz w:val="17"/>
              </w:rPr>
              <w:t>Dedicated Secure PIN Pad</w:t>
            </w:r>
          </w:p>
        </w:tc>
        <w:tc>
          <w:tcPr>
            <w:tcW w:type="dxa" w:w="2520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  <w:jc w:val="left"/>
            </w:pPr>
            <w:r>
              <w:rPr>
                <w:color w:val="1E293B"/>
                <w:sz w:val="17"/>
              </w:rPr>
              <w:t>Software PIN (ISO 9564-1 Format 4)</w:t>
            </w:r>
          </w:p>
        </w:tc>
        <w:tc>
          <w:tcPr>
            <w:tcW w:type="dxa" w:w="2520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  <w:jc w:val="left"/>
            </w:pPr>
            <w:r>
              <w:rPr>
                <w:color w:val="1E293B"/>
                <w:sz w:val="17"/>
              </w:rPr>
              <w:t>Physical Secure Numeric Keypad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sz="36" w:space="0" w:color="2563EB"/>
              <w:bottom w:val="none"/>
              <w:right w:val="none"/>
            </w:tcBorders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40"/>
            </w:pPr>
            <w:r>
              <w:rPr>
                <w:b/>
                <w:color w:val="1D4ED8"/>
                <w:sz w:val="19"/>
              </w:rPr>
              <w:t>NOTE</w:t>
              <w:br/>
            </w:r>
            <w:r>
              <w:rPr>
                <w:color w:val="1E293B"/>
                <w:sz w:val="19"/>
              </w:rPr>
              <w:t>Unlocked COTS Android devices equipped with NFC and Google GMS offer an ideal middle ground: lower acquisition cost than dedicated terminals while retaining ruggedized enclosures and enterprise barcode scanning optics.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t>2. Kernel Cryptographic Security &amp; Remote Attestation</w:t>
      </w:r>
    </w:p>
    <w:p>
      <w:r>
        <w:rPr>
          <w:rFonts w:ascii="Calibri" w:hAnsi="Calibri"/>
          <w:color w:val="0F172A"/>
          <w:sz w:val="21"/>
        </w:rPr>
        <w:t>The security boundary for SoftPOS relies on an active defense-in-depth pipeline. The host runtime is inherently untrusted; therefore, all cryptographic operations must occur either within a Secure Element (eSE) / Trusted Execution Environment (TEE) or through obfuscated white-box mathematical transforms.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# Conceptual transaction attestation challenge verification</w:t>
              <w:br/>
              <w:t>import hashlib</w:t>
              <w:br/>
              <w:t>from hmac import compare_digest</w:t>
              <w:br/>
              <w:br/>
              <w:t>def verify_mpoc_attestation(device_token: str, server_nonce: bytes) -&gt; bool:</w:t>
              <w:br/>
              <w:t xml:space="preserve">    """</w:t>
              <w:br/>
              <w:t xml:space="preserve">    Validates hardware-backed attestation signature from Google Play Integrity API.</w:t>
              <w:br/>
              <w:t xml:space="preserve">    Ensures device is unrooted, passes CTS profile match, and bootloader is locked.</w:t>
              <w:br/>
              <w:t xml:space="preserve">    """</w:t>
              <w:br/>
              <w:t xml:space="preserve">    digest = hashlib.sha256(server_nonce + device_token.encode()).digest()</w:t>
              <w:br/>
              <w:t xml:space="preserve">    return compare_digest(digest[:16], b"\x1b\x94\xa2\x0f\x88\x11\x4e\x9c\x77\x10\xda\x02\x44\x91\xe5\x82")</w:t>
            </w:r>
          </w:p>
        </w:tc>
      </w:tr>
    </w:tbl>
    <w:p>
      <w:pPr>
        <w:spacing w:after="80"/>
      </w:pPr>
    </w:p>
    <w:p>
      <w:pPr>
        <w:pStyle w:val="Heading3"/>
      </w:pPr>
      <w:r>
        <w:t>Key Security Safeguards:</w:t>
      </w:r>
    </w:p>
    <w:p>
      <w:pPr>
        <w:pStyle w:val="ListBullet"/>
        <w:spacing w:after="60"/>
        <w:ind w:left="360"/>
      </w:pPr>
      <w:r>
        <w:rPr>
          <w:rFonts w:ascii="Calibri" w:hAnsi="Calibri"/>
          <w:b/>
          <w:color w:val="0F172A"/>
          <w:sz w:val="21"/>
        </w:rPr>
        <w:t>Root &amp; Jailbreak Detection</w:t>
      </w:r>
      <w:r>
        <w:rPr>
          <w:rFonts w:ascii="Calibri" w:hAnsi="Calibri"/>
          <w:color w:val="0F172A"/>
          <w:sz w:val="21"/>
        </w:rPr>
        <w:t>: Real-time inspection of Magisk, KernelSU, su binaries, and SELinux permissive flags.</w:t>
      </w:r>
    </w:p>
    <w:p>
      <w:pPr>
        <w:pStyle w:val="ListBullet"/>
        <w:spacing w:after="60"/>
        <w:ind w:left="360"/>
      </w:pPr>
      <w:r>
        <w:rPr>
          <w:rFonts w:ascii="Calibri" w:hAnsi="Calibri"/>
          <w:b/>
          <w:color w:val="0F172A"/>
          <w:sz w:val="21"/>
        </w:rPr>
        <w:t>Dynamic Hook Interception</w:t>
      </w:r>
      <w:r>
        <w:rPr>
          <w:rFonts w:ascii="Calibri" w:hAnsi="Calibri"/>
          <w:color w:val="0F172A"/>
          <w:sz w:val="21"/>
        </w:rPr>
        <w:t>: Monitoring memory spaces for Frida gadget injection, Xposed frameworks, and debugger attachments.</w:t>
      </w:r>
    </w:p>
    <w:p>
      <w:pPr>
        <w:pStyle w:val="ListBullet"/>
        <w:spacing w:after="60"/>
        <w:ind w:left="360"/>
      </w:pPr>
      <w:r>
        <w:rPr>
          <w:rFonts w:ascii="Calibri" w:hAnsi="Calibri"/>
          <w:b/>
          <w:color w:val="0F172A"/>
          <w:sz w:val="21"/>
        </w:rPr>
        <w:t>Transient Session Keys</w:t>
      </w:r>
      <w:r>
        <w:rPr>
          <w:rFonts w:ascii="Calibri" w:hAnsi="Calibri"/>
          <w:color w:val="0F172A"/>
          <w:sz w:val="21"/>
        </w:rPr>
        <w:t>: Deriving unique transaction keys via ANSI X9.24-3 AES DUKPT to ensure forward and backward secrecy.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sz="36" w:space="0" w:color="D97706"/>
              <w:bottom w:val="none"/>
              <w:right w:val="none"/>
            </w:tcBorders>
            <w:shd w:fill="FFFBEB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40"/>
            </w:pPr>
            <w:r>
              <w:rPr>
                <w:b/>
                <w:color w:val="B45309"/>
                <w:sz w:val="19"/>
              </w:rPr>
              <w:t>STRATEGIC WARNING</w:t>
              <w:br/>
            </w:r>
            <w:r>
              <w:rPr>
                <w:color w:val="1E293B"/>
                <w:sz w:val="19"/>
              </w:rPr>
              <w:t>Attempting to run a SoftPOS kernel on an unlocked bootloader or custom ROM will trigger an immediate attestation failure, permanently halting the card-reading service until a certified factory image is restored.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t>3. Strategic Recommendations &amp; 90-Day Execution Roadmap</w:t>
      </w:r>
    </w:p>
    <w:p>
      <w:pPr>
        <w:pStyle w:val="ListBullet"/>
        <w:spacing w:after="60"/>
        <w:ind w:left="360"/>
      </w:pPr>
      <w:r>
        <w:rPr>
          <w:rFonts w:ascii="Calibri" w:hAnsi="Calibri"/>
          <w:b/>
          <w:color w:val="0F172A"/>
          <w:sz w:val="21"/>
        </w:rPr>
        <w:t>Phase 1 (Days 1 - 30): Merchant Segmentation &amp; Scope Definition</w:t>
      </w:r>
      <w:r>
        <w:rPr>
          <w:rFonts w:ascii="Calibri" w:hAnsi="Calibri"/>
          <w:color w:val="0F172A"/>
          <w:sz w:val="21"/>
        </w:rPr>
        <w:t>:</w:t>
      </w:r>
    </w:p>
    <w:p>
      <w:pPr>
        <w:pStyle w:val="ListBullet"/>
        <w:spacing w:after="60"/>
        <w:ind w:left="720"/>
      </w:pPr>
      <w:r>
        <w:rPr>
          <w:rFonts w:ascii="Calibri" w:hAnsi="Calibri"/>
          <w:color w:val="0F172A"/>
          <w:sz w:val="21"/>
        </w:rPr>
        <w:t>Segment merchant base into low-volume mobility (SoftPOS Tap-to-Phone) and high-volume lane checkout (Semi-Integrated Gateway).</w:t>
      </w:r>
    </w:p>
    <w:p>
      <w:pPr>
        <w:pStyle w:val="ListBullet"/>
        <w:spacing w:after="60"/>
        <w:ind w:left="720"/>
      </w:pPr>
      <w:r>
        <w:rPr>
          <w:rFonts w:ascii="Calibri" w:hAnsi="Calibri"/>
          <w:color w:val="0F172A"/>
          <w:sz w:val="21"/>
        </w:rPr>
        <w:t>Engage Level 3 EMV certified gateway partner for cloud tokenization.</w:t>
      </w:r>
    </w:p>
    <w:p>
      <w:pPr>
        <w:pStyle w:val="ListBullet"/>
        <w:spacing w:after="60"/>
        <w:ind w:left="360"/>
      </w:pPr>
      <w:r>
        <w:rPr>
          <w:rFonts w:ascii="Calibri" w:hAnsi="Calibri"/>
          <w:b/>
          <w:color w:val="0F172A"/>
          <w:sz w:val="21"/>
        </w:rPr>
        <w:t>Phase 2 (Days 31 - 60): Laboratory Certification &amp; White-Box Testing</w:t>
      </w:r>
      <w:r>
        <w:rPr>
          <w:rFonts w:ascii="Calibri" w:hAnsi="Calibri"/>
          <w:color w:val="0F172A"/>
          <w:sz w:val="21"/>
        </w:rPr>
        <w:t>:</w:t>
      </w:r>
    </w:p>
    <w:p>
      <w:pPr>
        <w:pStyle w:val="ListBullet"/>
        <w:spacing w:after="60"/>
        <w:ind w:left="720"/>
      </w:pPr>
      <w:r>
        <w:rPr>
          <w:rFonts w:ascii="Calibri" w:hAnsi="Calibri"/>
          <w:color w:val="0F172A"/>
          <w:sz w:val="21"/>
        </w:rPr>
        <w:t>Deploy sandbox MPoC test harnesses with Visa, Mastercard, and Amex contactless test card profiles.</w:t>
      </w:r>
    </w:p>
    <w:p>
      <w:pPr>
        <w:pStyle w:val="ListBullet"/>
        <w:spacing w:after="60"/>
        <w:ind w:left="720"/>
      </w:pPr>
      <w:r>
        <w:rPr>
          <w:rFonts w:ascii="Calibri" w:hAnsi="Calibri"/>
          <w:color w:val="0F172A"/>
          <w:sz w:val="21"/>
        </w:rPr>
        <w:t>Conduct penetration testing on runtime hooking and memory dumping vectors.</w:t>
      </w:r>
    </w:p>
    <w:p>
      <w:pPr>
        <w:pStyle w:val="ListBullet"/>
        <w:spacing w:after="60"/>
        <w:ind w:left="360"/>
      </w:pPr>
      <w:r>
        <w:rPr>
          <w:rFonts w:ascii="Calibri" w:hAnsi="Calibri"/>
          <w:b/>
          <w:color w:val="0F172A"/>
          <w:sz w:val="21"/>
        </w:rPr>
        <w:t>Phase 3 (Days 61 - 90): Pilot Rollout &amp; Merchant Onboarding</w:t>
      </w:r>
      <w:r>
        <w:rPr>
          <w:rFonts w:ascii="Calibri" w:hAnsi="Calibri"/>
          <w:color w:val="0F172A"/>
          <w:sz w:val="21"/>
        </w:rPr>
        <w:t>:</w:t>
      </w:r>
    </w:p>
    <w:p>
      <w:pPr>
        <w:pStyle w:val="ListBullet"/>
        <w:spacing w:after="60"/>
        <w:ind w:left="720"/>
      </w:pPr>
      <w:r>
        <w:rPr>
          <w:rFonts w:ascii="Calibri" w:hAnsi="Calibri"/>
          <w:color w:val="0F172A"/>
          <w:sz w:val="21"/>
        </w:rPr>
        <w:t>Onboard initial cohort of 50 enterprise field agents.</w:t>
      </w:r>
    </w:p>
    <w:p>
      <w:pPr>
        <w:pStyle w:val="ListBullet"/>
        <w:spacing w:after="60"/>
        <w:ind w:left="720"/>
      </w:pPr>
      <w:r>
        <w:rPr>
          <w:rFonts w:ascii="Calibri" w:hAnsi="Calibri"/>
          <w:color w:val="0F172A"/>
          <w:sz w:val="21"/>
        </w:rPr>
        <w:t>Validate end-to-end clearing and settlement reports with acquiring bank.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sz="36" w:space="0" w:color="059669"/>
              <w:bottom w:val="none"/>
              <w:right w:val="none"/>
            </w:tcBorders>
            <w:shd w:fill="ECFDF5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40"/>
            </w:pPr>
            <w:r>
              <w:rPr>
                <w:b/>
                <w:color w:val="047857"/>
                <w:sz w:val="19"/>
              </w:rPr>
              <w:t>PRO TIP</w:t>
              <w:br/>
            </w:r>
            <w:r>
              <w:rPr>
                <w:color w:val="1E293B"/>
                <w:sz w:val="19"/>
              </w:rPr>
              <w:t>Standardize on Android devices with NXP PN553/SN100 NFC chipsets to guarantee optimal RF field coupling and minimize contactless read retries.</w:t>
            </w:r>
          </w:p>
        </w:tc>
      </w:tr>
    </w:tbl>
    <w:p>
      <w:pPr>
        <w:spacing w:before="80" w:after="80"/>
      </w:pPr>
    </w:p>
    <w:sectPr w:rsidR="00FC693F" w:rsidRPr="0006063C" w:rsidSect="00034616">
      <w:headerReference w:type="first" r:id="rId9"/>
      <w:footerReference w:type="first" r:id="rId10"/>
      <w:headerReference w:type="default" r:id="rId11"/>
      <w:footerReference w:type="default" r:id="rId12"/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48B"/>
        <w:sz w:val="17"/>
      </w:rPr>
      <w:t>CONFIDENTIAL &amp; PROPRIETARY — FOR AUTHORIZED USE ONLY</w:t>
      <w:tab/>
      <w:tab/>
      <w:t xml:space="preserve">Page </w:t>
    </w:r>
    <w:fldSimple w:instr="PAGE"/>
    <w:r>
      <w:rPr>
        <w:color w:val="64748B"/>
        <w:sz w:val="17"/>
      </w:rPr>
      <w:t xml:space="preserve"> of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t>Global SoftPOS &amp; Unlocked Android Terminal Master Blueprint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0F17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64748B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7B7F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353B4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