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160"/>
      </w:pPr>
      <w:r>
        <w:rPr>
          <w:b/>
          <w:color w:val="2563EB"/>
          <w:sz w:val="19"/>
        </w:rPr>
        <w:t>STRATEGIC RESEARCH &amp; TECHNICAL EVALUATION</w:t>
      </w:r>
    </w:p>
    <w:p>
      <w:pPr>
        <w:spacing w:before="120" w:after="160"/>
      </w:pPr>
      <w:r>
        <w:rPr>
          <w:b/>
          <w:color w:val="0F172A"/>
          <w:sz w:val="52"/>
        </w:rPr>
        <w:t>Next-Generation SoftPOS &amp; Hardware Architecture Evaluation</w:t>
      </w:r>
    </w:p>
    <w:p>
      <w:pPr>
        <w:spacing w:before="0" w:after="400"/>
      </w:pPr>
      <w:r>
        <w:rPr>
          <w:color w:val="334155"/>
          <w:sz w:val="26"/>
        </w:rPr>
        <w:t>Comprehensive Technical Feasibility, L2/L3 Kernel Certifications, and PayFac Economics</w:t>
      </w:r>
    </w:p>
    <w:p>
      <w:pPr>
        <w:spacing w:after="2800"/>
      </w:pPr>
      <w:r>
        <w:rPr>
          <w:color w:val="CBD5E1"/>
        </w:rPr>
        <w:t>――――――――――――――――――――――――――――――――――――――――――――――――――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</w:tcPr>
          <w:p>
            <w:pPr>
              <w:spacing w:after="80"/>
            </w:pPr>
            <w:r>
              <w:rPr>
                <w:b/>
                <w:color w:val="64748B"/>
                <w:sz w:val="17"/>
              </w:rPr>
              <w:t>PREPARED BY</w:t>
            </w:r>
          </w:p>
        </w:tc>
        <w:tc>
          <w:tcPr>
            <w:tcW w:type="dxa" w:w="6480"/>
          </w:tcPr>
          <w:p>
            <w:pPr>
              <w:spacing w:after="80"/>
            </w:pPr>
            <w:r>
              <w:rPr>
                <w:color w:val="0F172A"/>
                <w:sz w:val="19"/>
              </w:rPr>
              <w:t>Principal Security &amp; Systems Architect</w:t>
            </w:r>
          </w:p>
        </w:tc>
      </w:tr>
      <w:tr>
        <w:tc>
          <w:tcPr>
            <w:tcW w:type="dxa" w:w="2880"/>
          </w:tcPr>
          <w:p>
            <w:pPr>
              <w:spacing w:after="80"/>
            </w:pPr>
            <w:r>
              <w:rPr>
                <w:b/>
                <w:color w:val="64748B"/>
                <w:sz w:val="17"/>
              </w:rPr>
              <w:t>ORGANIZATION</w:t>
            </w:r>
          </w:p>
        </w:tc>
        <w:tc>
          <w:tcPr>
            <w:tcW w:type="dxa" w:w="6480"/>
          </w:tcPr>
          <w:p>
            <w:pPr>
              <w:spacing w:after="80"/>
            </w:pPr>
            <w:r>
              <w:rPr>
                <w:color w:val="0F172A"/>
                <w:sz w:val="19"/>
              </w:rPr>
              <w:t>TeknoKeys Payment Research Division</w:t>
            </w:r>
          </w:p>
        </w:tc>
      </w:tr>
      <w:tr>
        <w:tc>
          <w:tcPr>
            <w:tcW w:type="dxa" w:w="2880"/>
          </w:tcPr>
          <w:p>
            <w:pPr>
              <w:spacing w:after="80"/>
            </w:pPr>
            <w:r>
              <w:rPr>
                <w:b/>
                <w:color w:val="64748B"/>
                <w:sz w:val="17"/>
              </w:rPr>
              <w:t>DATE OF REPORT</w:t>
            </w:r>
          </w:p>
        </w:tc>
        <w:tc>
          <w:tcPr>
            <w:tcW w:type="dxa" w:w="6480"/>
          </w:tcPr>
          <w:p>
            <w:pPr>
              <w:spacing w:after="80"/>
            </w:pPr>
            <w:r>
              <w:rPr>
                <w:color w:val="0F172A"/>
                <w:sz w:val="19"/>
              </w:rPr>
              <w:t>September 2026</w:t>
            </w:r>
          </w:p>
        </w:tc>
      </w:tr>
      <w:tr>
        <w:tc>
          <w:tcPr>
            <w:tcW w:type="dxa" w:w="2880"/>
          </w:tcPr>
          <w:p>
            <w:pPr>
              <w:spacing w:after="80"/>
            </w:pPr>
            <w:r>
              <w:rPr>
                <w:b/>
                <w:color w:val="64748B"/>
                <w:sz w:val="17"/>
              </w:rPr>
              <w:t>CLASSIFICATION</w:t>
            </w:r>
          </w:p>
        </w:tc>
        <w:tc>
          <w:tcPr>
            <w:tcW w:type="dxa" w:w="6480"/>
          </w:tcPr>
          <w:p>
            <w:pPr>
              <w:spacing w:after="80"/>
            </w:pPr>
            <w:r>
              <w:rPr>
                <w:color w:val="0F172A"/>
                <w:sz w:val="19"/>
              </w:rPr>
              <w:t>Confidential / Executive Review</w:t>
            </w:r>
          </w:p>
        </w:tc>
      </w:tr>
    </w:tbl>
    <w:p>
      <w:r>
        <w:br w:type="page"/>
      </w:r>
    </w:p>
    <w:p>
      <w:pPr>
        <w:pStyle w:val="Heading1"/>
      </w:pPr>
      <w:r>
        <w:t>Executive Summary</w:t>
      </w:r>
    </w:p>
    <w:p>
      <w:r>
        <w:t>This strategic assessment evaluates the architectural feasibility and business implications of transitioning from legacy hardware POS terminals to NFC SoftPOS (Tap-to-Phone) and unlocked Android commercial off-the-shelf (COTS) devices.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sz="36" w:space="0" w:color="DC2626"/>
              <w:bottom w:val="none"/>
              <w:right w:val="none"/>
            </w:tcBorders>
            <w:shd w:fill="FEF2F2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after="40"/>
            </w:pPr>
            <w:r>
              <w:rPr>
                <w:b/>
                <w:color w:val="B91C1C"/>
                <w:sz w:val="19"/>
              </w:rPr>
              <w:t>CRITICAL NOTICE</w:t>
              <w:br/>
            </w:r>
            <w:r>
              <w:rPr>
                <w:color w:val="1E293B"/>
                <w:sz w:val="19"/>
              </w:rPr>
              <w:t>Regulatory compliance under PCI CPOC / MPoC requires software-based attestation (Google Play Integrity API / Apple App Attest) combined with encrypted PIN translation blocks (ISO 9564-1 Format 4) before any commercial card-present transaction can be processed.</w:t>
            </w:r>
          </w:p>
        </w:tc>
      </w:tr>
    </w:tbl>
    <w:p>
      <w:pPr>
        <w:spacing w:before="80" w:after="80"/>
      </w:pPr>
    </w:p>
    <w:p>
      <w:pPr>
        <w:pStyle w:val="Heading2"/>
      </w:pPr>
      <w:r>
        <w:t>1. Architectural Comparison</w:t>
      </w:r>
    </w:p>
    <w:p>
      <w:r>
        <w:t>The following matrix compares standard Dedicated Hardware Terminals against SoftPOS and Semi-Integrated Architectures across operational dimensions: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/>
        </w:trPr>
        <w:tc>
          <w:tcPr>
            <w:tcW w:type="dxa" w:w="2520"/>
            <w:shd w:fill="0F172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Dimension</w:t>
            </w:r>
          </w:p>
        </w:tc>
        <w:tc>
          <w:tcPr>
            <w:tcW w:type="dxa" w:w="2520"/>
            <w:shd w:fill="0F172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Dedicated Hardware (Pax/Sunmi)</w:t>
            </w:r>
          </w:p>
        </w:tc>
        <w:tc>
          <w:tcPr>
            <w:tcW w:type="dxa" w:w="2520"/>
            <w:shd w:fill="0F172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SoftPOS COTS (Android/iOS)</w:t>
            </w:r>
          </w:p>
        </w:tc>
        <w:tc>
          <w:tcPr>
            <w:tcW w:type="dxa" w:w="2520"/>
            <w:shd w:fill="0F172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Semi-Integrated PayFac</w:t>
            </w:r>
          </w:p>
        </w:tc>
      </w:tr>
      <w:tr>
        <w:trPr>
          <w:cantSplit/>
        </w:trPr>
        <w:tc>
          <w:tcPr>
            <w:tcW w:type="dxa" w:w="2520"/>
            <w:shd w:fill="FFFFFF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color w:val="1E293B"/>
                <w:sz w:val="17"/>
              </w:rPr>
              <w:t>Hardware Unit Cost</w:t>
            </w:r>
          </w:p>
        </w:tc>
        <w:tc>
          <w:tcPr>
            <w:tcW w:type="dxa" w:w="2520"/>
            <w:shd w:fill="FFFFFF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color w:val="1E293B"/>
                <w:sz w:val="17"/>
              </w:rPr>
              <w:t>$180 - $450 per terminal</w:t>
            </w:r>
          </w:p>
        </w:tc>
        <w:tc>
          <w:tcPr>
            <w:tcW w:type="dxa" w:w="2520"/>
            <w:shd w:fill="FFFFFF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color w:val="1E293B"/>
                <w:sz w:val="17"/>
              </w:rPr>
              <w:t>$0 (BYOD) or $120 COTS tablet</w:t>
            </w:r>
          </w:p>
        </w:tc>
        <w:tc>
          <w:tcPr>
            <w:tcW w:type="dxa" w:w="2520"/>
            <w:shd w:fill="FFFFFF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color w:val="1E293B"/>
                <w:sz w:val="17"/>
              </w:rPr>
              <w:t>$220 - $350 gateway terminal</w:t>
            </w:r>
          </w:p>
        </w:tc>
      </w:tr>
      <w:tr>
        <w:trPr>
          <w:cantSplit/>
        </w:trPr>
        <w:tc>
          <w:tcPr>
            <w:tcW w:type="dxa" w:w="2520"/>
            <w:shd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color w:val="1E293B"/>
                <w:sz w:val="17"/>
              </w:rPr>
              <w:t>Certification Scope</w:t>
            </w:r>
          </w:p>
        </w:tc>
        <w:tc>
          <w:tcPr>
            <w:tcW w:type="dxa" w:w="2520"/>
            <w:shd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color w:val="1E293B"/>
                <w:sz w:val="17"/>
              </w:rPr>
              <w:t>PCI PTS v6.x, EMV L1/L2/L3</w:t>
            </w:r>
          </w:p>
        </w:tc>
        <w:tc>
          <w:tcPr>
            <w:tcW w:type="dxa" w:w="2520"/>
            <w:shd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color w:val="1E293B"/>
                <w:sz w:val="17"/>
              </w:rPr>
              <w:t>PCI MPoC, EMV Contactless L2</w:t>
            </w:r>
          </w:p>
        </w:tc>
        <w:tc>
          <w:tcPr>
            <w:tcW w:type="dxa" w:w="2520"/>
            <w:shd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color w:val="1E293B"/>
                <w:sz w:val="17"/>
              </w:rPr>
              <w:t>EMV L3 via Cloud API</w:t>
            </w:r>
          </w:p>
        </w:tc>
      </w:tr>
      <w:tr>
        <w:trPr>
          <w:cantSplit/>
        </w:trPr>
        <w:tc>
          <w:tcPr>
            <w:tcW w:type="dxa" w:w="2520"/>
            <w:shd w:fill="FFFFFF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color w:val="1E293B"/>
                <w:sz w:val="17"/>
              </w:rPr>
              <w:t>Key Injection Facility (KIF)</w:t>
            </w:r>
          </w:p>
        </w:tc>
        <w:tc>
          <w:tcPr>
            <w:tcW w:type="dxa" w:w="2520"/>
            <w:shd w:fill="FFFFFF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color w:val="1E293B"/>
                <w:sz w:val="17"/>
              </w:rPr>
              <w:t>Mandatory (TR-31 / AES DUKPT)</w:t>
            </w:r>
          </w:p>
        </w:tc>
        <w:tc>
          <w:tcPr>
            <w:tcW w:type="dxa" w:w="2520"/>
            <w:shd w:fill="FFFFFF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color w:val="1E293B"/>
                <w:sz w:val="17"/>
              </w:rPr>
              <w:t>White-Box Cryptography + Attestation</w:t>
            </w:r>
          </w:p>
        </w:tc>
        <w:tc>
          <w:tcPr>
            <w:tcW w:type="dxa" w:w="2520"/>
            <w:shd w:fill="FFFFFF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color w:val="1E293B"/>
                <w:sz w:val="17"/>
              </w:rPr>
              <w:t>Mandatory at OEM factory</w:t>
            </w:r>
          </w:p>
        </w:tc>
      </w:tr>
      <w:tr>
        <w:trPr>
          <w:cantSplit/>
        </w:trPr>
        <w:tc>
          <w:tcPr>
            <w:tcW w:type="dxa" w:w="2520"/>
            <w:shd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color w:val="1E293B"/>
                <w:sz w:val="17"/>
              </w:rPr>
              <w:t>Field Maintenance &amp; Swaps</w:t>
            </w:r>
          </w:p>
        </w:tc>
        <w:tc>
          <w:tcPr>
            <w:tcW w:type="dxa" w:w="2520"/>
            <w:shd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color w:val="1E293B"/>
                <w:sz w:val="17"/>
              </w:rPr>
              <w:t>High (truck rolls, RMA)</w:t>
            </w:r>
          </w:p>
        </w:tc>
        <w:tc>
          <w:tcPr>
            <w:tcW w:type="dxa" w:w="2520"/>
            <w:shd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color w:val="1E293B"/>
                <w:sz w:val="17"/>
              </w:rPr>
              <w:t>Near Zero (MDM remote update)</w:t>
            </w:r>
          </w:p>
        </w:tc>
        <w:tc>
          <w:tcPr>
            <w:tcW w:type="dxa" w:w="2520"/>
            <w:shd w:fill="F8FAFC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color w:val="1E293B"/>
                <w:sz w:val="17"/>
              </w:rPr>
              <w:t>Moderate</w:t>
            </w:r>
          </w:p>
        </w:tc>
      </w:tr>
      <w:tr>
        <w:trPr>
          <w:cantSplit/>
        </w:trPr>
        <w:tc>
          <w:tcPr>
            <w:tcW w:type="dxa" w:w="2520"/>
            <w:shd w:fill="FFFFFF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color w:val="1E293B"/>
                <w:sz w:val="17"/>
              </w:rPr>
              <w:t>Transaction Latency</w:t>
            </w:r>
          </w:p>
        </w:tc>
        <w:tc>
          <w:tcPr>
            <w:tcW w:type="dxa" w:w="2520"/>
            <w:shd w:fill="FFFFFF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color w:val="1E293B"/>
                <w:sz w:val="17"/>
              </w:rPr>
              <w:t>~1.2s - 1.8s</w:t>
            </w:r>
          </w:p>
        </w:tc>
        <w:tc>
          <w:tcPr>
            <w:tcW w:type="dxa" w:w="2520"/>
            <w:shd w:fill="FFFFFF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color w:val="1E293B"/>
                <w:sz w:val="17"/>
              </w:rPr>
              <w:t>~1.4s - 2.1s</w:t>
            </w:r>
          </w:p>
        </w:tc>
        <w:tc>
          <w:tcPr>
            <w:tcW w:type="dxa" w:w="2520"/>
            <w:shd w:fill="FFFFFF"/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color w:val="1E293B"/>
                <w:sz w:val="17"/>
              </w:rPr>
              <w:t>~0.8s - 1.2s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sz="36" w:space="0" w:color="2563EB"/>
              <w:bottom w:val="none"/>
              <w:right w:val="none"/>
            </w:tcBorders>
            <w:shd w:fill="EFF6FF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after="40"/>
            </w:pPr>
            <w:r>
              <w:rPr>
                <w:b/>
                <w:color w:val="1D4ED8"/>
                <w:sz w:val="19"/>
              </w:rPr>
              <w:t>NOTE</w:t>
              <w:br/>
            </w:r>
            <w:r>
              <w:rPr>
                <w:color w:val="1E293B"/>
                <w:sz w:val="19"/>
              </w:rPr>
              <w:t>White-Box Cryptography with runtime integrity checking (Frida/root detection) provides sufficient defense-in-depth against static memory dumps in untrusted Android execution environments.</w:t>
            </w:r>
          </w:p>
        </w:tc>
      </w:tr>
    </w:tbl>
    <w:p>
      <w:pPr>
        <w:spacing w:before="80" w:after="80"/>
      </w:pPr>
    </w:p>
    <w:p>
      <w:pPr>
        <w:pStyle w:val="Heading2"/>
      </w:pPr>
      <w:r>
        <w:t>2. Kernel &amp; Cryptographic Pipeline</w:t>
      </w:r>
    </w:p>
    <w:p>
      <w:r>
        <w:t>The cryptographic pipeline enforces dual-tier envelope encryption using ephemeral session keys derived via DUKPT (Derived Unique Key Per Transaction) conforming to ANSI X9.24-3: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tcBorders>
              <w:top w:val="single" w:sz="4" w:space="0" w:color="CBD5E1"/>
              <w:bottom w:val="single" w:sz="4" w:space="0" w:color="CBD5E1"/>
              <w:left w:val="single" w:sz="4" w:space="0" w:color="CBD5E1"/>
              <w:right w:val="single" w:sz="4" w:space="0" w:color="CBD5E1"/>
            </w:tcBorders>
            <w:shd w:fill="F1F5F9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>def derive_mpoc_transaction_key(bdk: bytes, ksn: bytes) -&gt; bytes:</w:t>
              <w:br/>
              <w:t xml:space="preserve">    """</w:t>
              <w:br/>
              <w:t xml:space="preserve">    Derives transaction encryption key under ANSI X9.24-3 AES DUKPT.</w:t>
              <w:br/>
              <w:t xml:space="preserve">    Protects PIN block (ISO Format 4) and sensitive EMV tag 0x57 track data.</w:t>
              <w:br/>
              <w:t xml:space="preserve">    """</w:t>
              <w:br/>
              <w:t xml:space="preserve">    iv = b"\x00" * 16</w:t>
              <w:br/>
              <w:t xml:space="preserve">    cipher = Cipher(algorithms.AES(bdk), modes.ECB())</w:t>
              <w:br/>
              <w:t xml:space="preserve">    encryptor = cipher.encryptor()</w:t>
              <w:br/>
              <w:t xml:space="preserve">    intermediate = encryptor.update(ksn[:8] + b"\x00" * 8)</w:t>
              <w:br/>
              <w:t xml:space="preserve">    return hashlib.sha256(intermediate).digest()[:16]</w:t>
            </w:r>
          </w:p>
        </w:tc>
      </w:tr>
    </w:tbl>
    <w:p>
      <w:pPr>
        <w:spacing w:after="80"/>
      </w:pPr>
    </w:p>
    <w:p>
      <w:pPr>
        <w:pStyle w:val="Heading2"/>
      </w:pPr>
      <w:r>
        <w:t>3. Critical Recommendations</w:t>
      </w:r>
    </w:p>
    <w:p>
      <w:pPr>
        <w:pStyle w:val="ListBullet"/>
        <w:spacing w:after="60"/>
      </w:pPr>
      <w:r>
        <w:t>Mandate MPoC Architecture: Transition mobile workforce to software-based Tap-to-Phone terminals for micro-merchants.</w:t>
      </w:r>
    </w:p>
    <w:p>
      <w:pPr>
        <w:pStyle w:val="ListBullet"/>
        <w:spacing w:after="60"/>
      </w:pPr>
      <w:r>
        <w:t>Retain Semi-Integrated Gateway for Tier-1 Supermarkets: High-throughput lane environments require physical optical scanners and dedicated PIN pads.</w:t>
      </w:r>
    </w:p>
    <w:p>
      <w:pPr>
        <w:pStyle w:val="ListBullet"/>
        <w:spacing w:after="60"/>
      </w:pPr>
      <w:r>
        <w:t>Implement Automated Security Attestation: Integrate server-side token validation on every contactless tap.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tcBorders>
              <w:top w:val="none"/>
              <w:left w:val="single" w:sz="36" w:space="0" w:color="059669"/>
              <w:bottom w:val="none"/>
              <w:right w:val="none"/>
            </w:tcBorders>
            <w:shd w:fill="ECFDF5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after="40"/>
            </w:pPr>
            <w:r>
              <w:rPr>
                <w:b/>
                <w:color w:val="047857"/>
                <w:sz w:val="19"/>
              </w:rPr>
              <w:t>PRO TIP</w:t>
              <w:br/>
            </w:r>
            <w:r>
              <w:rPr>
                <w:color w:val="1E293B"/>
                <w:sz w:val="19"/>
              </w:rPr>
              <w:t>Prioritize OEM vendors that expose direct hardware-level Secure Element (SE) access or eSE/TEE integration over pure software emulation.</w:t>
            </w:r>
          </w:p>
        </w:tc>
      </w:tr>
    </w:tbl>
    <w:p>
      <w:pPr>
        <w:spacing w:before="80" w:after="80"/>
      </w:pPr>
    </w:p>
    <w:p>
      <w:r>
        <w:t>Report synthesized autonomously by the Antigravity Professional Researcher Engine.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080" w:bottom="1080" w:left="108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4748B"/>
        <w:sz w:val="17"/>
      </w:rPr>
      <w:t>CONFIDENTIAL &amp; PROPRIETARY — FOR AUTHORIZED USE ONLY</w:t>
      <w:tab/>
      <w:tab/>
      <w:t xml:space="preserve">Page </w:t>
    </w:r>
    <w:fldSimple w:instr="PAGE"/>
    <w:r>
      <w:rPr>
        <w:color w:val="64748B"/>
        <w:sz w:val="17"/>
      </w:rPr>
      <w:t xml:space="preserve"> of </w:t>
    </w:r>
    <w:fldSimple w:instr="NUMPAGES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t>NEXT-GENERATION SOFTPOS &amp; HARDWARE ARCHITECTURE EVALUATION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Calibri" w:hAnsi="Calibri"/>
      <w:color w:val="1E293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color w:val="64748B"/>
      <w:sz w:val="17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F172A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2563E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40"/>
      <w:outlineLvl w:val="2"/>
    </w:pPr>
    <w:rPr>
      <w:rFonts w:asciiTheme="majorHAnsi" w:eastAsiaTheme="majorEastAsia" w:hAnsiTheme="majorHAnsi" w:cstheme="majorBidi" w:ascii="Calibri" w:hAnsi="Calibri"/>
      <w:b/>
      <w:bCs/>
      <w:color w:val="33415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