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spacing w:line="360" w:lineRule="auto" w:after="120"/>
        <w:keepNext/>
      </w:pPr>
      <w:r>
        <w:rPr>
          <w:rFonts w:ascii="Times New Roman" w:hAnsi="Times New Roman" w:eastAsia="Times New Roman"/>
          <w:b/>
          <w:sz w:val="32"/>
          <w:szCs w:val="32"/>
        </w:rPr>
        <w:t xml:space="preserve">6. Discussion</w:t>
      </w:r>
    </w:p>
    <w:p>
      <w:pPr>
        <w:pStyle w:val="Heading2"/>
        <w:spacing w:line="360" w:lineRule="auto" w:after="120"/>
        <w:keepNext/>
      </w:pPr>
      <w:r>
        <w:rPr>
          <w:rFonts w:ascii="Times New Roman" w:hAnsi="Times New Roman" w:eastAsia="Times New Roman"/>
          <w:b/>
          <w:sz w:val="28"/>
          <w:szCs w:val="28"/>
        </w:rPr>
        <w:t xml:space="preserve">6.1 Discussion Overview</w:t>
      </w:r>
    </w:p>
    <w:p>
      <w:pPr>
        <w:jc w:val="both"/>
        <w:spacing w:line="360" w:lineRule="auto" w:after="120"/>
      </w:pPr>
      <w:r>
        <w:rPr>
          <w:rFonts w:ascii="Times New Roman" w:hAnsi="Times New Roman" w:eastAsia="Times New Roman"/>
          <w:sz w:val="24"/>
          <w:szCs w:val="24"/>
        </w:rPr>
        <w:t xml:space="preserve">This chapter interprets the findings reported in Chapter 5 in relation to the four research questions and the contribution claims established in Chapter 1. It does not repeat the full evaluation tables. Instead, it considers what the observed patterns mean, why the distinctions between the evidence streams matter, and where the evidence does not support a broader conclusion. The central argument is that a useful predictive course digital twin requires more than a predictive score. It also requires a temporally valid representation of what was knowable at each checkpoint, disciplined handling of missing evidence, grounded and validated generated outputs, and a traceable separation between model evidence and human decisions.</w:t>
      </w:r>
    </w:p>
    <w:p>
      <w:pPr>
        <w:jc w:val="both"/>
        <w:spacing w:line="360" w:lineRule="auto" w:after="120"/>
      </w:pPr>
      <w:r>
        <w:rPr>
          <w:rFonts w:ascii="Times New Roman" w:hAnsi="Times New Roman" w:eastAsia="Times New Roman"/>
          <w:sz w:val="24"/>
          <w:szCs w:val="24"/>
        </w:rPr>
        <w:t xml:space="preserve">The findings support this argument at several levels. E1 shows that predictive discrimination is checkpoint-dependent: the early checkpoints contained modest signal, whereas later checkpoints showed substantially stronger discrimination under the frozen empirical protocol. E4 shows that the state-building process can preserve a verifiable temporal boundary, with no post-cutoff evidence found among the audited provenance links. E2 shows that enforcing a structured output contract can transform citation and structural compliance without producing a corresponding improvement in abstention or overall behavioral correctness. The operational record then shows how validation, repair, rejection, and quality abstention were implemented at scale, while the RQ4 system evidence demonstrates that prediction, instructor triage, and support-case history can remain distinct.</w:t>
      </w:r>
    </w:p>
    <w:p>
      <w:pPr>
        <w:jc w:val="both"/>
        <w:spacing w:line="360" w:lineRule="auto" w:after="120"/>
      </w:pPr>
      <w:r>
        <w:rPr>
          <w:rFonts w:ascii="Times New Roman" w:hAnsi="Times New Roman" w:eastAsia="Times New Roman"/>
          <w:sz w:val="24"/>
          <w:szCs w:val="24"/>
        </w:rPr>
        <w:t xml:space="preserve">These conclusions correspond to different forms of evidence. E1 is the only empirical learner-outcome prediction study. E4 is an audit of the frozen temporal preparation path. E2 is a controlled synthetic grounding experiment rather than a student-risk evaluation. The operational LLM history is observational system evidence without predictive ground truth. RQ4 concerns verified representation and workflow invariants, not educator effectiveness. Maintaining these boundaries prevents a strong result in one stream from being used to compensate for an untested claim in another.</w:t>
      </w:r>
    </w:p>
    <w:p>
      <w:pPr>
        <w:jc w:val="both"/>
        <w:spacing w:line="360" w:lineRule="auto" w:after="120"/>
      </w:pPr>
      <w:r>
        <w:rPr>
          <w:rFonts w:ascii="Times New Roman" w:hAnsi="Times New Roman" w:eastAsia="Times New Roman"/>
          <w:sz w:val="24"/>
          <w:szCs w:val="24"/>
        </w:rPr>
        <w:t xml:space="preserve">Table 6.1. Research-question interpretation and claim boundaries</w:t>
      </w:r>
    </w:p>
    <w:tbl>
      <w:tblPr>
        <w:tblW w:w="0" w:type="auto"/>
        <w:jc w:val="center"/>
        <w:tblBorders>
          <w:top w:val="single" w:sz="4"/>
          <w:left w:val="single" w:sz="4"/>
          <w:bottom w:val="single" w:sz="4"/>
          <w:right w:val="single" w:sz="4"/>
          <w:insideH w:val="single" w:sz="4"/>
          <w:insideV w:val="single" w:sz="4"/>
        </w:tblBorders>
      </w:tblPr>
      <w:tblGrid>
        <w:gridCol w:w="1800"/>
        <w:gridCol w:w="1800"/>
        <w:gridCol w:w="1800"/>
        <w:gridCol w:w="1800"/>
        <w:gridCol w:w="1800"/>
      </w:tblGrid>
      <w:tr>
        <w:trPr>
          <w:cantSplit/>
          <w:tblHeader/>
        </w:trPr>
        <w:tc>
          <w:tcPr>
            <w:tcW w:w="1800" w:type="dxa"/>
            <w:shd w:fill="D9EAF7"/>
            <w:vAlign w:val="center"/>
          </w:tcPr>
          <w:p>
            <w:pPr>
              <w:spacing w:line="360" w:lineRule="auto" w:after="120"/>
            </w:pPr>
            <w:r>
              <w:rPr>
                <w:rFonts w:ascii="Times New Roman" w:hAnsi="Times New Roman" w:eastAsia="Times New Roman"/>
                <w:b/>
                <w:sz w:val="19"/>
                <w:szCs w:val="19"/>
              </w:rPr>
              <w:t xml:space="preserve">Research question</w:t>
            </w:r>
          </w:p>
        </w:tc>
        <w:tc>
          <w:tcPr>
            <w:tcW w:w="1800" w:type="dxa"/>
            <w:shd w:fill="D9EAF7"/>
            <w:vAlign w:val="center"/>
          </w:tcPr>
          <w:p>
            <w:pPr>
              <w:spacing w:line="360" w:lineRule="auto" w:after="120"/>
            </w:pPr>
            <w:r>
              <w:rPr>
                <w:rFonts w:ascii="Times New Roman" w:hAnsi="Times New Roman" w:eastAsia="Times New Roman"/>
                <w:b/>
                <w:sz w:val="19"/>
                <w:szCs w:val="19"/>
              </w:rPr>
              <w:t xml:space="preserve">Main observed result</w:t>
            </w:r>
          </w:p>
        </w:tc>
        <w:tc>
          <w:tcPr>
            <w:tcW w:w="1800" w:type="dxa"/>
            <w:shd w:fill="D9EAF7"/>
            <w:vAlign w:val="center"/>
          </w:tcPr>
          <w:p>
            <w:pPr>
              <w:spacing w:line="360" w:lineRule="auto" w:after="120"/>
            </w:pPr>
            <w:r>
              <w:rPr>
                <w:rFonts w:ascii="Times New Roman" w:hAnsi="Times New Roman" w:eastAsia="Times New Roman"/>
                <w:b/>
                <w:sz w:val="19"/>
                <w:szCs w:val="19"/>
              </w:rPr>
              <w:t xml:space="preserve">Interpretation</w:t>
            </w:r>
          </w:p>
        </w:tc>
        <w:tc>
          <w:tcPr>
            <w:tcW w:w="1800" w:type="dxa"/>
            <w:shd w:fill="D9EAF7"/>
            <w:vAlign w:val="center"/>
          </w:tcPr>
          <w:p>
            <w:pPr>
              <w:spacing w:line="360" w:lineRule="auto" w:after="120"/>
            </w:pPr>
            <w:r>
              <w:rPr>
                <w:rFonts w:ascii="Times New Roman" w:hAnsi="Times New Roman" w:eastAsia="Times New Roman"/>
                <w:b/>
                <w:sz w:val="19"/>
                <w:szCs w:val="19"/>
              </w:rPr>
              <w:t xml:space="preserve">Contribution</w:t>
            </w:r>
          </w:p>
        </w:tc>
        <w:tc>
          <w:tcPr>
            <w:tcW w:w="1800" w:type="dxa"/>
            <w:shd w:fill="D9EAF7"/>
            <w:vAlign w:val="center"/>
          </w:tcPr>
          <w:p>
            <w:pPr>
              <w:spacing w:line="360" w:lineRule="auto" w:after="120"/>
            </w:pPr>
            <w:r>
              <w:rPr>
                <w:rFonts w:ascii="Times New Roman" w:hAnsi="Times New Roman" w:eastAsia="Times New Roman"/>
                <w:b/>
                <w:sz w:val="19"/>
                <w:szCs w:val="19"/>
              </w:rPr>
              <w:t xml:space="preserve">Important boundary</w:t>
            </w:r>
          </w:p>
        </w:tc>
      </w:tr>
      <w:tr>
        <w:trPr>
          <w:cantSplit/>
        </w:trPr>
        <w:tc>
          <w:tcPr>
            <w:tcW w:w="1800" w:type="dxa"/>
            <w:vAlign w:val="center"/>
          </w:tcPr>
          <w:p>
            <w:pPr>
              <w:spacing w:line="360" w:lineRule="auto" w:after="120"/>
            </w:pPr>
            <w:r>
              <w:rPr>
                <w:rFonts w:ascii="Times New Roman" w:hAnsi="Times New Roman" w:eastAsia="Times New Roman"/>
                <w:sz w:val="19"/>
                <w:szCs w:val="19"/>
              </w:rPr>
              <w:t xml:space="preserve">RQ1 — Temporal Prediction</w:t>
            </w:r>
          </w:p>
        </w:tc>
        <w:tc>
          <w:tcPr>
            <w:tcW w:w="1800" w:type="dxa"/>
            <w:vAlign w:val="center"/>
          </w:tcPr>
          <w:p>
            <w:pPr>
              <w:spacing w:line="360" w:lineRule="auto" w:after="120"/>
            </w:pPr>
            <w:r>
              <w:rPr>
                <w:rFonts w:ascii="Times New Roman" w:hAnsi="Times New Roman" w:eastAsia="Times New Roman"/>
                <w:sz w:val="19"/>
                <w:szCs w:val="19"/>
              </w:rPr>
              <w:t xml:space="preserve">Discrimination was modest at weeks 3 and 5 and stronger at weeks 8 and 10; week 8 was numerically strongest</w:t>
            </w:r>
          </w:p>
        </w:tc>
        <w:tc>
          <w:tcPr>
            <w:tcW w:w="1800" w:type="dxa"/>
            <w:vAlign w:val="center"/>
          </w:tcPr>
          <w:p>
            <w:pPr>
              <w:spacing w:line="360" w:lineRule="auto" w:after="120"/>
            </w:pPr>
            <w:r>
              <w:rPr>
                <w:rFonts w:ascii="Times New Roman" w:hAnsi="Times New Roman" w:eastAsia="Times New Roman"/>
                <w:sz w:val="19"/>
                <w:szCs w:val="19"/>
              </w:rPr>
              <w:t xml:space="preserve">Predictive signal evolved with the checkpoint, creating a trade-off between early lead time and later discrimination</w:t>
            </w:r>
          </w:p>
        </w:tc>
        <w:tc>
          <w:tcPr>
            <w:tcW w:w="1800" w:type="dxa"/>
            <w:vAlign w:val="center"/>
          </w:tcPr>
          <w:p>
            <w:pPr>
              <w:spacing w:line="360" w:lineRule="auto" w:after="120"/>
            </w:pPr>
            <w:r>
              <w:rPr>
                <w:rFonts w:ascii="Times New Roman" w:hAnsi="Times New Roman" w:eastAsia="Times New Roman"/>
                <w:sz w:val="19"/>
                <w:szCs w:val="19"/>
              </w:rPr>
              <w:t xml:space="preserve">Checkpoint-specific empirical predictive analysis</w:t>
            </w:r>
          </w:p>
        </w:tc>
        <w:tc>
          <w:tcPr>
            <w:tcW w:w="1800" w:type="dxa"/>
            <w:vAlign w:val="center"/>
          </w:tcPr>
          <w:p>
            <w:pPr>
              <w:spacing w:line="360" w:lineRule="auto" w:after="120"/>
            </w:pPr>
            <w:r>
              <w:rPr>
                <w:rFonts w:ascii="Times New Roman" w:hAnsi="Times New Roman" w:eastAsia="Times New Roman"/>
                <w:sz w:val="19"/>
                <w:szCs w:val="19"/>
              </w:rPr>
              <w:t xml:space="preserve">One presentation, small checkpoint test sets, changing eligibility, uncalibrated scores</w:t>
            </w:r>
          </w:p>
        </w:tc>
      </w:tr>
      <w:tr>
        <w:trPr>
          <w:cantSplit/>
        </w:trPr>
        <w:tc>
          <w:tcPr>
            <w:tcW w:w="1800" w:type="dxa"/>
            <w:vAlign w:val="center"/>
          </w:tcPr>
          <w:p>
            <w:pPr>
              <w:spacing w:line="360" w:lineRule="auto" w:after="120"/>
            </w:pPr>
            <w:r>
              <w:rPr>
                <w:rFonts w:ascii="Times New Roman" w:hAnsi="Times New Roman" w:eastAsia="Times New Roman"/>
                <w:sz w:val="19"/>
                <w:szCs w:val="19"/>
              </w:rPr>
              <w:t xml:space="preserve">RQ2 — Temporal Integrity</w:t>
            </w:r>
          </w:p>
        </w:tc>
        <w:tc>
          <w:tcPr>
            <w:tcW w:w="1800" w:type="dxa"/>
            <w:vAlign w:val="center"/>
          </w:tcPr>
          <w:p>
            <w:pPr>
              <w:spacing w:line="360" w:lineRule="auto" w:after="120"/>
            </w:pPr>
            <w:r>
              <w:rPr>
                <w:rFonts w:ascii="Times New Roman" w:hAnsi="Times New Roman" w:eastAsia="Times New Roman"/>
                <w:sz w:val="19"/>
                <w:szCs w:val="19"/>
              </w:rPr>
              <w:t xml:space="preserve">194,590 provenance links contained 0 detected post-cutoff violations</w:t>
            </w:r>
          </w:p>
        </w:tc>
        <w:tc>
          <w:tcPr>
            <w:tcW w:w="1800" w:type="dxa"/>
            <w:vAlign w:val="center"/>
          </w:tcPr>
          <w:p>
            <w:pPr>
              <w:spacing w:line="360" w:lineRule="auto" w:after="120"/>
            </w:pPr>
            <w:r>
              <w:rPr>
                <w:rFonts w:ascii="Times New Roman" w:hAnsi="Times New Roman" w:eastAsia="Times New Roman"/>
                <w:sz w:val="19"/>
                <w:szCs w:val="19"/>
              </w:rPr>
              <w:t xml:space="preserve">The frozen states provide an auditable representation of what was recorded as available at each checkpoint</w:t>
            </w:r>
          </w:p>
        </w:tc>
        <w:tc>
          <w:tcPr>
            <w:tcW w:w="1800" w:type="dxa"/>
            <w:vAlign w:val="center"/>
          </w:tcPr>
          <w:p>
            <w:pPr>
              <w:spacing w:line="360" w:lineRule="auto" w:after="120"/>
            </w:pPr>
            <w:r>
              <w:rPr>
                <w:rFonts w:ascii="Times New Roman" w:hAnsi="Times New Roman" w:eastAsia="Times New Roman"/>
                <w:sz w:val="19"/>
                <w:szCs w:val="19"/>
              </w:rPr>
              <w:t xml:space="preserve">Provenance-aware cutoff-safe state construction</w:t>
            </w:r>
          </w:p>
        </w:tc>
        <w:tc>
          <w:tcPr>
            <w:tcW w:w="1800" w:type="dxa"/>
            <w:vAlign w:val="center"/>
          </w:tcPr>
          <w:p>
            <w:pPr>
              <w:spacing w:line="360" w:lineRule="auto" w:after="120"/>
            </w:pPr>
            <w:r>
              <w:rPr>
                <w:rFonts w:ascii="Times New Roman" w:hAnsi="Times New Roman" w:eastAsia="Times New Roman"/>
                <w:sz w:val="19"/>
                <w:szCs w:val="19"/>
              </w:rPr>
              <w:t xml:space="preserve">The audit cannot validate absent events, erroneous source timestamps, or future adapters</w:t>
            </w:r>
          </w:p>
        </w:tc>
      </w:tr>
      <w:tr>
        <w:trPr>
          <w:cantSplit/>
        </w:trPr>
        <w:tc>
          <w:tcPr>
            <w:tcW w:w="1800" w:type="dxa"/>
            <w:vAlign w:val="center"/>
          </w:tcPr>
          <w:p>
            <w:pPr>
              <w:spacing w:line="360" w:lineRule="auto" w:after="120"/>
            </w:pPr>
            <w:r>
              <w:rPr>
                <w:rFonts w:ascii="Times New Roman" w:hAnsi="Times New Roman" w:eastAsia="Times New Roman"/>
                <w:sz w:val="19"/>
                <w:szCs w:val="19"/>
              </w:rPr>
              <w:t xml:space="preserve">RQ3 — LLM Grounding and Reliability</w:t>
            </w:r>
          </w:p>
        </w:tc>
        <w:tc>
          <w:tcPr>
            <w:tcW w:w="1800" w:type="dxa"/>
            <w:vAlign w:val="center"/>
          </w:tcPr>
          <w:p>
            <w:pPr>
              <w:spacing w:line="360" w:lineRule="auto" w:after="120"/>
            </w:pPr>
            <w:r>
              <w:rPr>
                <w:rFonts w:ascii="Times New Roman" w:hAnsi="Times New Roman" w:eastAsia="Times New Roman"/>
                <w:sz w:val="19"/>
                <w:szCs w:val="19"/>
              </w:rPr>
              <w:t xml:space="preserve">Schema-only generation improved structural and citation compliance but did not improve abstention or behavioral correctness</w:t>
            </w:r>
          </w:p>
        </w:tc>
        <w:tc>
          <w:tcPr>
            <w:tcW w:w="1800" w:type="dxa"/>
            <w:vAlign w:val="center"/>
          </w:tcPr>
          <w:p>
            <w:pPr>
              <w:spacing w:line="360" w:lineRule="auto" w:after="120"/>
            </w:pPr>
            <w:r>
              <w:rPr>
                <w:rFonts w:ascii="Times New Roman" w:hAnsi="Times New Roman" w:eastAsia="Times New Roman"/>
                <w:sz w:val="19"/>
                <w:szCs w:val="19"/>
              </w:rPr>
              <w:t xml:space="preserve">Structured generation is useful but insufficient; deterministic validation and explicit failure handling remain necessary</w:t>
            </w:r>
          </w:p>
        </w:tc>
        <w:tc>
          <w:tcPr>
            <w:tcW w:w="1800" w:type="dxa"/>
            <w:vAlign w:val="center"/>
          </w:tcPr>
          <w:p>
            <w:pPr>
              <w:spacing w:line="360" w:lineRule="auto" w:after="120"/>
            </w:pPr>
            <w:r>
              <w:rPr>
                <w:rFonts w:ascii="Times New Roman" w:hAnsi="Times New Roman" w:eastAsia="Times New Roman"/>
                <w:sz w:val="19"/>
                <w:szCs w:val="19"/>
              </w:rPr>
              <w:t xml:space="preserve">Controlled grounding evidence and a secondary operational pipeline contribution</w:t>
            </w:r>
          </w:p>
        </w:tc>
        <w:tc>
          <w:tcPr>
            <w:tcW w:w="1800" w:type="dxa"/>
            <w:vAlign w:val="center"/>
          </w:tcPr>
          <w:p>
            <w:pPr>
              <w:spacing w:line="360" w:lineRule="auto" w:after="120"/>
            </w:pPr>
            <w:r>
              <w:rPr>
                <w:rFonts w:ascii="Times New Roman" w:hAnsi="Times New Roman" w:eastAsia="Times New Roman"/>
                <w:sz w:val="19"/>
                <w:szCs w:val="19"/>
              </w:rPr>
              <w:t xml:space="preserve">E2 and operational records are separate; neither establishes empirical risk-prediction accuracy</w:t>
            </w:r>
          </w:p>
        </w:tc>
      </w:tr>
      <w:tr>
        <w:trPr>
          <w:cantSplit/>
        </w:trPr>
        <w:tc>
          <w:tcPr>
            <w:tcW w:w="1800" w:type="dxa"/>
            <w:vAlign w:val="center"/>
          </w:tcPr>
          <w:p>
            <w:pPr>
              <w:spacing w:line="360" w:lineRule="auto" w:after="120"/>
            </w:pPr>
            <w:r>
              <w:rPr>
                <w:rFonts w:ascii="Times New Roman" w:hAnsi="Times New Roman" w:eastAsia="Times New Roman"/>
                <w:sz w:val="19"/>
                <w:szCs w:val="19"/>
              </w:rPr>
              <w:t xml:space="preserve">RQ4 — Human-in-the-loop Traceability</w:t>
            </w:r>
          </w:p>
        </w:tc>
        <w:tc>
          <w:tcPr>
            <w:tcW w:w="1800" w:type="dxa"/>
            <w:vAlign w:val="center"/>
          </w:tcPr>
          <w:p>
            <w:pPr>
              <w:spacing w:line="360" w:lineRule="auto" w:after="120"/>
            </w:pPr>
            <w:r>
              <w:rPr>
                <w:rFonts w:ascii="Times New Roman" w:hAnsi="Times New Roman" w:eastAsia="Times New Roman"/>
                <w:sz w:val="19"/>
                <w:szCs w:val="19"/>
              </w:rPr>
              <w:t xml:space="preserve">Risk state, triage status, and support-case status are independently represented and historically retained</w:t>
            </w:r>
          </w:p>
        </w:tc>
        <w:tc>
          <w:tcPr>
            <w:tcW w:w="1800" w:type="dxa"/>
            <w:vAlign w:val="center"/>
          </w:tcPr>
          <w:p>
            <w:pPr>
              <w:spacing w:line="360" w:lineRule="auto" w:after="120"/>
            </w:pPr>
            <w:r>
              <w:rPr>
                <w:rFonts w:ascii="Times New Roman" w:hAnsi="Times New Roman" w:eastAsia="Times New Roman"/>
                <w:sz w:val="19"/>
                <w:szCs w:val="19"/>
              </w:rPr>
              <w:t xml:space="preserve">Model evidence can inform human review without becoming or rewriting the human decision</w:t>
            </w:r>
          </w:p>
        </w:tc>
        <w:tc>
          <w:tcPr>
            <w:tcW w:w="1800" w:type="dxa"/>
            <w:vAlign w:val="center"/>
          </w:tcPr>
          <w:p>
            <w:pPr>
              <w:spacing w:line="360" w:lineRule="auto" w:after="120"/>
            </w:pPr>
            <w:r>
              <w:rPr>
                <w:rFonts w:ascii="Times New Roman" w:hAnsi="Times New Roman" w:eastAsia="Times New Roman"/>
                <w:sz w:val="19"/>
                <w:szCs w:val="19"/>
              </w:rPr>
              <w:t xml:space="preserve">Framework contribution for traceable review and follow-up</w:t>
            </w:r>
          </w:p>
        </w:tc>
        <w:tc>
          <w:tcPr>
            <w:tcW w:w="1800" w:type="dxa"/>
            <w:vAlign w:val="center"/>
          </w:tcPr>
          <w:p>
            <w:pPr>
              <w:spacing w:line="360" w:lineRule="auto" w:after="120"/>
            </w:pPr>
            <w:r>
              <w:rPr>
                <w:rFonts w:ascii="Times New Roman" w:hAnsi="Times New Roman" w:eastAsia="Times New Roman"/>
                <w:sz w:val="19"/>
                <w:szCs w:val="19"/>
              </w:rPr>
              <w:t xml:space="preserve">No educator study, workload result, intervention effect, or learning-outcome claim</w:t>
            </w:r>
          </w:p>
        </w:tc>
      </w:tr>
    </w:tbl>
    <w:p>
      <w:pPr>
        <w:spacing w:line="360" w:lineRule="auto" w:after="120"/>
      </w:pPr>
      <w:r>
        <w:rPr>
          <w:rFonts w:ascii="Times New Roman" w:hAnsi="Times New Roman" w:eastAsia="Times New Roman"/>
          <w:sz w:val="24"/>
          <w:szCs w:val="24"/>
        </w:rPr>
        <w:t xml:space="preserve"/>
      </w:r>
    </w:p>
    <w:p>
      <w:pPr>
        <w:pStyle w:val="Heading2"/>
        <w:spacing w:line="360" w:lineRule="auto" w:after="120"/>
        <w:keepNext/>
      </w:pPr>
      <w:r>
        <w:rPr>
          <w:rFonts w:ascii="Times New Roman" w:hAnsi="Times New Roman" w:eastAsia="Times New Roman"/>
          <w:b/>
          <w:sz w:val="28"/>
          <w:szCs w:val="28"/>
        </w:rPr>
        <w:t xml:space="preserve">6.2 RQ1 — Temporal Evolution of Predictive Performance</w:t>
      </w:r>
    </w:p>
    <w:p>
      <w:pPr>
        <w:jc w:val="both"/>
        <w:spacing w:line="360" w:lineRule="auto" w:after="120"/>
      </w:pPr>
      <w:r>
        <w:rPr>
          <w:rFonts w:ascii="Times New Roman" w:hAnsi="Times New Roman" w:eastAsia="Times New Roman"/>
          <w:sz w:val="24"/>
          <w:szCs w:val="24"/>
        </w:rPr>
        <w:t xml:space="preserve">RQ1 asked how predictive performance evolves across cutoff-safe learner states at early course checkpoints. The frozen E1 results show a clear temporal pattern within AAA/2013J. Week 3 produced AUROC 0.621 and Average Precision 0.379, and week 5 produced 0.657 and 0.531. The corresponding values were considerably higher at week 8, at 0.896 and 0.819, and remained strong at week 10, at 0.834 and 0.802. This pattern supports the conclusion that temporal prediction is not a fixed property of a learner or a course. The discrimination available to the evaluated Logistic Regression model differed according to when the state was constructed.</w:t>
      </w:r>
    </w:p>
    <w:p>
      <w:pPr>
        <w:jc w:val="both"/>
        <w:spacing w:line="360" w:lineRule="auto" w:after="120"/>
      </w:pPr>
      <w:r>
        <w:rPr>
          <w:rFonts w:ascii="Times New Roman" w:hAnsi="Times New Roman" w:eastAsia="Times New Roman"/>
          <w:sz w:val="24"/>
          <w:szCs w:val="24"/>
        </w:rPr>
        <w:t xml:space="preserve">The practical tension is between lead time and observable signal. An estimate at week 3 provides more time for review or support, but it is based on a shorter activity history and fewer due assessments. Later checkpoints occur after richer accumulated evidence has become available and, under the evaluated protocol, showed stronger discrimination. This does not establish that the mere passage of time caused better model performance. It shows that the later checkpoint states, populations, and available evidence supported stronger separation in this evaluation. Early-warning systems therefore face a design choice rather than a universally optimal checkpoint: earlier scoring offers greater potential lead time, while later scoring may offer a clearer empirical basis for prioritisation.</w:t>
      </w:r>
    </w:p>
    <w:p>
      <w:pPr>
        <w:jc w:val="both"/>
        <w:spacing w:line="360" w:lineRule="auto" w:after="120"/>
      </w:pPr>
      <w:r>
        <w:rPr>
          <w:rFonts w:ascii="Times New Roman" w:hAnsi="Times New Roman" w:eastAsia="Times New Roman"/>
          <w:sz w:val="24"/>
          <w:szCs w:val="24"/>
        </w:rPr>
        <w:t xml:space="preserve">Week 8 was numerically strongest, but it should not be described as statistically or universally superior to week 10. The test groups overlap through repeated learners but are not identical because eligibility is recalculated at every checkpoint. Learners already unregistered by a cutoff are excluded, so the later task concerns a changing population. The positive test count also falls across checkpoints. These changes can affect both the difficulty of the prediction task and the uncertainty of the estimates. No paired test in the frozen protocol establishes a significant week-8 versus week-10 difference. The defensible interpretation is that week 8 produced the highest point estimates and week 10 retained strong discrimination.</w:t>
      </w:r>
    </w:p>
    <w:p>
      <w:pPr>
        <w:jc w:val="both"/>
        <w:spacing w:line="360" w:lineRule="auto" w:after="120"/>
      </w:pPr>
      <w:r>
        <w:rPr>
          <w:rFonts w:ascii="Times New Roman" w:hAnsi="Times New Roman" w:eastAsia="Times New Roman"/>
          <w:sz w:val="24"/>
          <w:szCs w:val="24"/>
        </w:rPr>
        <w:t xml:space="preserve">The wide bootstrap intervals reinforce this restraint. They reflect small test partitions and relatively few positive outcomes, particularly at later checkpoints. The point estimates are useful descriptions of the evaluated sample, but their precision is limited. A narrow ranking of checkpoints would therefore exceed the evidence. The results establish a meaningful temporal pattern for a transparent baseline on one presentation; they do not establish cross-course generalisation, a universal intervention point, or superiority over every alternative model.</w:t>
      </w:r>
    </w:p>
    <w:p>
      <w:pPr>
        <w:jc w:val="both"/>
        <w:spacing w:line="360" w:lineRule="auto" w:after="120"/>
      </w:pPr>
      <w:r>
        <w:rPr>
          <w:rFonts w:ascii="Times New Roman" w:hAnsi="Times New Roman" w:eastAsia="Times New Roman"/>
          <w:sz w:val="24"/>
          <w:szCs w:val="24"/>
        </w:rPr>
        <w:t xml:space="preserve">This result is consistent with the broader early-warning literature reviewed in Chapter 1, which shows that LMS activity and assessment traces can contain predictive signal while also warning that course and instructional context affect portability [1]–[4]. The present work adds a specifically checkpointed interpretation: predictive performance must be reported with the state cutoff and eligible population, rather than as a single course-wide property. That framing also avoids treating clicks, submissions, or model scores as direct observations of motivation, understanding, or intent.</w:t>
      </w:r>
    </w:p>
    <w:p>
      <w:pPr>
        <w:pStyle w:val="Heading2"/>
        <w:spacing w:line="360" w:lineRule="auto" w:after="120"/>
        <w:keepNext/>
      </w:pPr>
      <w:r>
        <w:rPr>
          <w:rFonts w:ascii="Times New Roman" w:hAnsi="Times New Roman" w:eastAsia="Times New Roman"/>
          <w:b/>
          <w:sz w:val="28"/>
          <w:szCs w:val="28"/>
        </w:rPr>
        <w:t xml:space="preserve">6.3 Practical Meaning of Early Prediction Errors</w:t>
      </w:r>
    </w:p>
    <w:p>
      <w:pPr>
        <w:jc w:val="both"/>
        <w:spacing w:line="360" w:lineRule="auto" w:after="120"/>
      </w:pPr>
      <w:r>
        <w:rPr>
          <w:rFonts w:ascii="Times New Roman" w:hAnsi="Times New Roman" w:eastAsia="Times New Roman"/>
          <w:sz w:val="24"/>
          <w:szCs w:val="24"/>
        </w:rPr>
        <w:t xml:space="preserve">The threshold-dependent results clarify why ranking metrics alone do not determine whether a model is operationally useful. At week 3, the validation-selected threshold achieved relatively high recall but produced many false positives. This is a plausible outcome for an early warning setting in which the threshold favours sensitivity, yet it has an important consequence: a larger group would require review even though many flagged learners would not have the target outcome. The project did not measure instructor workload, so this is an operational implication rather than an observed burden.</w:t>
      </w:r>
    </w:p>
    <w:p>
      <w:pPr>
        <w:jc w:val="both"/>
        <w:spacing w:line="360" w:lineRule="auto" w:after="120"/>
      </w:pPr>
      <w:r>
        <w:rPr>
          <w:rFonts w:ascii="Times New Roman" w:hAnsi="Times New Roman" w:eastAsia="Times New Roman"/>
          <w:sz w:val="24"/>
          <w:szCs w:val="24"/>
        </w:rPr>
        <w:t xml:space="preserve">Week 5 further illustrates the difference between discrimination and a chosen operating point. Its AUROC and Average Precision were numerically higher than at week 3, but its threshold-specific F1 was lower. AUROC and Average Precision evaluate ranking across possible thresholds, whereas F1 evaluates one threshold selected from validation data. A model can therefore rank learners somewhat better while performing less favourably at a particular decision boundary. This distinction matters because an instructor-facing queue ultimately requires an operating policy, not only a ranking statistic.</w:t>
      </w:r>
    </w:p>
    <w:p>
      <w:pPr>
        <w:jc w:val="both"/>
        <w:spacing w:line="360" w:lineRule="auto" w:after="120"/>
      </w:pPr>
      <w:r>
        <w:rPr>
          <w:rFonts w:ascii="Times New Roman" w:hAnsi="Times New Roman" w:eastAsia="Times New Roman"/>
          <w:sz w:val="24"/>
          <w:szCs w:val="24"/>
        </w:rPr>
        <w:t xml:space="preserve">The week-8 and week-10 results showed a more favourable balance of precision and recall under their respective validation-selected thresholds. Even so, those thresholds should not be treated as permanent institutional rules. They were selected by validation F1 for this dataset and target, and the scores were not calibrated. A threshold determines which errors are accepted in a particular context; it does not turn the underlying model score into a probability or establish that every flagged learner needs the same response.</w:t>
      </w:r>
    </w:p>
    <w:p>
      <w:pPr>
        <w:jc w:val="both"/>
        <w:spacing w:line="360" w:lineRule="auto" w:after="120"/>
      </w:pPr>
      <w:r>
        <w:rPr>
          <w:rFonts w:ascii="Times New Roman" w:hAnsi="Times New Roman" w:eastAsia="Times New Roman"/>
          <w:sz w:val="24"/>
          <w:szCs w:val="24"/>
        </w:rPr>
        <w:t xml:space="preserve">For a prospective early-warning system, threshold choice should eventually reflect review capacity and the relative costs of missed cases and unnecessary review. A high-recall early threshold may be defensible when the follow-up action is low-cost and supportive, while a more selective threshold may be needed where staff capacity is constrained or the intervention is consequential. These possibilities were not tested with instructors here. The current evidence therefore supports exposing uncertainty, evidence, and checkpoint context to the reviewer rather than automating an intervention from the score alone.</w:t>
      </w:r>
    </w:p>
    <w:p>
      <w:pPr>
        <w:pStyle w:val="Heading2"/>
        <w:spacing w:line="360" w:lineRule="auto" w:after="120"/>
        <w:keepNext/>
      </w:pPr>
      <w:r>
        <w:rPr>
          <w:rFonts w:ascii="Times New Roman" w:hAnsi="Times New Roman" w:eastAsia="Times New Roman"/>
          <w:b/>
          <w:sz w:val="28"/>
          <w:szCs w:val="28"/>
        </w:rPr>
        <w:t xml:space="preserve">6.4 RQ2 — Temporal Integrity and Provenance</w:t>
      </w:r>
    </w:p>
    <w:p>
      <w:pPr>
        <w:jc w:val="both"/>
        <w:spacing w:line="360" w:lineRule="auto" w:after="120"/>
      </w:pPr>
      <w:r>
        <w:rPr>
          <w:rFonts w:ascii="Times New Roman" w:hAnsi="Times New Roman" w:eastAsia="Times New Roman"/>
          <w:sz w:val="24"/>
          <w:szCs w:val="24"/>
        </w:rPr>
        <w:t xml:space="preserve">RQ2 concerned whether a provenance-aware temporal pipeline could prevent post-cutoff information leakage while preserving traceability. E4 found zero post-cutoff violations among 194,590 provenance rows linked to the frozen states. This result is scientifically important because a high-performing early-warning model is misleading if its inputs contain information that would not have been available at the claimed prediction time. Temporal integrity is therefore a prerequisite for interpreting predictive performance, rather than a secondary implementation detail.</w:t>
      </w:r>
    </w:p>
    <w:p>
      <w:pPr>
        <w:jc w:val="both"/>
        <w:spacing w:line="360" w:lineRule="auto" w:after="120"/>
      </w:pPr>
      <w:r>
        <w:rPr>
          <w:rFonts w:ascii="Times New Roman" w:hAnsi="Times New Roman" w:eastAsia="Times New Roman"/>
          <w:sz w:val="24"/>
          <w:szCs w:val="24"/>
        </w:rPr>
        <w:t xml:space="preserve">The state builder operationalises the question “what was knowable at time t?” Each checkpoint state is linked to the source observations that contributed to it, and the audit compares the recorded source time with the state cutoff. This makes the temporal boundary inspectable after feature construction. If an anomalous feature value or model output is questioned, the system can trace it back to the supporting activity or assessment records instead of relying only on a derived matrix. Provenance consequently supports temporal accountability, reproducibility, debugging, and defensible retrospective inspection.</w:t>
      </w:r>
    </w:p>
    <w:p>
      <w:pPr>
        <w:jc w:val="both"/>
        <w:spacing w:line="360" w:lineRule="auto" w:after="120"/>
      </w:pPr>
      <w:r>
        <w:rPr>
          <w:rFonts w:ascii="Times New Roman" w:hAnsi="Times New Roman" w:eastAsia="Times New Roman"/>
          <w:sz w:val="24"/>
          <w:szCs w:val="24"/>
        </w:rPr>
        <w:t xml:space="preserve">This contribution complements the predictive evaluation. E1 shows what discrimination the selected features supported, while E4 tests whether those features were built from temporally eligible recorded evidence. Provenance does not itself improve predictive accuracy, and the project makes no such claim. Its role is to make the evidence basis of a result auditable. A weaker but temporally valid estimate is scientifically more credible than an apparently stronger result produced with future leakage.</w:t>
      </w:r>
    </w:p>
    <w:p>
      <w:pPr>
        <w:jc w:val="both"/>
        <w:spacing w:line="360" w:lineRule="auto" w:after="120"/>
      </w:pPr>
      <w:r>
        <w:rPr>
          <w:rFonts w:ascii="Times New Roman" w:hAnsi="Times New Roman" w:eastAsia="Times New Roman"/>
          <w:sz w:val="24"/>
          <w:szCs w:val="24"/>
        </w:rPr>
        <w:t xml:space="preserve">The zero-violation finding remains scoped. E4 audits the recorded provenance links, the implemented frozen preparation path, and the declared source-time fields. It cannot show that the original source contained every real event, that every timestamp was correct, or that an unsupported source field was interpreted properly. It also cannot guarantee that a future LMS adapter will preserve the same boundary. These limitations distinguish “no violation detected in the audited artifact” from universal proof of leakage freedom.</w:t>
      </w:r>
    </w:p>
    <w:p>
      <w:pPr>
        <w:jc w:val="both"/>
        <w:spacing w:line="360" w:lineRule="auto" w:after="120"/>
      </w:pPr>
      <w:r>
        <w:rPr>
          <w:rFonts w:ascii="Times New Roman" w:hAnsi="Times New Roman" w:eastAsia="Times New Roman"/>
          <w:sz w:val="24"/>
          <w:szCs w:val="24"/>
        </w:rPr>
        <w:t xml:space="preserve">The implication is that each new adapter, feature family, or checkpoint policy should preserve lineage and undergo the same form of temporal audit. Tests of aggregate feature values are insufficient when the source composition is opaque. The contribution is the combination of cutoff-first state construction and inspectable evidence links, which gives later model evaluation a reproducible temporal basis.</w:t>
      </w:r>
    </w:p>
    <w:p>
      <w:pPr>
        <w:pStyle w:val="Heading2"/>
        <w:spacing w:line="360" w:lineRule="auto" w:after="120"/>
        <w:keepNext/>
      </w:pPr>
      <w:r>
        <w:rPr>
          <w:rFonts w:ascii="Times New Roman" w:hAnsi="Times New Roman" w:eastAsia="Times New Roman"/>
          <w:b/>
          <w:sz w:val="28"/>
          <w:szCs w:val="28"/>
        </w:rPr>
        <w:t xml:space="preserve">6.5 Missingness as Part of Learner-State Meaning</w:t>
      </w:r>
    </w:p>
    <w:p>
      <w:pPr>
        <w:jc w:val="both"/>
        <w:spacing w:line="360" w:lineRule="auto" w:after="120"/>
      </w:pPr>
      <w:r>
        <w:rPr>
          <w:rFonts w:ascii="Times New Roman" w:hAnsi="Times New Roman" w:eastAsia="Times New Roman"/>
          <w:sz w:val="24"/>
          <w:szCs w:val="24"/>
        </w:rPr>
        <w:t xml:space="preserve">Missingness is not only a preprocessing concern in this project; it is part of the meaning of a learner state. The canonical representation distinguishes observed, structural_zero, no_activity_yet, not_yet_applicable, source_missing, ingestion_incomplete, and not_supported. These categories prevent several different situations from being collapsed into the same numeric value or narrative interpretation.</w:t>
      </w:r>
    </w:p>
    <w:p>
      <w:pPr>
        <w:jc w:val="both"/>
        <w:spacing w:line="360" w:lineRule="auto" w:after="120"/>
      </w:pPr>
      <w:r>
        <w:rPr>
          <w:rFonts w:ascii="Times New Roman" w:hAnsi="Times New Roman" w:eastAsia="Times New Roman"/>
          <w:sz w:val="24"/>
          <w:szCs w:val="24"/>
        </w:rPr>
        <w:t xml:space="preserve">For example, no recorded activity before an early checkpoint can be a valid observed absence, while an incomplete ingestion window means the system does not know whether activity occurred. An assessment that is not yet due should not count as missed, and a feature unsupported by a source cannot safely be treated as zero. In each case, “no evidence” has a different relationship to risk. Converting all of them into negative evidence could create false confidence in both a statistical model and an LLM-generated explanation.</w:t>
      </w:r>
    </w:p>
    <w:p>
      <w:pPr>
        <w:jc w:val="both"/>
        <w:spacing w:line="360" w:lineRule="auto" w:after="120"/>
      </w:pPr>
      <w:r>
        <w:rPr>
          <w:rFonts w:ascii="Times New Roman" w:hAnsi="Times New Roman" w:eastAsia="Times New Roman"/>
          <w:sz w:val="24"/>
          <w:szCs w:val="24"/>
        </w:rPr>
        <w:t xml:space="preserve">The E1 model matrix used numeric filling where required by the estimator, but the canonical state retained typed availability and missingness semantics. This separation is significant. A model-specific matrix is a computational representation; it does not redefine the underlying observation as genuinely zero. The provenance-aware state remains available for auditing, interface presentation, and future models that can use missingness indicators explicitly. Thus, preprocessing convenience does not erase the distinction in the research object.</w:t>
      </w:r>
    </w:p>
    <w:p>
      <w:pPr>
        <w:jc w:val="both"/>
        <w:spacing w:line="360" w:lineRule="auto" w:after="120"/>
      </w:pPr>
      <w:r>
        <w:rPr>
          <w:rFonts w:ascii="Times New Roman" w:hAnsi="Times New Roman" w:eastAsia="Times New Roman"/>
          <w:sz w:val="24"/>
          <w:szCs w:val="24"/>
        </w:rPr>
        <w:t xml:space="preserve">Typed missingness also affects RQ3. A grounded LLM claim must be supported by the evidence value and its availability state. Merely citing an evidence identifier is inadequate if the cited record represents an incomplete feed or a not-yet-applicable assessment. When core evidence is absent or stale, abstention or qualified presentation is safer than interpreting absence as disengagement. The same distinction helps an instructor judge whether a concern reflects learner behaviour, course timing, or data quality.</w:t>
      </w:r>
    </w:p>
    <w:p>
      <w:pPr>
        <w:jc w:val="both"/>
        <w:spacing w:line="360" w:lineRule="auto" w:after="120"/>
      </w:pPr>
      <w:r>
        <w:rPr>
          <w:rFonts w:ascii="Times New Roman" w:hAnsi="Times New Roman" w:eastAsia="Times New Roman"/>
          <w:sz w:val="24"/>
          <w:szCs w:val="24"/>
        </w:rPr>
        <w:t xml:space="preserve">The study did not compare prediction performance with and without typed missingness. OULAD also contained little empirical missingness for some evaluated fields. The contribution is therefore semantic and architectural: missingness is represented so that downstream components can avoid unsupported equivalences. No empirical accuracy improvement is attributed to it.</w:t>
      </w:r>
    </w:p>
    <w:p>
      <w:pPr>
        <w:pStyle w:val="Heading2"/>
        <w:spacing w:line="360" w:lineRule="auto" w:after="120"/>
        <w:keepNext/>
      </w:pPr>
      <w:r>
        <w:rPr>
          <w:rFonts w:ascii="Times New Roman" w:hAnsi="Times New Roman" w:eastAsia="Times New Roman"/>
          <w:b/>
          <w:sz w:val="28"/>
          <w:szCs w:val="28"/>
        </w:rPr>
        <w:t xml:space="preserve">6.6 RQ3 — What Schema Constraints Changed</w:t>
      </w:r>
    </w:p>
    <w:p>
      <w:pPr>
        <w:jc w:val="both"/>
        <w:spacing w:line="360" w:lineRule="auto" w:after="120"/>
      </w:pPr>
      <w:r>
        <w:rPr>
          <w:rFonts w:ascii="Times New Roman" w:hAnsi="Times New Roman" w:eastAsia="Times New Roman"/>
          <w:sz w:val="24"/>
          <w:szCs w:val="24"/>
        </w:rPr>
        <w:t xml:space="preserve">The valid E2 comparison isolates an important effect of structural constraints. Under the plain treatment, citation validity, conjunctive semantic validity, and evidence-constraint correctness were all 0 of 48. Under the schema-only treatment, the full output contract and citation validity reached 48 of 48, semantic evidence validity reached 42 of 48, and constraint correctness reached 36 of 48. The schema therefore changed the form and inspectability of the output substantially.</w:t>
      </w:r>
    </w:p>
    <w:p>
      <w:pPr>
        <w:jc w:val="both"/>
        <w:spacing w:line="360" w:lineRule="auto" w:after="120"/>
      </w:pPr>
      <w:r>
        <w:rPr>
          <w:rFonts w:ascii="Times New Roman" w:hAnsi="Times New Roman" w:eastAsia="Times New Roman"/>
          <w:sz w:val="24"/>
          <w:szCs w:val="24"/>
        </w:rPr>
        <w:t xml:space="preserve">This improvement matters because machine-readable claims and evidence identifiers allow deterministic checks that are unavailable for unconstrained prose. A structurally complete output can be parsed, associated with the correct state, and tested against allow-listed claim and action vocabularies. Evidence references make it possible to ask whether a claim points to an actual supplied observation. In this sense, schema constraints create the conditions for validation and audit.</w:t>
      </w:r>
    </w:p>
    <w:p>
      <w:pPr>
        <w:jc w:val="both"/>
        <w:spacing w:line="360" w:lineRule="auto" w:after="120"/>
      </w:pPr>
      <w:r>
        <w:rPr>
          <w:rFonts w:ascii="Times New Roman" w:hAnsi="Times New Roman" w:eastAsia="Times New Roman"/>
          <w:sz w:val="24"/>
          <w:szCs w:val="24"/>
        </w:rPr>
        <w:t xml:space="preserve">However, the controlled experiment also shows the limit of that benefit. Both treatments produced 0 of 48 abstentions and 24 of 48 behaviorally correct decisions. Half of the protocol expected abstention, so imposing structure alone did not create selective refusal. The schema controlled the representation of the response, but it did not change the model’s overall decision behavior under the measured protocol.</w:t>
      </w:r>
    </w:p>
    <w:p>
      <w:pPr>
        <w:jc w:val="both"/>
        <w:spacing w:line="360" w:lineRule="auto" w:after="120"/>
      </w:pPr>
      <w:r>
        <w:rPr>
          <w:rFonts w:ascii="Times New Roman" w:hAnsi="Times New Roman" w:eastAsia="Times New Roman"/>
          <w:sz w:val="24"/>
          <w:szCs w:val="24"/>
        </w:rPr>
        <w:t xml:space="preserve">The plain treatment’s semantic score of zero must be interpreted carefully. The metric was conjunctive and required citation-related conditions that plain responses did not satisfy. It is therefore incorrect to describe all plain responses as hallucinations. The result shows incompatibility with the required evidence contract, not that every substantive statement was false. This distinction illustrates why metric definitions must remain visible when discussing generated-output quality.</w:t>
      </w:r>
    </w:p>
    <w:p>
      <w:pPr>
        <w:jc w:val="both"/>
        <w:spacing w:line="360" w:lineRule="auto" w:after="120"/>
      </w:pPr>
      <w:r>
        <w:rPr>
          <w:rFonts w:ascii="Times New Roman" w:hAnsi="Times New Roman" w:eastAsia="Times New Roman"/>
          <w:sz w:val="24"/>
          <w:szCs w:val="24"/>
        </w:rPr>
        <w:t xml:space="preserve">The schema-only treatment provides the stronger warning. It achieved perfect citation validity while still containing unsupported claims and contradictions in 6 of 48 cases. An existing evidence identifier can be cited while its value is misread, its missingness is ignored, or the resulting claim violates a policy predicate. Citation presence is therefore necessary for traceability but insufficient for semantic faithfulness. The controlled evidence supports a layered design in which structure enables validation but does not replace it.</w:t>
      </w:r>
    </w:p>
    <w:p>
      <w:pPr>
        <w:pStyle w:val="Heading2"/>
        <w:spacing w:line="360" w:lineRule="auto" w:after="120"/>
        <w:keepNext/>
      </w:pPr>
      <w:r>
        <w:rPr>
          <w:rFonts w:ascii="Times New Roman" w:hAnsi="Times New Roman" w:eastAsia="Times New Roman"/>
          <w:b/>
          <w:sz w:val="28"/>
          <w:szCs w:val="28"/>
        </w:rPr>
        <w:t xml:space="preserve">6.7 Why Structural Compliance Is Not Decision Reliability</w:t>
      </w:r>
    </w:p>
    <w:p>
      <w:pPr>
        <w:jc w:val="both"/>
        <w:spacing w:line="360" w:lineRule="auto" w:after="120"/>
      </w:pPr>
      <w:r>
        <w:rPr>
          <w:rFonts w:ascii="Times New Roman" w:hAnsi="Times New Roman" w:eastAsia="Times New Roman"/>
          <w:sz w:val="24"/>
          <w:szCs w:val="24"/>
        </w:rPr>
        <w:t xml:space="preserve">E2 separates three ideas that are often conflated: format correctness, evidence linkage, and decision reliability. A response may match a JSON schema yet make the wrong decision. It may cite an evidence item yet draw a conclusion that its value does not support. It may satisfy individual field constraints yet fail to abstain when the available evidence is insufficient. These are different failure modes and require different controls.</w:t>
      </w:r>
    </w:p>
    <w:p>
      <w:pPr>
        <w:jc w:val="both"/>
        <w:spacing w:line="360" w:lineRule="auto" w:after="120"/>
      </w:pPr>
      <w:r>
        <w:rPr>
          <w:rFonts w:ascii="Times New Roman" w:hAnsi="Times New Roman" w:eastAsia="Times New Roman"/>
          <w:sz w:val="24"/>
          <w:szCs w:val="24"/>
        </w:rPr>
        <w:t xml:space="preserve">The unchanged behavioral result across the two primary treatments is especially relevant. Schema-only generation made the outputs easier to inspect but did not improve the 24-of-48 behavioral correctness result. This does not make schemas unhelpful. It locates their value more precisely: they standardise the interface between a probabilistic generator and deterministic application logic. They cannot, by themselves, supply missing judgment or enforce a selective-decision policy.</w:t>
      </w:r>
    </w:p>
    <w:p>
      <w:pPr>
        <w:jc w:val="both"/>
        <w:spacing w:line="360" w:lineRule="auto" w:after="120"/>
      </w:pPr>
      <w:r>
        <w:rPr>
          <w:rFonts w:ascii="Times New Roman" w:hAnsi="Times New Roman" w:eastAsia="Times New Roman"/>
          <w:sz w:val="24"/>
          <w:szCs w:val="24"/>
        </w:rPr>
        <w:t xml:space="preserve">Abstention illustrates this boundary. Both treatments answered every case, including the 24 cases for which the protocol expected abstention. An output schema can include an abstain field, but the existence of that field does not ensure that the model will use it appropriately. Reliable selective decision behavior requires explicit sufficiency rules, deterministic checks where possible, and a system response that can reject or suppress an unsafe output.</w:t>
      </w:r>
    </w:p>
    <w:p>
      <w:pPr>
        <w:jc w:val="both"/>
        <w:spacing w:line="360" w:lineRule="auto" w:after="120"/>
      </w:pPr>
      <w:r>
        <w:rPr>
          <w:rFonts w:ascii="Times New Roman" w:hAnsi="Times New Roman" w:eastAsia="Times New Roman"/>
          <w:sz w:val="24"/>
          <w:szCs w:val="24"/>
        </w:rPr>
        <w:t xml:space="preserve">The resulting reliability model has six layers. First, input is restricted to approved, versioned evidence. Second, generation is constrained by a structured output contract. Third, schema, evidence, semantic, and policy checks are applied deterministically. Fourth, repair is bounded rather than repeated indefinitely. Fifth, failure leads to abstention or rejection rather than silent publication. Sixth, provenance and history preserve what occurred. This boundary is consistent with the risk-management emphasis on measurement, documentation, and human oversight discussed in Chapter 1 [9]. It does not guarantee truth, but it makes specific errors detectable and prevents some invalid outputs from becoming ordinary instructor-facing analyses.</w:t>
      </w:r>
    </w:p>
    <w:p>
      <w:pPr>
        <w:pStyle w:val="Heading2"/>
        <w:spacing w:line="360" w:lineRule="auto" w:after="120"/>
        <w:keepNext/>
      </w:pPr>
      <w:r>
        <w:rPr>
          <w:rFonts w:ascii="Times New Roman" w:hAnsi="Times New Roman" w:eastAsia="Times New Roman"/>
          <w:b/>
          <w:sz w:val="28"/>
          <w:szCs w:val="28"/>
        </w:rPr>
        <w:t xml:space="preserve">6.8 From Controlled Evaluation to Operational Safeguards</w:t>
      </w:r>
    </w:p>
    <w:p>
      <w:pPr>
        <w:jc w:val="both"/>
        <w:spacing w:line="360" w:lineRule="auto" w:after="120"/>
      </w:pPr>
      <w:r>
        <w:rPr>
          <w:rFonts w:ascii="Times New Roman" w:hAnsi="Times New Roman" w:eastAsia="Times New Roman"/>
          <w:sz w:val="24"/>
          <w:szCs w:val="24"/>
        </w:rPr>
        <w:t xml:space="preserve">E2 and the operational history address related concerns but must remain separate. E2 is a frozen 48-case controlled experiment using synthetic scenarios, balanced between assessment-allowed and abstention-expected cases. Its purpose is to compare two generation treatments under matched conditions. The operational record aggregates saved workspace analyses and job outcomes produced under evolving prompt versions. It has different inputs, denominators, metadata, and outcome meanings, and it contains no predictive ground-truth labels.</w:t>
      </w:r>
    </w:p>
    <w:p>
      <w:pPr>
        <w:jc w:val="both"/>
        <w:spacing w:line="360" w:lineRule="auto" w:after="120"/>
      </w:pPr>
      <w:r>
        <w:rPr>
          <w:rFonts w:ascii="Times New Roman" w:hAnsi="Times New Roman" w:eastAsia="Times New Roman"/>
          <w:sz w:val="24"/>
          <w:szCs w:val="24"/>
        </w:rPr>
        <w:t xml:space="preserve">The relationship between them is conceptual rather than statistical. E2 demonstrates why structural compliance cannot be treated as sufficient evidence of correct behavior. The operational system responds to that design problem by applying validation, bounded repair, explicit quality abstention, rejection categories, and retained history. The operational counts do not validate the E2 result, and they cannot be pooled with its cases. Instead, they show that the research concern was carried into an executable safety boundary.</w:t>
      </w:r>
    </w:p>
    <w:p>
      <w:pPr>
        <w:jc w:val="both"/>
        <w:spacing w:line="360" w:lineRule="auto" w:after="120"/>
      </w:pPr>
      <w:r>
        <w:rPr>
          <w:rFonts w:ascii="Times New Roman" w:hAnsi="Times New Roman" w:eastAsia="Times New Roman"/>
          <w:sz w:val="24"/>
          <w:szCs w:val="24"/>
        </w:rPr>
        <w:t xml:space="preserve">The distinction also protects the prediction claim. The E1 Logistic Regression model is the only component evaluated against empirical OULAD outcomes using AUROC and Average Precision. The operational Qwen analyses were not evaluated against those outcome labels. They must not be described as replacing E1, outperforming the baseline, or producing calibrated probabilities. Their evidence concerns whether outputs passed a defined contract and how the application handled those that did not.</w:t>
      </w:r>
    </w:p>
    <w:p>
      <w:pPr>
        <w:jc w:val="both"/>
        <w:spacing w:line="360" w:lineRule="auto" w:after="120"/>
      </w:pPr>
      <w:r>
        <w:rPr>
          <w:rFonts w:ascii="Times New Roman" w:hAnsi="Times New Roman" w:eastAsia="Times New Roman"/>
          <w:sz w:val="24"/>
          <w:szCs w:val="24"/>
        </w:rPr>
        <w:t xml:space="preserve">This separation is methodologically useful for future work. A controlled protocol can isolate a particular reliability question, while operational telemetry can reveal how often validation paths are exercised in practice. A later study could connect these levels through ground-truthed operational samples and prospective educator evaluation, but that link was not established here. The current contribution is the explicit evidence boundary, not an inferred equivalence between laboratory scenarios and deployed learner-risk accuracy.</w:t>
      </w:r>
    </w:p>
    <w:p>
      <w:pPr>
        <w:pStyle w:val="Heading2"/>
        <w:spacing w:line="360" w:lineRule="auto" w:after="120"/>
        <w:keepNext/>
      </w:pPr>
      <w:r>
        <w:rPr>
          <w:rFonts w:ascii="Times New Roman" w:hAnsi="Times New Roman" w:eastAsia="Times New Roman"/>
          <w:b/>
          <w:sz w:val="28"/>
          <w:szCs w:val="28"/>
        </w:rPr>
        <w:t xml:space="preserve">6.9 Interpreting Operational LLM Evidence</w:t>
      </w:r>
    </w:p>
    <w:p>
      <w:pPr>
        <w:jc w:val="both"/>
        <w:spacing w:line="360" w:lineRule="auto" w:after="120"/>
      </w:pPr>
      <w:r>
        <w:rPr>
          <w:rFonts w:ascii="Times New Roman" w:hAnsi="Times New Roman" w:eastAsia="Times New Roman"/>
          <w:sz w:val="24"/>
          <w:szCs w:val="24"/>
        </w:rPr>
        <w:t xml:space="preserve">The mature operational records used the same qwen2.5:7b identity and risk-decision-v3 wire contract for versions v3.2 and v3.3. Among 7,219 saved validated v3.2 outputs, 95.775% passed first-pass validation and 4.225% were repaired. Among 12,961 saved validated v3.3 outputs, the corresponding shares were 97.215% and 2.785%. Twelve quality abstentions were recorded separately. These figures support a narrow conclusion: among retained validated analyses, the later version required proportionally fewer repairs and passed first-pass validation more often.</w:t>
      </w:r>
    </w:p>
    <w:p>
      <w:pPr>
        <w:jc w:val="both"/>
        <w:spacing w:line="360" w:lineRule="auto" w:after="120"/>
      </w:pPr>
      <w:r>
        <w:rPr>
          <w:rFonts w:ascii="Times New Roman" w:hAnsi="Times New Roman" w:eastAsia="Times New Roman"/>
          <w:sz w:val="24"/>
          <w:szCs w:val="24"/>
        </w:rPr>
        <w:t xml:space="preserve">Several limitations prevent a stronger comparison. Prompt versions were not assigned randomly, the operational populations may differ, and failed jobs do not retain reliable prompt-version metadata. Version-specific total failure rates therefore cannot be calculated. There is no predictive ground truth in this record, no significance test, and no basis for saying that v3.3 was more accurate. The observed change may be consistent with improved operational compliance, but causality cannot be attributed to prompt evolution alone.</w:t>
      </w:r>
    </w:p>
    <w:p>
      <w:pPr>
        <w:jc w:val="both"/>
        <w:spacing w:line="360" w:lineRule="auto" w:after="120"/>
      </w:pPr>
      <w:r>
        <w:rPr>
          <w:rFonts w:ascii="Times New Roman" w:hAnsi="Times New Roman" w:eastAsia="Times New Roman"/>
          <w:sz w:val="24"/>
          <w:szCs w:val="24"/>
        </w:rPr>
        <w:t xml:space="preserve">The wider job history shows the value of explicit categories. It contains 20,618 validated analyses and 12 abstentions. It also records 301 non-superseded model or contract failures across action, risk-support, schema, and policy categories. These outcomes make malformed or unsupported generation visible rather than silently converting it into a normal result. The 5,741 ANALYSIS_SUPERSEDED records represent lifecycle history when an analysis was replaced; they are not model-quality failures and must not be included in a failure total.</w:t>
      </w:r>
    </w:p>
    <w:p>
      <w:pPr>
        <w:jc w:val="both"/>
        <w:spacing w:line="360" w:lineRule="auto" w:after="120"/>
      </w:pPr>
      <w:r>
        <w:rPr>
          <w:rFonts w:ascii="Times New Roman" w:hAnsi="Times New Roman" w:eastAsia="Times New Roman"/>
          <w:sz w:val="24"/>
          <w:szCs w:val="24"/>
        </w:rPr>
        <w:t xml:space="preserve">No global operational success rate is defensible from these categories. The retained history spans versions and lifecycle transitions, and its denominators are not a controlled experiment. The saved-output repair shares exclude abstentions and failed jobs by definition. Reporting the components separately is more informative than compressing them into a percentage that would imply a common population.</w:t>
      </w:r>
    </w:p>
    <w:p>
      <w:pPr>
        <w:jc w:val="both"/>
        <w:spacing w:line="360" w:lineRule="auto" w:after="120"/>
      </w:pPr>
      <w:r>
        <w:rPr>
          <w:rFonts w:ascii="Times New Roman" w:hAnsi="Times New Roman" w:eastAsia="Times New Roman"/>
          <w:sz w:val="24"/>
          <w:szCs w:val="24"/>
        </w:rPr>
        <w:t xml:space="preserve">Operationally, the evidence demonstrates observability. The system records whether an output passed immediately, required bounded correction, abstained for quality reasons, conflicted with policy, or was superseded. This supports diagnosis and audit. It does not demonstrate educational correctness, improved outcomes, or predictive validity. The research value lies in showing how a locally hosted LLM can be enclosed by an inspectable contract rather than trusted as an autonomous decision maker.</w:t>
      </w:r>
    </w:p>
    <w:p>
      <w:pPr>
        <w:pStyle w:val="Heading2"/>
        <w:spacing w:line="360" w:lineRule="auto" w:after="120"/>
        <w:keepNext/>
      </w:pPr>
      <w:r>
        <w:rPr>
          <w:rFonts w:ascii="Times New Roman" w:hAnsi="Times New Roman" w:eastAsia="Times New Roman"/>
          <w:b/>
          <w:sz w:val="28"/>
          <w:szCs w:val="28"/>
        </w:rPr>
        <w:t xml:space="preserve">6.10 RQ4 — Human-in-the-loop Traceability</w:t>
      </w:r>
    </w:p>
    <w:p>
      <w:pPr>
        <w:jc w:val="both"/>
        <w:spacing w:line="360" w:lineRule="auto" w:after="120"/>
      </w:pPr>
      <w:r>
        <w:rPr>
          <w:rFonts w:ascii="Times New Roman" w:hAnsi="Times New Roman" w:eastAsia="Times New Roman"/>
          <w:sz w:val="24"/>
          <w:szCs w:val="24"/>
        </w:rPr>
        <w:t xml:space="preserve">RQ4 is answered through a framework invariant: Risk State is not Instructor Triage Status, and Instructor Triage Status is not Support Case Status. A prediction or validated analysis is historical model evidence tied to a specific learner state. Triage records how an instructor currently interprets or prioritises that evidence. A support case represents a separate longitudinal process of notes, follow-up, resolution, or dismissal. Preserving these categories avoids turning a model output directly into a human decision.</w:t>
      </w:r>
    </w:p>
    <w:p>
      <w:pPr>
        <w:jc w:val="both"/>
        <w:spacing w:line="360" w:lineRule="auto" w:after="120"/>
      </w:pPr>
      <w:r>
        <w:rPr>
          <w:rFonts w:ascii="Times New Roman" w:hAnsi="Times New Roman" w:eastAsia="Times New Roman"/>
          <w:sz w:val="24"/>
          <w:szCs w:val="24"/>
        </w:rPr>
        <w:t xml:space="preserve">Exact state binding is central to this separation. The prediction displayed with a learner state must have been generated for that state. If the current state has no compatible prediction, the system should represent it as unavailable rather than attach an older prediction to newer evidence. Temporal comparison similarly requires the immediately previous eligible checkpoint and compatible model semantics. Otherwise, the interface could imply a trend that is actually a mismatch between records.</w:t>
      </w:r>
    </w:p>
    <w:p>
      <w:pPr>
        <w:jc w:val="both"/>
        <w:spacing w:line="360" w:lineRule="auto" w:after="120"/>
      </w:pPr>
      <w:r>
        <w:rPr>
          <w:rFonts w:ascii="Times New Roman" w:hAnsi="Times New Roman" w:eastAsia="Times New Roman"/>
          <w:sz w:val="24"/>
          <w:szCs w:val="24"/>
        </w:rPr>
        <w:t xml:space="preserve">Immutability protects the historical meaning of the evidence. Reviewing, resolving, or dismissing a support case does not rewrite the model score, cited evidence, model identity, or provenance that originally informed review. Optimistic locking, idempotency handling, and append-oriented actions allow later decisions to be reconstructed without erasing earlier ones. Human override is therefore preserved as a new auditable decision rather than a mutation of model history.</w:t>
      </w:r>
    </w:p>
    <w:p>
      <w:pPr>
        <w:jc w:val="both"/>
        <w:spacing w:line="360" w:lineRule="auto" w:after="120"/>
      </w:pPr>
      <w:r>
        <w:rPr>
          <w:rFonts w:ascii="Times New Roman" w:hAnsi="Times New Roman" w:eastAsia="Times New Roman"/>
          <w:sz w:val="24"/>
          <w:szCs w:val="24"/>
        </w:rPr>
        <w:t xml:space="preserve">This architecture reflects ethical concerns in learning analytics about transparency, responsibility, and the distribution of decision authority [18]. It provides a basis for accountable review because a later reader can distinguish what the system produced from what an instructor decided. It also permits a learner’s support history to continue when model risk changes, instead of treating every checkpoint score as a complete account of need.</w:t>
      </w:r>
    </w:p>
    <w:p>
      <w:pPr>
        <w:jc w:val="both"/>
        <w:spacing w:line="360" w:lineRule="auto" w:after="120"/>
      </w:pPr>
      <w:r>
        <w:rPr>
          <w:rFonts w:ascii="Times New Roman" w:hAnsi="Times New Roman" w:eastAsia="Times New Roman"/>
          <w:sz w:val="24"/>
          <w:szCs w:val="24"/>
        </w:rPr>
        <w:t xml:space="preserve">The evidence remains structural. No formal educator study was completed, so the project cannot claim that instructors made better decisions, preferred the interface, reduced workload, avoided automation bias, or improved learner outcomes. Those questions require prospective human evaluation. RQ4 is therefore a system and framework contribution: it shows how the states can be represented and protected, not how effective their use will be in practice.</w:t>
      </w:r>
    </w:p>
    <w:p>
      <w:pPr>
        <w:pStyle w:val="Heading2"/>
        <w:spacing w:line="360" w:lineRule="auto" w:after="120"/>
        <w:keepNext/>
      </w:pPr>
      <w:r>
        <w:rPr>
          <w:rFonts w:ascii="Times New Roman" w:hAnsi="Times New Roman" w:eastAsia="Times New Roman"/>
          <w:b/>
          <w:sz w:val="28"/>
          <w:szCs w:val="28"/>
        </w:rPr>
        <w:t xml:space="preserve">6.11 Implications for Course Digital Twin Design</w:t>
      </w:r>
    </w:p>
    <w:p>
      <w:pPr>
        <w:jc w:val="both"/>
        <w:spacing w:line="360" w:lineRule="auto" w:after="120"/>
      </w:pPr>
      <w:r>
        <w:rPr>
          <w:rFonts w:ascii="Times New Roman" w:hAnsi="Times New Roman" w:eastAsia="Times New Roman"/>
          <w:sz w:val="24"/>
          <w:szCs w:val="24"/>
        </w:rPr>
        <w:t xml:space="preserve">Taken together, the results suggest several design implications for predictive learning analytics and provenance-aware course digital twins. First, temporal evaluation should be checkpoint-specific. A single aggregate performance value hides the trade-off between early lead time, later evidence, and changing eligibility. Reporting the cutoff, population, outcome prevalence, and threshold policy makes the result more useful and prevents a later-course estimate from being presented as an early-warning capability.</w:t>
      </w:r>
    </w:p>
    <w:p>
      <w:pPr>
        <w:jc w:val="both"/>
        <w:spacing w:line="360" w:lineRule="auto" w:after="120"/>
      </w:pPr>
      <w:r>
        <w:rPr>
          <w:rFonts w:ascii="Times New Roman" w:hAnsi="Times New Roman" w:eastAsia="Times New Roman"/>
          <w:sz w:val="24"/>
          <w:szCs w:val="24"/>
        </w:rPr>
        <w:t xml:space="preserve">Second, temporal validity should be treated as part of the scientific method. Feature engineering that cannot show which source records were available at prediction time weakens every downstream metric. Provenance makes leakage audits repeatable and supports investigation when a prediction or explanation is challenged. This principle is relevant beyond the particular OULAD presentation, although the zero-violation result itself remains specific to the audited artifacts.</w:t>
      </w:r>
    </w:p>
    <w:p>
      <w:pPr>
        <w:jc w:val="both"/>
        <w:spacing w:line="360" w:lineRule="auto" w:after="120"/>
      </w:pPr>
      <w:r>
        <w:rPr>
          <w:rFonts w:ascii="Times New Roman" w:hAnsi="Times New Roman" w:eastAsia="Times New Roman"/>
          <w:sz w:val="24"/>
          <w:szCs w:val="24"/>
        </w:rPr>
        <w:t xml:space="preserve">Third, missingness needs a vocabulary. Learning platforms differ in what they record, when feeds arrive, and which activities a course uses. Treating every absent value as zero can blend learner behaviour with system availability and course design. A typed representation gives statistical models, validators, and instructors a common basis for distinguishing observed absence from unknown or inapplicable evidence.</w:t>
      </w:r>
    </w:p>
    <w:p>
      <w:pPr>
        <w:jc w:val="both"/>
        <w:spacing w:line="360" w:lineRule="auto" w:after="120"/>
      </w:pPr>
      <w:r>
        <w:rPr>
          <w:rFonts w:ascii="Times New Roman" w:hAnsi="Times New Roman" w:eastAsia="Times New Roman"/>
          <w:sz w:val="24"/>
          <w:szCs w:val="24"/>
        </w:rPr>
        <w:t xml:space="preserve">Fourth, LLM integration should be judged at multiple layers. Parseable output, valid citations, semantic support, appropriate abstention, and correct behavior are not interchangeable. The E2 results show that improvement at the structural layer can coexist with unchanged decision behavior. The operational implementation shows how applications can respond with deterministic checks, bounded repair, rejection, and retained provenance. This favours using an LLM as a constrained component inside a governed pipeline rather than as the final authority.</w:t>
      </w:r>
    </w:p>
    <w:p>
      <w:pPr>
        <w:jc w:val="both"/>
        <w:spacing w:line="360" w:lineRule="auto" w:after="120"/>
      </w:pPr>
      <w:r>
        <w:rPr>
          <w:rFonts w:ascii="Times New Roman" w:hAnsi="Times New Roman" w:eastAsia="Times New Roman"/>
          <w:sz w:val="24"/>
          <w:szCs w:val="24"/>
        </w:rPr>
        <w:t xml:space="preserve">Finally, human review requires state separation. Predictive risk may initiate attention, but support work has its own history and responsibilities. Keeping triage and cases independent from predictions allows decisions to be revised without falsifying the record of what the model originally produced. The approach supports future evaluation of decision quality because model and human actions can be analysed separately.</w:t>
      </w:r>
    </w:p>
    <w:p>
      <w:pPr>
        <w:jc w:val="both"/>
        <w:spacing w:line="360" w:lineRule="auto" w:after="120"/>
      </w:pPr>
      <w:r>
        <w:rPr>
          <w:rFonts w:ascii="Times New Roman" w:hAnsi="Times New Roman" w:eastAsia="Times New Roman"/>
          <w:sz w:val="24"/>
          <w:szCs w:val="24"/>
        </w:rPr>
        <w:t xml:space="preserve">Table 6.2. Design implications derived from the evaluation</w:t>
      </w:r>
    </w:p>
    <w:tbl>
      <w:tblPr>
        <w:tblW w:w="0" w:type="auto"/>
        <w:jc w:val="center"/>
        <w:tblBorders>
          <w:top w:val="single" w:sz="4"/>
          <w:left w:val="single" w:sz="4"/>
          <w:bottom w:val="single" w:sz="4"/>
          <w:right w:val="single" w:sz="4"/>
          <w:insideH w:val="single" w:sz="4"/>
          <w:insideV w:val="single" w:sz="4"/>
        </w:tblBorders>
      </w:tblPr>
      <w:tblGrid>
        <w:gridCol w:w="2250"/>
        <w:gridCol w:w="2250"/>
        <w:gridCol w:w="2250"/>
        <w:gridCol w:w="2250"/>
      </w:tblGrid>
      <w:tr>
        <w:trPr>
          <w:cantSplit/>
          <w:tblHeader/>
        </w:trPr>
        <w:tc>
          <w:tcPr>
            <w:tcW w:w="2250" w:type="dxa"/>
            <w:shd w:fill="D9EAF7"/>
            <w:vAlign w:val="center"/>
          </w:tcPr>
          <w:p>
            <w:pPr>
              <w:spacing w:line="360" w:lineRule="auto" w:after="120"/>
            </w:pPr>
            <w:r>
              <w:rPr>
                <w:rFonts w:ascii="Times New Roman" w:hAnsi="Times New Roman" w:eastAsia="Times New Roman"/>
                <w:b/>
                <w:sz w:val="19"/>
                <w:szCs w:val="19"/>
              </w:rPr>
              <w:t xml:space="preserve">Observed issue</w:t>
            </w:r>
          </w:p>
        </w:tc>
        <w:tc>
          <w:tcPr>
            <w:tcW w:w="2250" w:type="dxa"/>
            <w:shd w:fill="D9EAF7"/>
            <w:vAlign w:val="center"/>
          </w:tcPr>
          <w:p>
            <w:pPr>
              <w:spacing w:line="360" w:lineRule="auto" w:after="120"/>
            </w:pPr>
            <w:r>
              <w:rPr>
                <w:rFonts w:ascii="Times New Roman" w:hAnsi="Times New Roman" w:eastAsia="Times New Roman"/>
                <w:b/>
                <w:sz w:val="19"/>
                <w:szCs w:val="19"/>
              </w:rPr>
              <w:t xml:space="preserve">Design response</w:t>
            </w:r>
          </w:p>
        </w:tc>
        <w:tc>
          <w:tcPr>
            <w:tcW w:w="2250" w:type="dxa"/>
            <w:shd w:fill="D9EAF7"/>
            <w:vAlign w:val="center"/>
          </w:tcPr>
          <w:p>
            <w:pPr>
              <w:spacing w:line="360" w:lineRule="auto" w:after="120"/>
            </w:pPr>
            <w:r>
              <w:rPr>
                <w:rFonts w:ascii="Times New Roman" w:hAnsi="Times New Roman" w:eastAsia="Times New Roman"/>
                <w:b/>
                <w:sz w:val="19"/>
                <w:szCs w:val="19"/>
              </w:rPr>
              <w:t xml:space="preserve">Evidence basis</w:t>
            </w:r>
          </w:p>
        </w:tc>
        <w:tc>
          <w:tcPr>
            <w:tcW w:w="2250" w:type="dxa"/>
            <w:shd w:fill="D9EAF7"/>
            <w:vAlign w:val="center"/>
          </w:tcPr>
          <w:p>
            <w:pPr>
              <w:spacing w:line="360" w:lineRule="auto" w:after="120"/>
            </w:pPr>
            <w:r>
              <w:rPr>
                <w:rFonts w:ascii="Times New Roman" w:hAnsi="Times New Roman" w:eastAsia="Times New Roman"/>
                <w:b/>
                <w:sz w:val="19"/>
                <w:szCs w:val="19"/>
              </w:rPr>
              <w:t xml:space="preserve">Limitation</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Early checkpoints offer lead time but weaker discrimination</w:t>
            </w:r>
          </w:p>
        </w:tc>
        <w:tc>
          <w:tcPr>
            <w:tcW w:w="2250" w:type="dxa"/>
            <w:vAlign w:val="center"/>
          </w:tcPr>
          <w:p>
            <w:pPr>
              <w:spacing w:line="360" w:lineRule="auto" w:after="120"/>
            </w:pPr>
            <w:r>
              <w:rPr>
                <w:rFonts w:ascii="Times New Roman" w:hAnsi="Times New Roman" w:eastAsia="Times New Roman"/>
                <w:sz w:val="19"/>
                <w:szCs w:val="19"/>
              </w:rPr>
              <w:t xml:space="preserve">Evaluate and label every checkpoint independently; expose evidence and uncertainty</w:t>
            </w:r>
          </w:p>
        </w:tc>
        <w:tc>
          <w:tcPr>
            <w:tcW w:w="2250" w:type="dxa"/>
            <w:vAlign w:val="center"/>
          </w:tcPr>
          <w:p>
            <w:pPr>
              <w:spacing w:line="360" w:lineRule="auto" w:after="120"/>
            </w:pPr>
            <w:r>
              <w:rPr>
                <w:rFonts w:ascii="Times New Roman" w:hAnsi="Times New Roman" w:eastAsia="Times New Roman"/>
                <w:sz w:val="19"/>
                <w:szCs w:val="19"/>
              </w:rPr>
              <w:t xml:space="preserve">E1 checkpoint pattern and threshold errors</w:t>
            </w:r>
          </w:p>
        </w:tc>
        <w:tc>
          <w:tcPr>
            <w:tcW w:w="2250" w:type="dxa"/>
            <w:vAlign w:val="center"/>
          </w:tcPr>
          <w:p>
            <w:pPr>
              <w:spacing w:line="360" w:lineRule="auto" w:after="120"/>
            </w:pPr>
            <w:r>
              <w:rPr>
                <w:rFonts w:ascii="Times New Roman" w:hAnsi="Times New Roman" w:eastAsia="Times New Roman"/>
                <w:sz w:val="19"/>
                <w:szCs w:val="19"/>
              </w:rPr>
              <w:t xml:space="preserve">One course presentation and wide intervals</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Future evidence can invalidate early-warning claims</w:t>
            </w:r>
          </w:p>
        </w:tc>
        <w:tc>
          <w:tcPr>
            <w:tcW w:w="2250" w:type="dxa"/>
            <w:vAlign w:val="center"/>
          </w:tcPr>
          <w:p>
            <w:pPr>
              <w:spacing w:line="360" w:lineRule="auto" w:after="120"/>
            </w:pPr>
            <w:r>
              <w:rPr>
                <w:rFonts w:ascii="Times New Roman" w:hAnsi="Times New Roman" w:eastAsia="Times New Roman"/>
                <w:sz w:val="19"/>
                <w:szCs w:val="19"/>
              </w:rPr>
              <w:t xml:space="preserve">Build states cutoff-first and retain source-level provenance</w:t>
            </w:r>
          </w:p>
        </w:tc>
        <w:tc>
          <w:tcPr>
            <w:tcW w:w="2250" w:type="dxa"/>
            <w:vAlign w:val="center"/>
          </w:tcPr>
          <w:p>
            <w:pPr>
              <w:spacing w:line="360" w:lineRule="auto" w:after="120"/>
            </w:pPr>
            <w:r>
              <w:rPr>
                <w:rFonts w:ascii="Times New Roman" w:hAnsi="Times New Roman" w:eastAsia="Times New Roman"/>
                <w:sz w:val="19"/>
                <w:szCs w:val="19"/>
              </w:rPr>
              <w:t xml:space="preserve">E4 audit of 194,590 links with 0 detected violations</w:t>
            </w:r>
          </w:p>
        </w:tc>
        <w:tc>
          <w:tcPr>
            <w:tcW w:w="2250" w:type="dxa"/>
            <w:vAlign w:val="center"/>
          </w:tcPr>
          <w:p>
            <w:pPr>
              <w:spacing w:line="360" w:lineRule="auto" w:after="120"/>
            </w:pPr>
            <w:r>
              <w:rPr>
                <w:rFonts w:ascii="Times New Roman" w:hAnsi="Times New Roman" w:eastAsia="Times New Roman"/>
                <w:sz w:val="19"/>
                <w:szCs w:val="19"/>
              </w:rPr>
              <w:t xml:space="preserve">Does not validate source completeness or future adapters</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Absence can have several meanings</w:t>
            </w:r>
          </w:p>
        </w:tc>
        <w:tc>
          <w:tcPr>
            <w:tcW w:w="2250" w:type="dxa"/>
            <w:vAlign w:val="center"/>
          </w:tcPr>
          <w:p>
            <w:pPr>
              <w:spacing w:line="360" w:lineRule="auto" w:after="120"/>
            </w:pPr>
            <w:r>
              <w:rPr>
                <w:rFonts w:ascii="Times New Roman" w:hAnsi="Times New Roman" w:eastAsia="Times New Roman"/>
                <w:sz w:val="19"/>
                <w:szCs w:val="19"/>
              </w:rPr>
              <w:t xml:space="preserve">Preserve typed missingness through canonical state and interface layers</w:t>
            </w:r>
          </w:p>
        </w:tc>
        <w:tc>
          <w:tcPr>
            <w:tcW w:w="2250" w:type="dxa"/>
            <w:vAlign w:val="center"/>
          </w:tcPr>
          <w:p>
            <w:pPr>
              <w:spacing w:line="360" w:lineRule="auto" w:after="120"/>
            </w:pPr>
            <w:r>
              <w:rPr>
                <w:rFonts w:ascii="Times New Roman" w:hAnsi="Times New Roman" w:eastAsia="Times New Roman"/>
                <w:sz w:val="19"/>
                <w:szCs w:val="19"/>
              </w:rPr>
              <w:t xml:space="preserve">State contract and controlled missing-evidence scenarios</w:t>
            </w:r>
          </w:p>
        </w:tc>
        <w:tc>
          <w:tcPr>
            <w:tcW w:w="2250" w:type="dxa"/>
            <w:vAlign w:val="center"/>
          </w:tcPr>
          <w:p>
            <w:pPr>
              <w:spacing w:line="360" w:lineRule="auto" w:after="120"/>
            </w:pPr>
            <w:r>
              <w:rPr>
                <w:rFonts w:ascii="Times New Roman" w:hAnsi="Times New Roman" w:eastAsia="Times New Roman"/>
                <w:sz w:val="19"/>
                <w:szCs w:val="19"/>
              </w:rPr>
              <w:t xml:space="preserve">No empirical ablation of predictive benefit</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Valid JSON and citations can still support an invalid conclusion</w:t>
            </w:r>
          </w:p>
        </w:tc>
        <w:tc>
          <w:tcPr>
            <w:tcW w:w="2250" w:type="dxa"/>
            <w:vAlign w:val="center"/>
          </w:tcPr>
          <w:p>
            <w:pPr>
              <w:spacing w:line="360" w:lineRule="auto" w:after="120"/>
            </w:pPr>
            <w:r>
              <w:rPr>
                <w:rFonts w:ascii="Times New Roman" w:hAnsi="Times New Roman" w:eastAsia="Times New Roman"/>
                <w:sz w:val="19"/>
                <w:szCs w:val="19"/>
              </w:rPr>
              <w:t xml:space="preserve">Apply deterministic evidence, semantic, and policy validation after generation</w:t>
            </w:r>
          </w:p>
        </w:tc>
        <w:tc>
          <w:tcPr>
            <w:tcW w:w="2250" w:type="dxa"/>
            <w:vAlign w:val="center"/>
          </w:tcPr>
          <w:p>
            <w:pPr>
              <w:spacing w:line="360" w:lineRule="auto" w:after="120"/>
            </w:pPr>
            <w:r>
              <w:rPr>
                <w:rFonts w:ascii="Times New Roman" w:hAnsi="Times New Roman" w:eastAsia="Times New Roman"/>
                <w:sz w:val="19"/>
                <w:szCs w:val="19"/>
              </w:rPr>
              <w:t xml:space="preserve">E2 schema-only treatment</w:t>
            </w:r>
          </w:p>
        </w:tc>
        <w:tc>
          <w:tcPr>
            <w:tcW w:w="2250" w:type="dxa"/>
            <w:vAlign w:val="center"/>
          </w:tcPr>
          <w:p>
            <w:pPr>
              <w:spacing w:line="360" w:lineRule="auto" w:after="120"/>
            </w:pPr>
            <w:r>
              <w:rPr>
                <w:rFonts w:ascii="Times New Roman" w:hAnsi="Times New Roman" w:eastAsia="Times New Roman"/>
                <w:sz w:val="19"/>
                <w:szCs w:val="19"/>
              </w:rPr>
              <w:t xml:space="preserve">Controlled synthetic cases do not establish real-world rates</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Schema constraints did not induce abstention</w:t>
            </w:r>
          </w:p>
        </w:tc>
        <w:tc>
          <w:tcPr>
            <w:tcW w:w="2250" w:type="dxa"/>
            <w:vAlign w:val="center"/>
          </w:tcPr>
          <w:p>
            <w:pPr>
              <w:spacing w:line="360" w:lineRule="auto" w:after="120"/>
            </w:pPr>
            <w:r>
              <w:rPr>
                <w:rFonts w:ascii="Times New Roman" w:hAnsi="Times New Roman" w:eastAsia="Times New Roman"/>
                <w:sz w:val="19"/>
                <w:szCs w:val="19"/>
              </w:rPr>
              <w:t xml:space="preserve">Make sufficiency checks and abstention explicit application behaviors</w:t>
            </w:r>
          </w:p>
        </w:tc>
        <w:tc>
          <w:tcPr>
            <w:tcW w:w="2250" w:type="dxa"/>
            <w:vAlign w:val="center"/>
          </w:tcPr>
          <w:p>
            <w:pPr>
              <w:spacing w:line="360" w:lineRule="auto" w:after="120"/>
            </w:pPr>
            <w:r>
              <w:rPr>
                <w:rFonts w:ascii="Times New Roman" w:hAnsi="Times New Roman" w:eastAsia="Times New Roman"/>
                <w:sz w:val="19"/>
                <w:szCs w:val="19"/>
              </w:rPr>
              <w:t xml:space="preserve">E2: 0 of 48 abstentions in both primary treatments</w:t>
            </w:r>
          </w:p>
        </w:tc>
        <w:tc>
          <w:tcPr>
            <w:tcW w:w="2250" w:type="dxa"/>
            <w:vAlign w:val="center"/>
          </w:tcPr>
          <w:p>
            <w:pPr>
              <w:spacing w:line="360" w:lineRule="auto" w:after="120"/>
            </w:pPr>
            <w:r>
              <w:rPr>
                <w:rFonts w:ascii="Times New Roman" w:hAnsi="Times New Roman" w:eastAsia="Times New Roman"/>
                <w:sz w:val="19"/>
                <w:szCs w:val="19"/>
              </w:rPr>
              <w:t xml:space="preserve">Operational abstentions are separate observational evidence</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Generated analyses and human decisions can be conflated</w:t>
            </w:r>
          </w:p>
        </w:tc>
        <w:tc>
          <w:tcPr>
            <w:tcW w:w="2250" w:type="dxa"/>
            <w:vAlign w:val="center"/>
          </w:tcPr>
          <w:p>
            <w:pPr>
              <w:spacing w:line="360" w:lineRule="auto" w:after="120"/>
            </w:pPr>
            <w:r>
              <w:rPr>
                <w:rFonts w:ascii="Times New Roman" w:hAnsi="Times New Roman" w:eastAsia="Times New Roman"/>
                <w:sz w:val="19"/>
                <w:szCs w:val="19"/>
              </w:rPr>
              <w:t xml:space="preserve">Bind prediction to exact state and separate triage and support-case history</w:t>
            </w:r>
          </w:p>
        </w:tc>
        <w:tc>
          <w:tcPr>
            <w:tcW w:w="2250" w:type="dxa"/>
            <w:vAlign w:val="center"/>
          </w:tcPr>
          <w:p>
            <w:pPr>
              <w:spacing w:line="360" w:lineRule="auto" w:after="120"/>
            </w:pPr>
            <w:r>
              <w:rPr>
                <w:rFonts w:ascii="Times New Roman" w:hAnsi="Times New Roman" w:eastAsia="Times New Roman"/>
                <w:sz w:val="19"/>
                <w:szCs w:val="19"/>
              </w:rPr>
              <w:t xml:space="preserve">RQ4 implementation invariants</w:t>
            </w:r>
          </w:p>
        </w:tc>
        <w:tc>
          <w:tcPr>
            <w:tcW w:w="2250" w:type="dxa"/>
            <w:vAlign w:val="center"/>
          </w:tcPr>
          <w:p>
            <w:pPr>
              <w:spacing w:line="360" w:lineRule="auto" w:after="120"/>
            </w:pPr>
            <w:r>
              <w:rPr>
                <w:rFonts w:ascii="Times New Roman" w:hAnsi="Times New Roman" w:eastAsia="Times New Roman"/>
                <w:sz w:val="19"/>
                <w:szCs w:val="19"/>
              </w:rPr>
              <w:t xml:space="preserve">Human effectiveness remains unevaluated</w:t>
            </w:r>
          </w:p>
        </w:tc>
      </w:tr>
    </w:tbl>
    <w:p>
      <w:pPr>
        <w:spacing w:line="360" w:lineRule="auto" w:after="120"/>
      </w:pPr>
      <w:r>
        <w:rPr>
          <w:rFonts w:ascii="Times New Roman" w:hAnsi="Times New Roman" w:eastAsia="Times New Roman"/>
          <w:sz w:val="24"/>
          <w:szCs w:val="24"/>
        </w:rPr>
        <w:t xml:space="preserve"/>
      </w:r>
    </w:p>
    <w:p>
      <w:pPr>
        <w:pStyle w:val="Heading2"/>
        <w:spacing w:line="360" w:lineRule="auto" w:after="120"/>
        <w:keepNext/>
      </w:pPr>
      <w:r>
        <w:rPr>
          <w:rFonts w:ascii="Times New Roman" w:hAnsi="Times New Roman" w:eastAsia="Times New Roman"/>
          <w:b/>
          <w:sz w:val="28"/>
          <w:szCs w:val="28"/>
        </w:rPr>
        <w:t xml:space="preserve">6.12 Contributions Revisited</w:t>
      </w:r>
    </w:p>
    <w:p>
      <w:pPr>
        <w:jc w:val="both"/>
        <w:spacing w:line="360" w:lineRule="auto" w:after="120"/>
      </w:pPr>
      <w:r>
        <w:rPr>
          <w:rFonts w:ascii="Times New Roman" w:hAnsi="Times New Roman" w:eastAsia="Times New Roman"/>
          <w:sz w:val="24"/>
          <w:szCs w:val="24"/>
        </w:rPr>
        <w:t xml:space="preserve">The evidence supports a clear hierarchy of contributions. The first primary contribution is provenance-aware, cutoff-safe temporal learner-state construction. Its importance lies in representing each checkpoint as a reproducible state with inspectable evidence, rather than as an unqualified row in a final course table. E4 directly supports the implemented temporal boundary while also defining its limits.</w:t>
      </w:r>
    </w:p>
    <w:p>
      <w:pPr>
        <w:jc w:val="both"/>
        <w:spacing w:line="360" w:lineRule="auto" w:after="120"/>
      </w:pPr>
      <w:r>
        <w:rPr>
          <w:rFonts w:ascii="Times New Roman" w:hAnsi="Times New Roman" w:eastAsia="Times New Roman"/>
          <w:sz w:val="24"/>
          <w:szCs w:val="24"/>
        </w:rPr>
        <w:t xml:space="preserve">The second primary contribution is the checkpoint-specific empirical analysis of predictive signal. E1 shows how a transparent Logistic Regression baseline behaved at weeks 3, 5, 8, and 10 under learner-grouped evaluation. The contribution is not a claim that Logistic Regression is universally best. It is a temporally explicit empirical benchmark that separates early warning from later discrimination and retains the uncertainty associated with each checkpoint.</w:t>
      </w:r>
    </w:p>
    <w:p>
      <w:pPr>
        <w:jc w:val="both"/>
        <w:spacing w:line="360" w:lineRule="auto" w:after="120"/>
      </w:pPr>
      <w:r>
        <w:rPr>
          <w:rFonts w:ascii="Times New Roman" w:hAnsi="Times New Roman" w:eastAsia="Times New Roman"/>
          <w:sz w:val="24"/>
          <w:szCs w:val="24"/>
        </w:rPr>
        <w:t xml:space="preserve">The third primary contribution is controlled evidence that structural and citation compliance do not guarantee selective abstention or behavioral correctness. E2 shows a substantial change in representation and evidence-reference compliance without a change in the primary behavioral outcome. This negative boundary is scientifically useful: it identifies what schema-constrained generation solves and what remains unresolved.</w:t>
      </w:r>
    </w:p>
    <w:p>
      <w:pPr>
        <w:jc w:val="both"/>
        <w:spacing w:line="360" w:lineRule="auto" w:after="120"/>
      </w:pPr>
      <w:r>
        <w:rPr>
          <w:rFonts w:ascii="Times New Roman" w:hAnsi="Times New Roman" w:eastAsia="Times New Roman"/>
          <w:sz w:val="24"/>
          <w:szCs w:val="24"/>
        </w:rPr>
        <w:t xml:space="preserve">The versioned operational LLM pipeline is a secondary contribution. It implements restricted input, structured generation, deterministic validation, bounded repair, quality abstention, failure categorisation, and provenance. The operational record supports claims about these mechanisms and retained outcomes. It does not supply predictive-accuracy evidence, and the operational versions cannot be compared using total failure rates because the required prompt-version metadata is absent from failed jobs.</w:t>
      </w:r>
    </w:p>
    <w:p>
      <w:pPr>
        <w:jc w:val="both"/>
        <w:spacing w:line="360" w:lineRule="auto" w:after="120"/>
      </w:pPr>
      <w:r>
        <w:rPr>
          <w:rFonts w:ascii="Times New Roman" w:hAnsi="Times New Roman" w:eastAsia="Times New Roman"/>
          <w:sz w:val="24"/>
          <w:szCs w:val="24"/>
        </w:rPr>
        <w:t xml:space="preserve">The separation of model risk, instructor triage, and support-case state is a framework contribution. It creates an auditable relationship between automated evidence and human action while preserving both histories. This is a necessary basis for later human-factors research, but it is not itself evidence that educators use the system effectively.</w:t>
      </w:r>
    </w:p>
    <w:p>
      <w:pPr>
        <w:jc w:val="both"/>
        <w:spacing w:line="360" w:lineRule="auto" w:after="120"/>
      </w:pPr>
      <w:r>
        <w:rPr>
          <w:rFonts w:ascii="Times New Roman" w:hAnsi="Times New Roman" w:eastAsia="Times New Roman"/>
          <w:sz w:val="24"/>
          <w:szCs w:val="24"/>
        </w:rPr>
        <w:t xml:space="preserve">React, FastAPI, PostgreSQL, authentication, the analysis worker, deployment tooling, and the Streamlit fallback are engineering enablers. They make the contributions executable and reviewable, but their use is not claimed as scientific novelty. This hierarchy keeps the thesis centred on temporal evidence, controlled evaluation, grounded model boundaries, and traceable decision representation.</w:t>
      </w:r>
    </w:p>
    <w:p>
      <w:pPr>
        <w:pStyle w:val="Heading2"/>
        <w:spacing w:line="360" w:lineRule="auto" w:after="120"/>
        <w:keepNext/>
      </w:pPr>
      <w:r>
        <w:rPr>
          <w:rFonts w:ascii="Times New Roman" w:hAnsi="Times New Roman" w:eastAsia="Times New Roman"/>
          <w:b/>
          <w:sz w:val="28"/>
          <w:szCs w:val="28"/>
        </w:rPr>
        <w:t xml:space="preserve">6.13 Threats to Interpretation and Generalisability</w:t>
      </w:r>
    </w:p>
    <w:p>
      <w:pPr>
        <w:jc w:val="both"/>
        <w:spacing w:line="360" w:lineRule="auto" w:after="120"/>
      </w:pPr>
      <w:r>
        <w:rPr>
          <w:rFonts w:ascii="Times New Roman" w:hAnsi="Times New Roman" w:eastAsia="Times New Roman"/>
          <w:sz w:val="24"/>
          <w:szCs w:val="24"/>
        </w:rPr>
        <w:t xml:space="preserve">The first threat concerns external validity. E1 uses one historical OULAD presentation, AAA/2013J. Course design, assessment timing, platform use, and learner populations can change the relationship between activity and outcomes [4]. The observed checkpoint pattern therefore cannot be generalised to every course or institution. The controlled Moodle and synthetic workspace paths verify interfaces and workflows, not empirical transfer. Replication on additional real presentations is required before portability can be assessed.</w:t>
      </w:r>
    </w:p>
    <w:p>
      <w:pPr>
        <w:jc w:val="both"/>
        <w:spacing w:line="360" w:lineRule="auto" w:after="120"/>
      </w:pPr>
      <w:r>
        <w:rPr>
          <w:rFonts w:ascii="Times New Roman" w:hAnsi="Times New Roman" w:eastAsia="Times New Roman"/>
          <w:sz w:val="24"/>
          <w:szCs w:val="24"/>
        </w:rPr>
        <w:t xml:space="preserve">The second threat concerns statistical precision. The learner-grouped test partition is small at each checkpoint, and positive outcomes become fewer at later cutoffs. The bootstrap intervals are consequently wide. Point estimates, including the strong week-8 result, should be interpreted as uncertain estimates rather than fixed performance guarantees. No multiple-comparison correction or paired significance test between checkpoints was part of the frozen protocol.</w:t>
      </w:r>
    </w:p>
    <w:p>
      <w:pPr>
        <w:jc w:val="both"/>
        <w:spacing w:line="360" w:lineRule="auto" w:after="120"/>
      </w:pPr>
      <w:r>
        <w:rPr>
          <w:rFonts w:ascii="Times New Roman" w:hAnsi="Times New Roman" w:eastAsia="Times New Roman"/>
          <w:sz w:val="24"/>
          <w:szCs w:val="24"/>
        </w:rPr>
        <w:t xml:space="preserve">The third threat concerns the target. Combining Fail and Withdrawn as risk creates an operationally useful binary outcome, but those outcomes can arise through different pathways. Withdrawal timing also affects checkpoint eligibility. The model therefore predicts the declared non_success target, not a singular psychological or educational mechanism. It cannot establish why a learner struggled or what intervention would be effective.</w:t>
      </w:r>
    </w:p>
    <w:p>
      <w:pPr>
        <w:jc w:val="both"/>
        <w:spacing w:line="360" w:lineRule="auto" w:after="120"/>
      </w:pPr>
      <w:r>
        <w:rPr>
          <w:rFonts w:ascii="Times New Roman" w:hAnsi="Times New Roman" w:eastAsia="Times New Roman"/>
          <w:sz w:val="24"/>
          <w:szCs w:val="24"/>
        </w:rPr>
        <w:t xml:space="preserve">The fourth threat concerns score meaning. E1 scores were not calibrated, so they should not be displayed or interpreted as probabilities. Validation-selected thresholds are specific to the frozen data and objective. E2 and operational LLM scores have different semantics and must not be compared with E1 as though they measured the same construct.</w:t>
      </w:r>
    </w:p>
    <w:p>
      <w:pPr>
        <w:jc w:val="both"/>
        <w:spacing w:line="360" w:lineRule="auto" w:after="120"/>
      </w:pPr>
      <w:r>
        <w:rPr>
          <w:rFonts w:ascii="Times New Roman" w:hAnsi="Times New Roman" w:eastAsia="Times New Roman"/>
          <w:sz w:val="24"/>
          <w:szCs w:val="24"/>
        </w:rPr>
        <w:t xml:space="preserve">The fifth threat concerns measurement and missing data. OULAD supplies daily aggregate clicks rather than exact event sequences, and it lacks some context that an instructor might use, such as complete forum meaning or intervention history [19], [20]. Typed missingness prevents unsupported equivalence in the state contract, but the study did not empirically demonstrate that this representation improves prediction. Source timestamps and source completeness are assumed within the E4 audit; zero detected cutoff violations cannot validate information never recorded.</w:t>
      </w:r>
    </w:p>
    <w:p>
      <w:pPr>
        <w:jc w:val="both"/>
        <w:spacing w:line="360" w:lineRule="auto" w:after="120"/>
      </w:pPr>
      <w:r>
        <w:rPr>
          <w:rFonts w:ascii="Times New Roman" w:hAnsi="Times New Roman" w:eastAsia="Times New Roman"/>
          <w:sz w:val="24"/>
          <w:szCs w:val="24"/>
        </w:rPr>
        <w:t xml:space="preserve">The sixth threat concerns the controlled LLM evaluation. E2 contains synthetic cases designed to test specific evidence and abstention conditions. Its balance and explicit rules are useful for diagnosis but do not estimate the prevalence of those conditions in real courses. The plain semantic zero is conjunctive and should not be interpreted as a universal hallucination rate. The evidence-first treatments were excluded because of implementation defects or incomplete post-hoc development, so they provide no support for the primary conclusion.</w:t>
      </w:r>
    </w:p>
    <w:p>
      <w:pPr>
        <w:jc w:val="both"/>
        <w:spacing w:line="360" w:lineRule="auto" w:after="120"/>
      </w:pPr>
      <w:r>
        <w:rPr>
          <w:rFonts w:ascii="Times New Roman" w:hAnsi="Times New Roman" w:eastAsia="Times New Roman"/>
          <w:sz w:val="24"/>
          <w:szCs w:val="24"/>
        </w:rPr>
        <w:t xml:space="preserve">The seventh threat concerns operational attribution. The archived Lobot history is observational and lacks reliable prompt-version metadata for failed jobs. It supports saved-output validation and repair comparisons, but no version-specific overall success or failure rate. Changes in workloads, inputs, or runtime conditions may accompany prompt versions. The operational data also contain no empirical learner-outcome labels, so they cannot establish prediction accuracy or educational value.</w:t>
      </w:r>
    </w:p>
    <w:p>
      <w:pPr>
        <w:jc w:val="both"/>
        <w:spacing w:line="360" w:lineRule="auto" w:after="120"/>
      </w:pPr>
      <w:r>
        <w:rPr>
          <w:rFonts w:ascii="Times New Roman" w:hAnsi="Times New Roman" w:eastAsia="Times New Roman"/>
          <w:sz w:val="24"/>
          <w:szCs w:val="24"/>
        </w:rPr>
        <w:t xml:space="preserve">The eighth threat concerns human factors and ethics. The system implements access control, pseudonymous identities, evidence display, and a distinct human workflow, but no formal usability or educator-effectiveness study was completed. The architecture may support oversight; it does not prove that automation bias is reduced or that decisions improve. Learning analytics also creates continuing obligations around privacy, transparency, proportionality, and accountability [18]. Any institutional deployment would require governance beyond the technical safeguards evaluated here.</w:t>
      </w:r>
    </w:p>
    <w:p>
      <w:pPr>
        <w:jc w:val="both"/>
        <w:spacing w:line="360" w:lineRule="auto" w:after="120"/>
      </w:pPr>
      <w:r>
        <w:rPr>
          <w:rFonts w:ascii="Times New Roman" w:hAnsi="Times New Roman" w:eastAsia="Times New Roman"/>
          <w:sz w:val="24"/>
          <w:szCs w:val="24"/>
        </w:rPr>
        <w:t xml:space="preserve">Finally, the digital-twin label itself can invite overstatement. The implemented system is a provenance-aware, checkpointed course digital twin: it maintains historical learner states, model analyses, and human support decisions. It is not continuously synchronised in real time, a causal simulator, a psychological representation, or a comprehensive replica of a student. The narrower definition aligns the claim with the implemented and evaluated evidence.</w:t>
      </w:r>
    </w:p>
    <w:p>
      <w:pPr>
        <w:pStyle w:val="Heading2"/>
        <w:spacing w:line="360" w:lineRule="auto" w:after="120"/>
        <w:keepNext/>
      </w:pPr>
      <w:r>
        <w:rPr>
          <w:rFonts w:ascii="Times New Roman" w:hAnsi="Times New Roman" w:eastAsia="Times New Roman"/>
          <w:b/>
          <w:sz w:val="28"/>
          <w:szCs w:val="28"/>
        </w:rPr>
        <w:t xml:space="preserve">6.14 Discussion Summary</w:t>
      </w:r>
    </w:p>
    <w:p>
      <w:pPr>
        <w:jc w:val="both"/>
        <w:spacing w:line="360" w:lineRule="auto" w:after="120"/>
      </w:pPr>
      <w:r>
        <w:rPr>
          <w:rFonts w:ascii="Times New Roman" w:hAnsi="Times New Roman" w:eastAsia="Times New Roman"/>
          <w:sz w:val="24"/>
          <w:szCs w:val="24"/>
        </w:rPr>
        <w:t xml:space="preserve">The findings show that predictive usefulness, temporal validity, generated-output reliability, and human accountability are distinct requirements. E1 found modest early discrimination and stronger later discrimination, exposing a trade-off between lead time and signal. E4 established zero detected post-cutoff violations within the frozen provenance audit, giving those results an inspectable temporal basis. E2 showed that schema constraints can improve structure and citation compliance while leaving abstention and behavioral correctness unchanged. The operational pipeline demonstrates how validation, repair, rejection, abstention, and history can surround the model without being mistaken for predictive accuracy. RQ4 completes the framework by preserving model risk, instructor triage, and support cases as separate states.</w:t>
      </w:r>
    </w:p>
    <w:p>
      <w:pPr>
        <w:jc w:val="both"/>
        <w:spacing w:line="360" w:lineRule="auto" w:after="120"/>
      </w:pPr>
      <w:r>
        <w:rPr>
          <w:rFonts w:ascii="Times New Roman" w:hAnsi="Times New Roman" w:eastAsia="Times New Roman"/>
          <w:sz w:val="24"/>
          <w:szCs w:val="24"/>
        </w:rPr>
        <w:t xml:space="preserve">The project is therefore best understood as a provenance-aware, checkpointed course digital twin. Its central contribution is the maintained relationship from learner evidence to model analysis to human decision and follow-up history, with explicit boundaries between each stage. The evidence supports this framework and its component evaluations, while cross-course generalisation, calibration, educator effectiveness, and learner-outcome impact remain future research questions.</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pPr>
    </w:lvl>
  </w:abstractNum>
  <w:num w:numId="1">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keepNext/>
      <w:keepLines/>
      <w:spacing w:before="240" w:after="180"/>
      <w:outlineLvl w:val="0"/>
    </w:pPr>
    <w:rPr>
      <w:rFonts w:ascii="Times New Roman" w:hAnsi="Times New Roman"/>
      <w:b/>
      <w:sz w:val="32"/>
    </w:rPr>
  </w:style>
  <w:style w:type="paragraph" w:styleId="Heading2">
    <w:name w:val="heading 2"/>
    <w:basedOn w:val="Normal"/>
    <w:next w:val="Normal"/>
    <w:qFormat/>
    <w:pPr>
      <w:keepNext/>
      <w:keepLines/>
      <w:spacing w:before="220" w:after="140"/>
      <w:outlineLvl w:val="1"/>
    </w:pPr>
    <w:rPr>
      <w:rFonts w:ascii="Times New Roman" w:hAnsi="Times New Roman"/>
      <w:b/>
      <w:sz w:val="28"/>
    </w:rPr>
  </w:style>
  <w:style w:type="paragraph" w:styleId="Heading3">
    <w:name w:val="heading 3"/>
    <w:basedOn w:val="Normal"/>
    <w:next w:val="Normal"/>
    <w:qFormat/>
    <w:pPr>
      <w:keepNext/>
      <w:keepLines/>
      <w:spacing w:before="180" w:after="100"/>
      <w:outlineLvl w:val="2"/>
    </w:pPr>
    <w:rPr>
      <w:rFonts w:ascii="Times New Roman" w:hAnsi="Times New Roman"/>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haredDoc>false</SharedDoc>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3 ? Methodology</dc:title>
  <dc:subject>AI-Powered Course Digital Twin for Predictive Learning Analytics</dc:subject>
  <dc:creator>Digital Twin Project</dc:creator>
  <cp:lastModifiedBy>Digital Twin Project</cp:lastModifiedBy>
  <dcterms:created xsi:type="dcterms:W3CDTF">2026-10-12T14:55:39Z</dcterms:created>
  <dcterms:modified xsi:type="dcterms:W3CDTF">2026-10-12T14:55:39Z</dcterms:modified>
</cp:coreProperties>
</file>