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6B1E" w14:textId="77777777" w:rsidR="00382351" w:rsidRDefault="00382351" w:rsidP="00382351">
      <w:pPr>
        <w:spacing w:before="400" w:after="80"/>
        <w:jc w:val="center"/>
      </w:pPr>
      <w:r>
        <w:rPr>
          <w:rFonts w:ascii="Calibri" w:hAnsi="Calibri"/>
          <w:b/>
          <w:color w:val="1B365D"/>
          <w:sz w:val="34"/>
        </w:rPr>
        <w:t>UNIVERSITY OF ENGINEERING AND TECHNOLOGY, LAHORE</w:t>
      </w:r>
    </w:p>
    <w:p w14:paraId="263A58A2" w14:textId="77777777" w:rsidR="00382351" w:rsidRDefault="00382351" w:rsidP="00382351">
      <w:pPr>
        <w:spacing w:after="120"/>
        <w:jc w:val="center"/>
      </w:pPr>
      <w:r>
        <w:rPr>
          <w:rFonts w:ascii="Calibri" w:hAnsi="Calibri"/>
          <w:b/>
          <w:color w:val="4A5568"/>
          <w:sz w:val="26"/>
        </w:rPr>
        <w:t>NEW CAMPUS (KSK)</w:t>
      </w:r>
    </w:p>
    <w:p w14:paraId="0D076BB5" w14:textId="6E58BDAC" w:rsidR="00382351" w:rsidRPr="00382351" w:rsidRDefault="00382351" w:rsidP="00382351">
      <w:pPr>
        <w:spacing w:after="480"/>
        <w:jc w:val="center"/>
        <w:rPr>
          <w:rFonts w:ascii="Calibri" w:hAnsi="Calibri"/>
          <w:b/>
          <w:color w:val="365F91" w:themeColor="accent1" w:themeShade="BF"/>
          <w:sz w:val="28"/>
        </w:rPr>
      </w:pPr>
      <w:r>
        <w:rPr>
          <w:rFonts w:ascii="Calibri" w:hAnsi="Calibri"/>
          <w:b/>
          <w:color w:val="1B365D"/>
          <w:sz w:val="28"/>
        </w:rPr>
        <w:t>DEPARTMENT OF COMPUTER SCIENCE</w:t>
      </w:r>
      <w:r>
        <w:rPr>
          <w:rFonts w:ascii="Calibri" w:hAnsi="Calibri"/>
          <w:b/>
          <w:color w:val="1B365D"/>
          <w:sz w:val="28"/>
        </w:rPr>
        <w:br/>
      </w:r>
      <w:r w:rsidRPr="00382351">
        <w:rPr>
          <w:color w:val="365F91" w:themeColor="accent1" w:themeShade="BF"/>
          <w:sz w:val="42"/>
          <w:szCs w:val="42"/>
        </w:rPr>
        <w:t>UniVision</w:t>
      </w:r>
    </w:p>
    <w:p w14:paraId="36792F03" w14:textId="77777777" w:rsidR="00382351" w:rsidRDefault="00382351" w:rsidP="00382351">
      <w:pPr>
        <w:spacing w:after="480"/>
        <w:jc w:val="center"/>
      </w:pPr>
      <w:r>
        <w:rPr>
          <w:rFonts w:ascii="Calibri" w:hAnsi="Calibri"/>
          <w:b/>
          <w:noProof/>
          <w:color w:val="1B365D"/>
          <w:sz w:val="28"/>
        </w:rPr>
        <w:drawing>
          <wp:inline distT="0" distB="0" distL="0" distR="0" wp14:anchorId="38D1B562" wp14:editId="60283443">
            <wp:extent cx="3497580" cy="3497580"/>
            <wp:effectExtent l="0" t="0" r="7620" b="7620"/>
            <wp:docPr id="164908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5716" w14:textId="290C3199" w:rsidR="00382351" w:rsidRDefault="00382351" w:rsidP="00382351">
      <w:pPr>
        <w:spacing w:before="480" w:after="80"/>
        <w:jc w:val="center"/>
      </w:pPr>
      <w:r>
        <w:rPr>
          <w:rFonts w:ascii="Calibri" w:hAnsi="Calibri"/>
          <w:b/>
          <w:color w:val="1B365D"/>
          <w:sz w:val="36"/>
        </w:rPr>
        <w:t>Software Design and Architecture</w:t>
      </w:r>
      <w:r>
        <w:rPr>
          <w:rFonts w:ascii="Calibri" w:hAnsi="Calibri"/>
          <w:color w:val="4A5568"/>
          <w:sz w:val="24"/>
        </w:rPr>
        <w:br/>
        <w:t>BS Software Engineering — 4th Semester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382351" w14:paraId="675F1352" w14:textId="77777777" w:rsidTr="00536D3E">
        <w:trPr>
          <w:jc w:val="center"/>
        </w:trPr>
        <w:tc>
          <w:tcPr>
            <w:tcW w:w="4608" w:type="dxa"/>
            <w:tcBorders>
              <w:top w:val="single" w:sz="8" w:space="0" w:color="1B365D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4D2CE65" w14:textId="77777777" w:rsidR="00382351" w:rsidRDefault="00382351" w:rsidP="00536D3E">
            <w:pPr>
              <w:spacing w:before="200"/>
              <w:ind w:left="216"/>
            </w:pPr>
            <w:r>
              <w:rPr>
                <w:b/>
                <w:color w:val="1B365D"/>
              </w:rPr>
              <w:t>SUBMITTED BY:</w:t>
            </w:r>
            <w:r>
              <w:rPr>
                <w:b/>
                <w:color w:val="1B365D"/>
              </w:rPr>
              <w:br/>
            </w:r>
            <w:r>
              <w:rPr>
                <w:color w:val="334155"/>
              </w:rPr>
              <w:t>Name: Abdul Hadi</w:t>
            </w:r>
            <w:r>
              <w:rPr>
                <w:color w:val="334155"/>
              </w:rPr>
              <w:br/>
              <w:t>Roll No: 2025(s)-SE-5</w:t>
            </w:r>
            <w:r>
              <w:rPr>
                <w:color w:val="334155"/>
              </w:rPr>
              <w:br/>
              <w:t>Section: BS SE (4th Semester)</w:t>
            </w:r>
          </w:p>
        </w:tc>
        <w:tc>
          <w:tcPr>
            <w:tcW w:w="4608" w:type="dxa"/>
            <w:tcBorders>
              <w:top w:val="single" w:sz="8" w:space="0" w:color="1B365D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644C5A5" w14:textId="0E76384A" w:rsidR="00382351" w:rsidRDefault="00382351" w:rsidP="00536D3E">
            <w:pPr>
              <w:spacing w:before="200"/>
              <w:ind w:left="216"/>
            </w:pPr>
            <w:r>
              <w:rPr>
                <w:b/>
                <w:color w:val="1B365D"/>
              </w:rPr>
              <w:t>SUBMITTED BY:</w:t>
            </w:r>
            <w:r>
              <w:rPr>
                <w:b/>
                <w:color w:val="1B365D"/>
              </w:rPr>
              <w:br/>
            </w:r>
            <w:r>
              <w:rPr>
                <w:color w:val="334155"/>
              </w:rPr>
              <w:t>Name: Muhammad Hamza Shahid</w:t>
            </w:r>
            <w:r>
              <w:rPr>
                <w:color w:val="334155"/>
              </w:rPr>
              <w:br/>
              <w:t>Roll No: 2025(s)-SE-8</w:t>
            </w:r>
            <w:r>
              <w:rPr>
                <w:color w:val="334155"/>
              </w:rPr>
              <w:br/>
              <w:t>Section: BS SE (4th Semester)</w:t>
            </w:r>
          </w:p>
        </w:tc>
      </w:tr>
    </w:tbl>
    <w:p w14:paraId="4563424F" w14:textId="03CC4E2E" w:rsidR="00382351" w:rsidRPr="00382351" w:rsidRDefault="00382351" w:rsidP="00382351">
      <w:pPr>
        <w:spacing w:before="200" w:after="280"/>
        <w:jc w:val="center"/>
      </w:pPr>
      <w:r>
        <w:rPr>
          <w:b/>
          <w:color w:val="1B365D"/>
        </w:rPr>
        <w:t>SUBMITTED TO:</w:t>
      </w:r>
      <w:r>
        <w:rPr>
          <w:b/>
          <w:color w:val="1B365D"/>
        </w:rPr>
        <w:br/>
      </w:r>
      <w:r>
        <w:rPr>
          <w:color w:val="334155"/>
        </w:rPr>
        <w:t>Instructor: Sir Hassan</w:t>
      </w:r>
      <w:r>
        <w:rPr>
          <w:color w:val="334155"/>
        </w:rPr>
        <w:br/>
        <w:t>Department of Computer Science</w:t>
      </w:r>
    </w:p>
    <w:p w14:paraId="560076CE" w14:textId="616045D1" w:rsidR="00F35CA7" w:rsidRDefault="00000000">
      <w:pPr>
        <w:keepNext/>
        <w:spacing w:before="360" w:after="160"/>
      </w:pPr>
      <w:r>
        <w:rPr>
          <w:rFonts w:ascii="Arial" w:hAnsi="Arial"/>
          <w:b/>
          <w:color w:val="1E3A8A"/>
          <w:sz w:val="32"/>
        </w:rPr>
        <w:lastRenderedPageBreak/>
        <w:t>1. Executive Summary</w:t>
      </w:r>
    </w:p>
    <w:p w14:paraId="15D96646" w14:textId="2085ABBF" w:rsidR="00F35CA7" w:rsidRDefault="00000000">
      <w:pPr>
        <w:spacing w:after="120"/>
      </w:pPr>
      <w:r>
        <w:rPr>
          <w:rFonts w:ascii="Calibri" w:hAnsi="Calibri"/>
          <w:color w:val="1E293B"/>
        </w:rPr>
        <w:t>UniVision is an advanced, enterprise-grade, privacy-preserving face recognition attendance management platform designed specifically for modern academic institutions. Developed using a hybrid architectural paradigm combining Event-Driven Architecture (EDA) and Model-View-Controller (MVC) patterns, UniVision eliminates manual roll-calls, reduces proxy attendance to zero, and ensures full offline operational resilience with cloud synchronization.</w:t>
      </w:r>
    </w:p>
    <w:p w14:paraId="50353A69" w14:textId="77777777" w:rsidR="00F35CA7" w:rsidRDefault="00000000">
      <w:pPr>
        <w:keepNext/>
        <w:spacing w:before="360" w:after="160"/>
      </w:pPr>
      <w:r>
        <w:rPr>
          <w:rFonts w:ascii="Arial" w:hAnsi="Arial"/>
          <w:b/>
          <w:color w:val="1E3A8A"/>
          <w:sz w:val="32"/>
        </w:rPr>
        <w:t>2. System Architecture &amp; Tech Stack</w:t>
      </w:r>
    </w:p>
    <w:p w14:paraId="250EA3B7" w14:textId="77777777" w:rsidR="00F35CA7" w:rsidRDefault="00000000">
      <w:pPr>
        <w:spacing w:after="120"/>
      </w:pPr>
      <w:r>
        <w:rPr>
          <w:rFonts w:ascii="Calibri" w:hAnsi="Calibri"/>
          <w:color w:val="1E293B"/>
        </w:rPr>
        <w:t>The UniVision system architecture is decoupled into distinct service layers to guarantee low latency, zero cloud biometric leakage, and multi-platform accessibility:</w:t>
      </w:r>
    </w:p>
    <w:p w14:paraId="3DAB6797" w14:textId="77777777" w:rsidR="00F35CA7" w:rsidRDefault="00000000">
      <w:pPr>
        <w:pStyle w:val="ListBullet"/>
        <w:spacing w:after="80"/>
      </w:pPr>
      <w:r>
        <w:rPr>
          <w:rFonts w:ascii="Calibri" w:hAnsi="Calibri"/>
          <w:b/>
          <w:color w:val="0F172A"/>
        </w:rPr>
        <w:t>Computer Vision Pipeline Engine:</w:t>
      </w:r>
      <w:r>
        <w:rPr>
          <w:rFonts w:ascii="Calibri" w:hAnsi="Calibri"/>
          <w:color w:val="1E293B"/>
        </w:rPr>
        <w:t xml:space="preserve"> Built with OpenCV ONNX runtime executing YuNet for ultra-fast face detection and liveness evaluation, paired with SFace for 128-dimensional facial feature vector extraction.</w:t>
      </w:r>
    </w:p>
    <w:p w14:paraId="73B1E9F6" w14:textId="77777777" w:rsidR="00F35CA7" w:rsidRDefault="00000000">
      <w:pPr>
        <w:pStyle w:val="ListBullet"/>
        <w:spacing w:after="80"/>
      </w:pPr>
      <w:r>
        <w:rPr>
          <w:rFonts w:ascii="Calibri" w:hAnsi="Calibri"/>
          <w:b/>
          <w:color w:val="0F172A"/>
        </w:rPr>
        <w:t>Edge Verification &amp; Persistence:</w:t>
      </w:r>
      <w:r>
        <w:rPr>
          <w:rFonts w:ascii="Calibri" w:hAnsi="Calibri"/>
          <w:color w:val="1E293B"/>
        </w:rPr>
        <w:t xml:space="preserve"> Local SQLite databases at edge stations record frame-by-frame verification streaks (enforcing a 3-consecutive-frame threshold) to prevent false positives.</w:t>
      </w:r>
    </w:p>
    <w:p w14:paraId="0B6987F8" w14:textId="77777777" w:rsidR="00F35CA7" w:rsidRDefault="00000000">
      <w:pPr>
        <w:pStyle w:val="ListBullet"/>
        <w:spacing w:after="80"/>
      </w:pPr>
      <w:r>
        <w:rPr>
          <w:rFonts w:ascii="Calibri" w:hAnsi="Calibri"/>
          <w:b/>
          <w:color w:val="0F172A"/>
        </w:rPr>
        <w:t>Backend Application Layer:</w:t>
      </w:r>
      <w:r>
        <w:rPr>
          <w:rFonts w:ascii="Calibri" w:hAnsi="Calibri"/>
          <w:color w:val="1E293B"/>
        </w:rPr>
        <w:t xml:space="preserve"> High-performance RESTful API endpoints and WebSocket servers facilitating real-time attendance push alerts to student mobile devices.</w:t>
      </w:r>
    </w:p>
    <w:p w14:paraId="29A0AEF8" w14:textId="4522D596" w:rsidR="005429A2" w:rsidRPr="005429A2" w:rsidRDefault="00000000" w:rsidP="005429A2">
      <w:pPr>
        <w:pStyle w:val="ListBullet"/>
        <w:spacing w:after="80"/>
      </w:pPr>
      <w:r>
        <w:rPr>
          <w:rFonts w:ascii="Calibri" w:hAnsi="Calibri"/>
          <w:b/>
          <w:color w:val="0F172A"/>
        </w:rPr>
        <w:t>Infrastructure &amp; DevOps:</w:t>
      </w:r>
      <w:r>
        <w:rPr>
          <w:rFonts w:ascii="Calibri" w:hAnsi="Calibri"/>
          <w:color w:val="1E293B"/>
        </w:rPr>
        <w:t xml:space="preserve"> Containerized with Docker and automated via GitHub Actions for Continuous Integration and Continuous Deployment (CI/CD).</w:t>
      </w:r>
    </w:p>
    <w:p w14:paraId="20014F8E" w14:textId="77777777" w:rsidR="005429A2" w:rsidRDefault="005429A2" w:rsidP="005429A2"/>
    <w:p w14:paraId="1FB998AA" w14:textId="77777777" w:rsidR="005429A2" w:rsidRDefault="005429A2" w:rsidP="005429A2"/>
    <w:p w14:paraId="78CEDDC0" w14:textId="77777777" w:rsidR="005429A2" w:rsidRDefault="005429A2" w:rsidP="005429A2"/>
    <w:p w14:paraId="21A6AA2F" w14:textId="77777777" w:rsidR="005429A2" w:rsidRDefault="005429A2" w:rsidP="005429A2"/>
    <w:p w14:paraId="2D440E5F" w14:textId="77777777" w:rsidR="005429A2" w:rsidRDefault="005429A2" w:rsidP="005429A2"/>
    <w:p w14:paraId="2F8ADD74" w14:textId="77777777" w:rsidR="005429A2" w:rsidRDefault="005429A2" w:rsidP="005429A2"/>
    <w:p w14:paraId="2ACAA944" w14:textId="77777777" w:rsidR="005429A2" w:rsidRDefault="005429A2" w:rsidP="005429A2"/>
    <w:p w14:paraId="2C44C027" w14:textId="77777777" w:rsidR="005429A2" w:rsidRDefault="005429A2" w:rsidP="005429A2"/>
    <w:p w14:paraId="79C8165D" w14:textId="77777777" w:rsidR="005429A2" w:rsidRDefault="005429A2" w:rsidP="005429A2"/>
    <w:p w14:paraId="79D08380" w14:textId="6468B554" w:rsidR="00F35CA7" w:rsidRDefault="00000000" w:rsidP="005429A2">
      <w:pPr>
        <w:keepNext/>
        <w:spacing w:before="360" w:after="160"/>
      </w:pPr>
      <w:r>
        <w:rPr>
          <w:rFonts w:ascii="Arial" w:hAnsi="Arial"/>
          <w:b/>
          <w:color w:val="1E3A8A"/>
          <w:sz w:val="32"/>
        </w:rPr>
        <w:lastRenderedPageBreak/>
        <w:t>3. Functionality-Based Use Case Specifications</w:t>
      </w:r>
    </w:p>
    <w:p w14:paraId="10C988BE" w14:textId="77777777" w:rsidR="00F35CA7" w:rsidRDefault="00000000">
      <w:pPr>
        <w:keepNext/>
        <w:spacing w:before="280" w:after="120"/>
      </w:pPr>
      <w:r>
        <w:rPr>
          <w:rFonts w:ascii="Arial" w:hAnsi="Arial"/>
          <w:b/>
          <w:color w:val="1D4ED8"/>
          <w:sz w:val="26"/>
        </w:rPr>
        <w:t>3.1 System Administration &amp; Security Subsystem</w:t>
      </w:r>
    </w:p>
    <w:p w14:paraId="1E8F96AD" w14:textId="77777777" w:rsidR="00F35CA7" w:rsidRDefault="00000000">
      <w:pPr>
        <w:spacing w:after="120"/>
      </w:pPr>
      <w:r>
        <w:rPr>
          <w:rFonts w:ascii="Calibri" w:hAnsi="Calibri"/>
          <w:color w:val="1E293B"/>
        </w:rPr>
        <w:t>The System Administration &amp; Security subsystem encompasses system-level access management, RBAC token generation, biometric registration algorithms, and institutional reporting services.</w:t>
      </w:r>
    </w:p>
    <w:p w14:paraId="0594206D" w14:textId="79081A65" w:rsidR="00F35CA7" w:rsidRDefault="00D90EAD">
      <w:pPr>
        <w:spacing w:before="240" w:after="80"/>
        <w:jc w:val="center"/>
      </w:pPr>
      <w:r>
        <w:rPr>
          <w:noProof/>
        </w:rPr>
        <w:drawing>
          <wp:inline distT="0" distB="0" distL="0" distR="0" wp14:anchorId="08752468" wp14:editId="088A3813">
            <wp:extent cx="5935980" cy="3909060"/>
            <wp:effectExtent l="0" t="0" r="7620" b="0"/>
            <wp:docPr id="144545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2FD1" w14:textId="77777777" w:rsidR="005429A2" w:rsidRDefault="005429A2" w:rsidP="005429A2"/>
    <w:p w14:paraId="799928D9" w14:textId="77777777" w:rsidR="005429A2" w:rsidRDefault="005429A2" w:rsidP="005429A2"/>
    <w:p w14:paraId="1FA80965" w14:textId="77777777" w:rsidR="005429A2" w:rsidRDefault="005429A2" w:rsidP="005429A2"/>
    <w:p w14:paraId="01D79E9A" w14:textId="77777777" w:rsidR="005429A2" w:rsidRDefault="005429A2">
      <w:pPr>
        <w:keepNext/>
        <w:spacing w:before="280" w:after="120"/>
      </w:pPr>
    </w:p>
    <w:p w14:paraId="493B898F" w14:textId="77777777" w:rsidR="005429A2" w:rsidRDefault="005429A2" w:rsidP="005429A2"/>
    <w:p w14:paraId="36DD1AF2" w14:textId="77777777" w:rsidR="005429A2" w:rsidRDefault="005429A2" w:rsidP="005429A2"/>
    <w:p w14:paraId="7D82009E" w14:textId="77777777" w:rsidR="005429A2" w:rsidRDefault="005429A2" w:rsidP="005429A2"/>
    <w:p w14:paraId="6BAFFBDD" w14:textId="77777777" w:rsidR="005429A2" w:rsidRDefault="005429A2" w:rsidP="005429A2"/>
    <w:p w14:paraId="685A4D39" w14:textId="306B5D9B" w:rsidR="00F35CA7" w:rsidRDefault="00000000">
      <w:pPr>
        <w:keepNext/>
        <w:spacing w:before="280" w:after="120"/>
      </w:pPr>
      <w:r>
        <w:rPr>
          <w:rFonts w:ascii="Arial" w:hAnsi="Arial"/>
          <w:b/>
          <w:color w:val="1D4ED8"/>
          <w:sz w:val="26"/>
        </w:rPr>
        <w:lastRenderedPageBreak/>
        <w:t>3.2 Teacher &amp; Edge Operations Subsystem</w:t>
      </w:r>
    </w:p>
    <w:p w14:paraId="6B5172AC" w14:textId="77777777" w:rsidR="00F35CA7" w:rsidRDefault="00000000">
      <w:pPr>
        <w:spacing w:after="120"/>
      </w:pPr>
      <w:r>
        <w:rPr>
          <w:rFonts w:ascii="Calibri" w:hAnsi="Calibri"/>
          <w:color w:val="1E293B"/>
        </w:rPr>
        <w:t>This subsystem manages the live execution of classroom lecture sessions, edge vision monitoring, anti-spoofing liveness checks, and manual teacher overrides.</w:t>
      </w:r>
    </w:p>
    <w:p w14:paraId="2EA93110" w14:textId="7C50885D" w:rsidR="00F35CA7" w:rsidRDefault="00D90EAD">
      <w:pPr>
        <w:spacing w:before="240" w:after="80"/>
        <w:jc w:val="center"/>
      </w:pPr>
      <w:r>
        <w:rPr>
          <w:noProof/>
        </w:rPr>
        <w:drawing>
          <wp:inline distT="0" distB="0" distL="0" distR="0" wp14:anchorId="095F28DB" wp14:editId="1451779B">
            <wp:extent cx="5935980" cy="4846320"/>
            <wp:effectExtent l="0" t="0" r="7620" b="0"/>
            <wp:docPr id="1944675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62151" w14:textId="77777777" w:rsidR="005429A2" w:rsidRDefault="005429A2" w:rsidP="005429A2"/>
    <w:p w14:paraId="2F0C1DB0" w14:textId="77777777" w:rsidR="005429A2" w:rsidRDefault="005429A2" w:rsidP="005429A2"/>
    <w:p w14:paraId="4E566EC7" w14:textId="77777777" w:rsidR="005429A2" w:rsidRDefault="005429A2" w:rsidP="005429A2"/>
    <w:p w14:paraId="31E7C721" w14:textId="77777777" w:rsidR="005429A2" w:rsidRDefault="005429A2" w:rsidP="005429A2"/>
    <w:p w14:paraId="582D7166" w14:textId="77777777" w:rsidR="005429A2" w:rsidRDefault="005429A2" w:rsidP="005429A2"/>
    <w:p w14:paraId="0F1225B7" w14:textId="77777777" w:rsidR="005429A2" w:rsidRDefault="005429A2" w:rsidP="005429A2"/>
    <w:p w14:paraId="24BF8A35" w14:textId="151DAA2C" w:rsidR="00F35CA7" w:rsidRDefault="00000000">
      <w:pPr>
        <w:keepNext/>
        <w:spacing w:before="280" w:after="120"/>
      </w:pPr>
      <w:r>
        <w:rPr>
          <w:rFonts w:ascii="Arial" w:hAnsi="Arial"/>
          <w:b/>
          <w:color w:val="1D4ED8"/>
          <w:sz w:val="26"/>
        </w:rPr>
        <w:lastRenderedPageBreak/>
        <w:t>3.3 Student Portal &amp; Self-Service Subsystem</w:t>
      </w:r>
    </w:p>
    <w:p w14:paraId="3E876B9A" w14:textId="32F04118" w:rsidR="00F35CA7" w:rsidRDefault="00000000" w:rsidP="00D90EAD">
      <w:pPr>
        <w:spacing w:after="120"/>
      </w:pPr>
      <w:r>
        <w:rPr>
          <w:rFonts w:ascii="Calibri" w:hAnsi="Calibri"/>
          <w:color w:val="1E293B"/>
        </w:rPr>
        <w:t>The Student Portal &amp; Self-Service subsystem provides students with mobile authentication, personal attendance history tracking, subject percentage calculations, and real-time push alerts.</w:t>
      </w:r>
    </w:p>
    <w:p w14:paraId="5C683E43" w14:textId="2FA047D3" w:rsidR="00F35CA7" w:rsidRDefault="00D90EAD">
      <w:pPr>
        <w:spacing w:before="240" w:after="80"/>
        <w:jc w:val="center"/>
      </w:pPr>
      <w:r>
        <w:rPr>
          <w:noProof/>
        </w:rPr>
        <w:drawing>
          <wp:inline distT="0" distB="0" distL="0" distR="0" wp14:anchorId="367C41E2" wp14:editId="6924460D">
            <wp:extent cx="5935980" cy="4846320"/>
            <wp:effectExtent l="0" t="0" r="7620" b="0"/>
            <wp:docPr id="1259951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5F75" w14:textId="77777777" w:rsidR="005429A2" w:rsidRDefault="005429A2" w:rsidP="005429A2"/>
    <w:p w14:paraId="5DC1D080" w14:textId="77777777" w:rsidR="005429A2" w:rsidRDefault="005429A2" w:rsidP="005429A2"/>
    <w:p w14:paraId="1E1B8B94" w14:textId="77777777" w:rsidR="005429A2" w:rsidRDefault="005429A2" w:rsidP="005429A2"/>
    <w:p w14:paraId="52783B6B" w14:textId="77777777" w:rsidR="005429A2" w:rsidRDefault="005429A2" w:rsidP="005429A2"/>
    <w:p w14:paraId="49216E07" w14:textId="77777777" w:rsidR="005429A2" w:rsidRDefault="005429A2" w:rsidP="005429A2"/>
    <w:p w14:paraId="22B50084" w14:textId="463D9F91" w:rsidR="00F35CA7" w:rsidRDefault="00000000">
      <w:pPr>
        <w:keepNext/>
        <w:spacing w:before="360" w:after="160"/>
      </w:pPr>
      <w:r>
        <w:rPr>
          <w:rFonts w:ascii="Arial" w:hAnsi="Arial"/>
          <w:b/>
          <w:color w:val="1E3A8A"/>
          <w:sz w:val="32"/>
        </w:rPr>
        <w:lastRenderedPageBreak/>
        <w:t>4. Object-Oriented Domain &amp; Class Diagram Architecture</w:t>
      </w:r>
    </w:p>
    <w:p w14:paraId="14E191C3" w14:textId="77777777" w:rsidR="00F35CA7" w:rsidRDefault="00000000">
      <w:pPr>
        <w:spacing w:after="120"/>
      </w:pPr>
      <w:r>
        <w:rPr>
          <w:rFonts w:ascii="Calibri" w:hAnsi="Calibri"/>
          <w:color w:val="1E293B"/>
        </w:rPr>
        <w:t>The structural architecture of UniVision is modeled using unified object-oriented design principles. Domain entities (User, Student, Teacher), core business logic (LectureSession, AttendanceLog), and computer vision pipelines (FaceDetector, FaceRecognizer, AttendanceEngine) are cleanly decoupled.</w:t>
      </w:r>
    </w:p>
    <w:p w14:paraId="05CB149D" w14:textId="46E09B1F" w:rsidR="00F43EA3" w:rsidRDefault="00F43EA3">
      <w:pPr>
        <w:keepNext/>
        <w:spacing w:before="360" w:after="160"/>
        <w:rPr>
          <w:rFonts w:ascii="Arial" w:hAnsi="Arial"/>
          <w:b/>
          <w:color w:val="334155"/>
          <w:sz w:val="19"/>
        </w:rPr>
      </w:pPr>
      <w:r>
        <w:rPr>
          <w:rFonts w:ascii="Arial" w:hAnsi="Arial"/>
          <w:b/>
          <w:noProof/>
          <w:color w:val="334155"/>
          <w:sz w:val="19"/>
        </w:rPr>
        <w:drawing>
          <wp:inline distT="0" distB="0" distL="0" distR="0" wp14:anchorId="773BE995" wp14:editId="5A0D2F68">
            <wp:extent cx="5920740" cy="3429000"/>
            <wp:effectExtent l="0" t="0" r="3810" b="0"/>
            <wp:docPr id="4096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B481" w14:textId="4537B943" w:rsidR="00F35CA7" w:rsidRDefault="00000000">
      <w:pPr>
        <w:keepNext/>
        <w:spacing w:before="360" w:after="160"/>
      </w:pPr>
      <w:r>
        <w:rPr>
          <w:rFonts w:ascii="Arial" w:hAnsi="Arial"/>
          <w:b/>
          <w:color w:val="1E3A8A"/>
          <w:sz w:val="32"/>
        </w:rPr>
        <w:t>5. Technical Specifications &amp; Verification Benchmarks</w:t>
      </w:r>
    </w:p>
    <w:p w14:paraId="5D9CAECD" w14:textId="77777777" w:rsidR="00F35CA7" w:rsidRDefault="00000000">
      <w:pPr>
        <w:spacing w:after="120"/>
      </w:pPr>
      <w:r>
        <w:rPr>
          <w:rFonts w:ascii="Calibri" w:hAnsi="Calibri"/>
          <w:color w:val="1E293B"/>
        </w:rPr>
        <w:t>UniVision has been rigorously tested across realistic classroom environments. The edge vision pipeline achieves low inference latency while maintaining strict privacy standards: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35CA7" w14:paraId="5249FB19" w14:textId="77777777">
        <w:trPr>
          <w:jc w:val="center"/>
        </w:trPr>
        <w:tc>
          <w:tcPr>
            <w:tcW w:w="3024" w:type="dxa"/>
            <w:shd w:val="clear" w:color="auto" w:fill="0F172A"/>
          </w:tcPr>
          <w:p w14:paraId="5EEAC490" w14:textId="77777777" w:rsidR="00F35C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 / Parameter</w:t>
            </w:r>
          </w:p>
        </w:tc>
        <w:tc>
          <w:tcPr>
            <w:tcW w:w="3024" w:type="dxa"/>
            <w:shd w:val="clear" w:color="auto" w:fill="0F172A"/>
          </w:tcPr>
          <w:p w14:paraId="6F83BD33" w14:textId="77777777" w:rsidR="00F35C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Technical Target</w:t>
            </w:r>
          </w:p>
        </w:tc>
        <w:tc>
          <w:tcPr>
            <w:tcW w:w="3024" w:type="dxa"/>
            <w:shd w:val="clear" w:color="auto" w:fill="0F172A"/>
          </w:tcPr>
          <w:p w14:paraId="2BFE3528" w14:textId="77777777" w:rsidR="00F35CA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Achieved Benchmark</w:t>
            </w:r>
          </w:p>
        </w:tc>
      </w:tr>
      <w:tr w:rsidR="00F35CA7" w14:paraId="6C973D0D" w14:textId="77777777">
        <w:trPr>
          <w:jc w:val="center"/>
        </w:trPr>
        <w:tc>
          <w:tcPr>
            <w:tcW w:w="3024" w:type="dxa"/>
          </w:tcPr>
          <w:p w14:paraId="7B32D76E" w14:textId="77777777" w:rsidR="00F35CA7" w:rsidRDefault="00000000">
            <w:r>
              <w:rPr>
                <w:color w:val="1E293B"/>
                <w:sz w:val="19"/>
              </w:rPr>
              <w:t>Face Detection Model</w:t>
            </w:r>
          </w:p>
        </w:tc>
        <w:tc>
          <w:tcPr>
            <w:tcW w:w="3024" w:type="dxa"/>
          </w:tcPr>
          <w:p w14:paraId="687F7FA2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YuNet ONNX Runtime</w:t>
            </w:r>
          </w:p>
        </w:tc>
        <w:tc>
          <w:tcPr>
            <w:tcW w:w="3024" w:type="dxa"/>
          </w:tcPr>
          <w:p w14:paraId="7E50609C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YuNet (30 FPS @ 1080p)</w:t>
            </w:r>
          </w:p>
        </w:tc>
      </w:tr>
      <w:tr w:rsidR="00F35CA7" w14:paraId="4B25F325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010E09A6" w14:textId="77777777" w:rsidR="00F35CA7" w:rsidRDefault="00000000">
            <w:r>
              <w:rPr>
                <w:color w:val="1E293B"/>
                <w:sz w:val="19"/>
              </w:rPr>
              <w:t>Feature Extraction Model</w:t>
            </w:r>
          </w:p>
        </w:tc>
        <w:tc>
          <w:tcPr>
            <w:tcW w:w="3024" w:type="dxa"/>
            <w:shd w:val="clear" w:color="auto" w:fill="F8FAFC"/>
          </w:tcPr>
          <w:p w14:paraId="1294C467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SFace 128-d Vector</w:t>
            </w:r>
          </w:p>
        </w:tc>
        <w:tc>
          <w:tcPr>
            <w:tcW w:w="3024" w:type="dxa"/>
            <w:shd w:val="clear" w:color="auto" w:fill="F8FAFC"/>
          </w:tcPr>
          <w:p w14:paraId="703F6581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SFace Cosine Match</w:t>
            </w:r>
          </w:p>
        </w:tc>
      </w:tr>
      <w:tr w:rsidR="00F35CA7" w14:paraId="64BE2536" w14:textId="77777777">
        <w:trPr>
          <w:jc w:val="center"/>
        </w:trPr>
        <w:tc>
          <w:tcPr>
            <w:tcW w:w="3024" w:type="dxa"/>
          </w:tcPr>
          <w:p w14:paraId="09EDBC9E" w14:textId="77777777" w:rsidR="00F35CA7" w:rsidRDefault="00000000">
            <w:r>
              <w:rPr>
                <w:color w:val="1E293B"/>
                <w:sz w:val="19"/>
              </w:rPr>
              <w:t>Cosine Match Threshold</w:t>
            </w:r>
          </w:p>
        </w:tc>
        <w:tc>
          <w:tcPr>
            <w:tcW w:w="3024" w:type="dxa"/>
          </w:tcPr>
          <w:p w14:paraId="0069BBA4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&gt;= 0.637</w:t>
            </w:r>
          </w:p>
        </w:tc>
        <w:tc>
          <w:tcPr>
            <w:tcW w:w="3024" w:type="dxa"/>
          </w:tcPr>
          <w:p w14:paraId="73502591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0.650 (High Precision)</w:t>
            </w:r>
          </w:p>
        </w:tc>
      </w:tr>
      <w:tr w:rsidR="00F35CA7" w14:paraId="132EEF7C" w14:textId="77777777">
        <w:trPr>
          <w:jc w:val="center"/>
        </w:trPr>
        <w:tc>
          <w:tcPr>
            <w:tcW w:w="3024" w:type="dxa"/>
            <w:shd w:val="clear" w:color="auto" w:fill="F8FAFC"/>
          </w:tcPr>
          <w:p w14:paraId="6DA6624E" w14:textId="77777777" w:rsidR="00F35CA7" w:rsidRDefault="00000000">
            <w:r>
              <w:rPr>
                <w:color w:val="1E293B"/>
                <w:sz w:val="19"/>
              </w:rPr>
              <w:t>Temporal Streak Lock</w:t>
            </w:r>
          </w:p>
        </w:tc>
        <w:tc>
          <w:tcPr>
            <w:tcW w:w="3024" w:type="dxa"/>
            <w:shd w:val="clear" w:color="auto" w:fill="F8FAFC"/>
          </w:tcPr>
          <w:p w14:paraId="23163470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3 Consecutive Frames</w:t>
            </w:r>
          </w:p>
        </w:tc>
        <w:tc>
          <w:tcPr>
            <w:tcW w:w="3024" w:type="dxa"/>
            <w:shd w:val="clear" w:color="auto" w:fill="F8FAFC"/>
          </w:tcPr>
          <w:p w14:paraId="25E667F5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3 Frames (0 False Positives)</w:t>
            </w:r>
          </w:p>
        </w:tc>
      </w:tr>
      <w:tr w:rsidR="00F35CA7" w14:paraId="12590229" w14:textId="77777777">
        <w:trPr>
          <w:jc w:val="center"/>
        </w:trPr>
        <w:tc>
          <w:tcPr>
            <w:tcW w:w="3024" w:type="dxa"/>
          </w:tcPr>
          <w:p w14:paraId="0AA6147C" w14:textId="77777777" w:rsidR="00F35CA7" w:rsidRDefault="00000000">
            <w:r>
              <w:rPr>
                <w:color w:val="1E293B"/>
                <w:sz w:val="19"/>
              </w:rPr>
              <w:t>Offline Batch Sync</w:t>
            </w:r>
          </w:p>
        </w:tc>
        <w:tc>
          <w:tcPr>
            <w:tcW w:w="3024" w:type="dxa"/>
          </w:tcPr>
          <w:p w14:paraId="206C8183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Idempotent Retry Queue</w:t>
            </w:r>
          </w:p>
        </w:tc>
        <w:tc>
          <w:tcPr>
            <w:tcW w:w="3024" w:type="dxa"/>
          </w:tcPr>
          <w:p w14:paraId="7DB1355C" w14:textId="77777777" w:rsidR="00F35CA7" w:rsidRDefault="00000000">
            <w:pPr>
              <w:jc w:val="center"/>
            </w:pPr>
            <w:r>
              <w:rPr>
                <w:color w:val="1E293B"/>
                <w:sz w:val="19"/>
              </w:rPr>
              <w:t>100% Zero Data Loss</w:t>
            </w:r>
          </w:p>
        </w:tc>
      </w:tr>
    </w:tbl>
    <w:p w14:paraId="7BB49C8F" w14:textId="77777777" w:rsidR="00F35CA7" w:rsidRDefault="00F35CA7">
      <w:pPr>
        <w:spacing w:after="240"/>
      </w:pPr>
    </w:p>
    <w:sectPr w:rsidR="00F35C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893374">
    <w:abstractNumId w:val="8"/>
  </w:num>
  <w:num w:numId="2" w16cid:durableId="1459689145">
    <w:abstractNumId w:val="6"/>
  </w:num>
  <w:num w:numId="3" w16cid:durableId="862010787">
    <w:abstractNumId w:val="5"/>
  </w:num>
  <w:num w:numId="4" w16cid:durableId="1086652926">
    <w:abstractNumId w:val="4"/>
  </w:num>
  <w:num w:numId="5" w16cid:durableId="906762189">
    <w:abstractNumId w:val="7"/>
  </w:num>
  <w:num w:numId="6" w16cid:durableId="873619571">
    <w:abstractNumId w:val="3"/>
  </w:num>
  <w:num w:numId="7" w16cid:durableId="188765240">
    <w:abstractNumId w:val="2"/>
  </w:num>
  <w:num w:numId="8" w16cid:durableId="668800160">
    <w:abstractNumId w:val="1"/>
  </w:num>
  <w:num w:numId="9" w16cid:durableId="90973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351"/>
    <w:rsid w:val="005429A2"/>
    <w:rsid w:val="00AA1D8D"/>
    <w:rsid w:val="00B47730"/>
    <w:rsid w:val="00C42001"/>
    <w:rsid w:val="00CB0664"/>
    <w:rsid w:val="00D90EAD"/>
    <w:rsid w:val="00F35CA7"/>
    <w:rsid w:val="00F43EA3"/>
    <w:rsid w:val="00FC693F"/>
    <w:rsid w:val="00F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0B08A"/>
  <w14:defaultImageDpi w14:val="300"/>
  <w15:docId w15:val="{343638FE-E5F1-40AC-8D6A-3805E1BA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Hadi</cp:lastModifiedBy>
  <cp:revision>4</cp:revision>
  <cp:lastPrinted>2026-10-19T08:20:00Z</cp:lastPrinted>
  <dcterms:created xsi:type="dcterms:W3CDTF">2013-12-23T23:15:00Z</dcterms:created>
  <dcterms:modified xsi:type="dcterms:W3CDTF">2026-10-19T08:37:00Z</dcterms:modified>
  <cp:category/>
</cp:coreProperties>
</file>