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SourceCode"/>
      </w:pPr>
      <w:r>
        <w:rPr>
          <w:rStyle w:val="VerbatimChar"/>
        </w:rPr>
        <w:t xml:space="preserve">## Warning: package 'pacman' was built under R version 3.3.3</w:t>
      </w:r>
    </w:p>
    <w:p>
      <w:pPr>
        <w:pStyle w:val="FirstParagraph"/>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While at higher baseline risk, an unchanged relative reduction would always correspond to a larger absolute reduction in the outcome, this should not be misinterpreted as baseline risk explaining effect differences</w:t>
      </w:r>
      <w:r>
        <w:rPr>
          <w:vertAlign w:val="superscript"/>
        </w:rPr>
        <w:t xml:space="preserve">4</w:t>
      </w:r>
      <w:r>
        <w:t xml:space="preserve">. A third approach to control for baseline risk in meta-analysis of continuous outcomes is hence to pool the</w:t>
      </w:r>
      <w:r>
        <w:t xml:space="preserve"> </w:t>
      </w:r>
      <w:r>
        <w:rPr>
          <w:i/>
        </w:rPr>
        <w:t xml:space="preserve">ratio of (geometric) means</w:t>
      </w:r>
      <w:r>
        <w:t xml:space="preserve"> </w:t>
      </w:r>
      <w:r>
        <w:t xml:space="preserve">(RoM)</w:t>
      </w:r>
      <w:r>
        <w:rPr>
          <w:vertAlign w:val="superscript"/>
        </w:rPr>
        <w:t xml:space="preserve">9</w:t>
      </w:r>
      <w:r>
        <w:t xml:space="preserve">. The geometric mean is the n</w:t>
      </w:r>
      <w:r>
        <w:rPr>
          <w:vertAlign w:val="superscript"/>
        </w:rPr>
        <w:t xml:space="preserve">th</w:t>
      </w:r>
      <w:r>
        <w:t xml:space="preserve"> </w:t>
      </w:r>
      <w:r>
        <w:t xml:space="preserve">root of the product of n values. Figure 3 offers graphical intuition about the</w:t>
      </w:r>
      <w:r>
        <w:t xml:space="preserve"> </w:t>
      </w:r>
      <w:r>
        <w:rPr>
          <w:i/>
        </w:rPr>
        <w:t xml:space="preserve">ratio of (geometric) means</w:t>
      </w:r>
      <w:r>
        <w:t xml:space="preserve"> </w:t>
      </w:r>
      <w:r>
        <w:t xml:space="preserve">(RoM) and its use to explore between-study heterogeneity in meta-regression for evidence synthesis.</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the RoM as a</w:t>
      </w:r>
      <w:r>
        <w:t xml:space="preserve"> </w:t>
      </w:r>
      <w:r>
        <w:rPr>
          <w:i/>
        </w:rPr>
        <w:t xml:space="preserve">relative</w:t>
      </w:r>
      <w:r>
        <w:t xml:space="preserve"> </w:t>
      </w:r>
      <w:r>
        <w:t xml:space="preserve">outcome measure</w:t>
      </w:r>
      <w:r>
        <w:rPr>
          <w:vertAlign w:val="superscript"/>
        </w:rPr>
        <w:t xml:space="preserve">4</w:t>
      </w:r>
      <w:r>
        <w:t xml:space="preserve">. The RoM involves a</w:t>
      </w:r>
      <w:r>
        <w:t xml:space="preserve"> </w:t>
      </w:r>
      <w:r>
        <w:rPr>
          <w:i/>
        </w:rPr>
        <w:t xml:space="preserve">logarithmic</w:t>
      </w:r>
      <w:r>
        <w:t xml:space="preserve"> </w:t>
      </w:r>
      <w:r>
        <w:t xml:space="preserve">transformation, as we plotted the means in the experimental versus the control group for each study on the logarithmic scale. We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RoM,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RoM could not explain between study variability (by reducing heterogeneity). The conclusion from the l'Abbe plot and our meta-regression is that baseline risk does not explain between-study differences in mean morphine reductions, when outcomes are expressed as a RoM.</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Heading3"/>
      </w:pPr>
      <w:bookmarkStart w:id="32" w:name="figure-1-caption"/>
      <w:bookmarkEnd w:id="32"/>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3" w:name="figure-2"/>
      <w:bookmarkEnd w:id="33"/>
      <w:r>
        <w:t xml:space="preserve">Figure 2</w:t>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5" w:name="figure-3"/>
      <w:bookmarkEnd w:id="35"/>
      <w:r>
        <w:t xml:space="preserve">Figure 3</w:t>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(geometric) means (R0M),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RoM.</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1f68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8030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2017-09-10T19:22:23Z</dcterms:created>
  <dcterms:modified xsi:type="dcterms:W3CDTF">2017-09-10T19:22:23Z</dcterms:modified>
</cp:coreProperties>
</file>