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acetaminophen for postoperative pain control. In Figure 1, a classical forest plot is shown, ordered by surgical interventions.</w:t>
      </w:r>
      <w:r>
        <w:rPr>
          <w:rStyle w:val="FootnoteReference"/>
        </w:rPr>
        <w:footnoteReference w:id="28"/>
      </w:r>
      <w:r>
        <w:t xml:space="preserve"> </w:t>
      </w:r>
      <w:r>
        <w:t xml:space="preserve">The 25 RCTs have different effect sizes; the results are inconsistent, sometimes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8">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9">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0">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1">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w:t>
      </w:r>
      <w:r>
        <w:t xml:space="preserve">The figure was generated with the Cochrane Collaboration software RevMan</w:t>
      </w:r>
      <w:r>
        <w:rPr>
          <w:vertAlign w:val="superscript"/>
        </w:rPr>
        <w:t xml:space="preserve">5</w:t>
      </w:r>
      <w:r>
        <w:t xml:space="preserve">.</w:t>
      </w:r>
    </w:p>
  </w:footnote>
  <w:footnote w:id="29">
    <w:p>
      <w:pPr>
        <w:pStyle w:val="FootnoteText"/>
      </w:pPr>
      <w:r>
        <w:rPr>
          <w:rStyle w:val="FootnoteReference"/>
        </w:rPr>
        <w:footnoteRef/>
      </w:r>
      <w:r>
        <w:t xml:space="preserve"> </w:t>
      </w:r>
      <w:r>
        <w:t xml:space="preserve">This figure was generated by a R</w:t>
      </w:r>
      <w:r>
        <w:rPr>
          <w:vertAlign w:val="superscript"/>
        </w:rPr>
        <w:t xml:space="preserve">6</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c87a4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9c20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2017-05-31T16:39:34Z</dcterms:created>
  <dcterms:modified xsi:type="dcterms:W3CDTF">2017-05-31T16:39:34Z</dcterms:modified>
</cp:coreProperties>
</file>