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w:t>
      </w:r>
      <w:r>
        <w:rPr>
          <w:vertAlign w:val="superscript"/>
        </w:rPr>
        <w:t xml:space="preserve">4</w:t>
      </w:r>
      <w:r>
        <w:t xml:space="preserve">. The figure was produced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Heading3"/>
      </w:pPr>
      <w:bookmarkStart w:id="30" w:name="figure-1-caption"/>
      <w:bookmarkEnd w:id="30"/>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4" w:name="references"/>
      <w:bookmarkEnd w:id="34"/>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5">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6">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7">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38">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39">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af728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4cf7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39" Target="http://doi.wiley.com/10.1002/sim.5539" TargetMode="External" /><Relationship Type="http://schemas.openxmlformats.org/officeDocument/2006/relationships/hyperlink" Id="rId37" Target="http://journals.sagepub.com/doi/10.1177/096228020101000404 http://www.ncbi.nlm.nih.gov/pubmed/11491414" TargetMode="External" /><Relationship Type="http://schemas.openxmlformats.org/officeDocument/2006/relationships/hyperlink" Id="rId38" Target="http://www.R-project.org" TargetMode="External" /><Relationship Type="http://schemas.openxmlformats.org/officeDocument/2006/relationships/hyperlink" Id="rId35" Target="http://www.R-project.org/" TargetMode="External" /><Relationship Type="http://schemas.openxmlformats.org/officeDocument/2006/relationships/hyperlink" Id="rId36"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2017-05-04T22:04:43Z</dcterms:created>
  <dcterms:modified xsi:type="dcterms:W3CDTF">2017-05-04T22:04:43Z</dcterms:modified>
</cp:coreProperties>
</file>