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 (Doleman 2017)</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 specific pain control.</w:t>
      </w:r>
    </w:p>
    <w:p>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 specific pain control (Kehlet 2007):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to base clinical decision on for a particular patient population undergoing a particular procedure. For example, on thyroidectomy Doleman et al. found only one single RCT investigating the effect of intravenous acetaminophen. This poses a significant challenge to any evidence based approach to procedure specific postoperative pain management.</w:t>
      </w:r>
    </w:p>
    <w:p>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 (Sutton citations)</w:t>
      </w:r>
      <w:r>
        <w:rPr>
          <w:vertAlign w:val="superscript"/>
        </w:rPr>
        <w:t xml:space="preserve">2</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 (Higgins 2011). The figure was produced with the Cochrane Collaboration software RevMan (RevMan 2014). The 25 RCTs have different effect sizes; the results are inconsistent, varying widely even within the same surgery.</w:t>
      </w:r>
    </w:p>
    <w:p>
      <w:pPr>
        <w:pStyle w:val="BodyText"/>
      </w:pPr>
      <w:r>
        <w:t xml:space="preserve">In Figure 2, a schematic of the acetaminophen subplot of Figure 2 is rendered in the statistical software R (R Core Team 2013)</w:t>
      </w:r>
      <w:r>
        <w:rPr>
          <w:vertAlign w:val="superscript"/>
        </w:rPr>
        <w:t xml:space="preserve">3</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such studies are far apart on the y-axis. By contrast, studies line up neatly around the regression line, morphine reduction regressed on baseline risk. The conclusion is that a meta-regression controlling for baseline morphine consumption in the control group is superior to stratification by surgery in explaining between study variance in results.</w:t>
      </w:r>
    </w:p>
    <w:p>
      <w:pPr>
        <w:pStyle w:val="BodyText"/>
      </w:pPr>
      <w:r>
        <w:t xml:space="preserve">Doleman et al. proposes that this is true for all analgesic adjuvants across all populations, for all surgical interventions, as shown in the other subplots of Doleman’s Figure 2. This contradicts the dominant paradigm of procedure specific postoperative pain control. What is more, Doleman et al also proposes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pPr>
        <w:pStyle w:val="BodyText"/>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 (Achana 2013)</w:t>
      </w:r>
      <w:r>
        <w:rPr>
          <w:vertAlign w:val="superscript"/>
        </w:rPr>
        <w:t xml:space="preserve">4</w:t>
      </w:r>
      <w:r>
        <w:t xml:space="preserve">, they speculated that baseline risk might better explain variability. Baseline risk for pain may modify the treatment effect of analgesic adjuvants as a proxy for unmeasured patient-level characteristics (Achana 2013)</w:t>
      </w:r>
      <w:r>
        <w:rPr>
          <w:vertAlign w:val="superscript"/>
        </w:rPr>
        <w:t xml:space="preserve">4</w:t>
      </w:r>
      <w:r>
        <w:t xml:space="preserve">.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p>
    <w:p>
      <w:pPr>
        <w:pStyle w:val="Compact"/>
        <w:numPr>
          <w:numId w:val="1001"/>
          <w:ilvl w:val="0"/>
        </w:numPr>
      </w:pPr>
      <w:r>
        <w:t xml:space="preserve">The patient mix in the acetaminophen studies appears to be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Heading3"/>
      </w:pPr>
      <w:bookmarkStart w:id="30" w:name="figure-1-caption"/>
      <w:bookmarkEnd w:id="30"/>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colour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4" w:name="references"/>
      <w:bookmarkEnd w:id="34"/>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5">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Sutton AJ, Abrams KR. Bayesian methods in meta-analysis and evidence synthesis. Statistical methods in medical research 2001;10:277–303. Available at:</w:t>
      </w:r>
      <w:r>
        <w:t xml:space="preserve"> </w:t>
      </w:r>
      <w:hyperlink r:id="rId36">
        <w:r>
          <w:rPr>
            <w:rStyle w:val="Hyperlink"/>
          </w:rPr>
          <w:t xml:space="preserve">http://journals.sagepub.com/doi/10.1177/096228020101000404 http://www.ncbi.nlm.nih.gov/pubmed/11491414</w:t>
        </w:r>
      </w:hyperlink>
      <w:r>
        <w:t xml:space="preserve">.</w:t>
      </w:r>
    </w:p>
    <w:p>
      <w:pPr>
        <w:pStyle w:val="Bibliography"/>
      </w:pPr>
      <w:r>
        <w:t xml:space="preserve">3. R Core Team. R: A language and environment for statistical computing. Vienna, Austria: R Foundation for Statistical Computing, 2013. Available at:</w:t>
      </w:r>
      <w:r>
        <w:t xml:space="preserve"> </w:t>
      </w:r>
      <w:hyperlink r:id="rId37">
        <w:r>
          <w:rPr>
            <w:rStyle w:val="Hyperlink"/>
          </w:rPr>
          <w:t xml:space="preserve">http://www.R-project.org</w:t>
        </w:r>
      </w:hyperlink>
      <w:r>
        <w:t xml:space="preserve">.</w:t>
      </w:r>
    </w:p>
    <w:p>
      <w:pPr>
        <w:pStyle w:val="Bibliography"/>
      </w:pPr>
      <w:r>
        <w:t xml:space="preserve">4.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3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616e9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44c5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8" Target="http://doi.wiley.com/10.1002/sim.5539" TargetMode="External" /><Relationship Type="http://schemas.openxmlformats.org/officeDocument/2006/relationships/hyperlink" Id="rId36" Target="http://journals.sagepub.com/doi/10.1177/096228020101000404 http://www.ncbi.nlm.nih.gov/pubmed/11491414" TargetMode="External" /><Relationship Type="http://schemas.openxmlformats.org/officeDocument/2006/relationships/hyperlink" Id="rId37" Target="http://www.R-project.org" TargetMode="External" /><Relationship Type="http://schemas.openxmlformats.org/officeDocument/2006/relationships/hyperlink" Id="rId35" Target="http://www.R-project.org/"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38" Target="http://doi.wiley.com/10.1002/sim.5539" TargetMode="External" /><Relationship Type="http://schemas.openxmlformats.org/officeDocument/2006/relationships/hyperlink" Id="rId36" Target="http://journals.sagepub.com/doi/10.1177/096228020101000404 http://www.ncbi.nlm.nih.gov/pubmed/11491414" TargetMode="External" /><Relationship Type="http://schemas.openxmlformats.org/officeDocument/2006/relationships/hyperlink" Id="rId37" Target="http://www.R-project.org" TargetMode="External" /><Relationship Type="http://schemas.openxmlformats.org/officeDocument/2006/relationships/hyperlink" Id="rId35" Target="http://www.R-project.org/"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2017-05-02T21:15:42Z</dcterms:created>
  <dcterms:modified xsi:type="dcterms:W3CDTF">2017-05-02T21:15:42Z</dcterms:modified>
</cp:coreProperties>
</file>