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This poses a significant challenge to any evidence-based approach to procedure-specific postoperative pain management.</w:t>
      </w:r>
    </w:p>
    <w:p>
      <w:pPr>
        <w:pStyle w:val="BodyText"/>
      </w:pPr>
      <w:r>
        <w:t xml:space="preserve">For studies investigating adjuvants for improved postoperative pain control, the effect estimate is the mean difference in morphine dose between those receiving and those not receiving the adjuvant. The mean dose of those not receiving the adjuvant can be considered to be the baseline risk for pain. Doleman et al.</w:t>
      </w:r>
      <w:r>
        <w:rPr>
          <w:vertAlign w:val="superscript"/>
        </w:rPr>
        <w:t xml:space="preserve">1</w:t>
      </w:r>
      <w:r>
        <w:t xml:space="preserve"> </w:t>
      </w:r>
      <w:r>
        <w:t xml:space="preserve">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w:t>
      </w:r>
      <w:r>
        <w:rPr>
          <w:vertAlign w:val="superscript"/>
        </w:rPr>
        <w:t xml:space="preserve">1</w:t>
      </w:r>
      <w:r>
        <w:t xml:space="preserve"> </w:t>
      </w:r>
      <w:r>
        <w:t xml:space="preserve">found 25 RCTs investigating intravenous acetaminophen for postoperative pain control. In Figure 1, a classical forest plot is shown, ordered by surgical interventions.</w:t>
      </w:r>
      <w:r>
        <w:rPr>
          <w:rStyle w:val="FootnoteReference"/>
        </w:rPr>
        <w:footnoteReference w:id="28"/>
      </w:r>
      <w:r>
        <w:t xml:space="preserve"> </w:t>
      </w:r>
      <w:r>
        <w:t xml:space="preserve">The 25 RCTs have different effect sizes; the results are inconsistent, varying widely even within the same surgery.</w:t>
      </w:r>
    </w:p>
    <w:p>
      <w:pPr>
        <w:pStyle w:val="BodyText"/>
      </w:pPr>
      <w:r>
        <w:t xml:space="preserve">In Figure 2, a schematic of the acetaminophen subplot of Doleman's Figure 2</w:t>
      </w:r>
      <w:r>
        <w:rPr>
          <w:vertAlign w:val="superscript"/>
        </w:rPr>
        <w:t xml:space="preserve">1</w:t>
      </w:r>
      <w:r>
        <w:t xml:space="preserve"> </w:t>
      </w:r>
      <w:r>
        <w:t xml:space="preserve">is rendered.</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w:t>
      </w:r>
      <w:r>
        <w:rPr>
          <w:vertAlign w:val="superscript"/>
        </w:rPr>
        <w:t xml:space="preserve">1</w:t>
      </w:r>
      <w:r>
        <w:t xml:space="preserve"> </w:t>
      </w:r>
      <w:r>
        <w:t xml:space="preserve">propose that this is true for all analgesic adjuvants across all populations, for all surgical interventions, as shown in the other subplots of Doleman’s Figure 2</w:t>
      </w:r>
      <w:r>
        <w:rPr>
          <w:vertAlign w:val="superscript"/>
        </w:rPr>
        <w:t xml:space="preserve">1</w:t>
      </w:r>
      <w:r>
        <w:t xml:space="preserve">. This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 xml:space="preserve">1</w:t>
      </w:r>
      <w:r>
        <w:t xml:space="preserve"> </w:t>
      </w:r>
      <w:r>
        <w:t xml:space="preserve">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all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8">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9">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40">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1">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4</w:t>
      </w:r>
      <w:r>
        <w:t xml:space="preserve"> </w:t>
      </w:r>
      <w:r>
        <w:t xml:space="preserve">The figure was generated with the Cochrane Collaboration software RevMan</w:t>
      </w:r>
      <w:r>
        <w:rPr>
          <w:vertAlign w:val="superscript"/>
        </w:rPr>
        <w:t xml:space="preserve">5</w:t>
      </w:r>
      <w:r>
        <w:t xml:space="preserve">.</w:t>
      </w:r>
    </w:p>
  </w:footnote>
  <w:footnote w:id="29">
    <w:p>
      <w:pPr>
        <w:pStyle w:val="FootnoteText"/>
      </w:pPr>
      <w:r>
        <w:rPr>
          <w:rStyle w:val="FootnoteReference"/>
        </w:rPr>
        <w:footnoteRef/>
      </w:r>
      <w:r>
        <w:t xml:space="preserve"> </w:t>
      </w:r>
      <w:r>
        <w:t xml:space="preserve">This figure was generated by a R</w:t>
      </w:r>
      <w:r>
        <w:rPr>
          <w:vertAlign w:val="superscript"/>
        </w:rPr>
        <w:t xml:space="preserve">6</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2cd8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ac90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2017-05-15T17:41:58Z</dcterms:created>
  <dcterms:modified xsi:type="dcterms:W3CDTF">2017-05-15T17:41:58Z</dcterms:modified>
</cp:coreProperties>
</file>