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gif" ContentType="image/gif"/>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FirstParagraph"/>
      </w:pPr>
      <w:r>
        <w:rPr>
          <w:b/>
        </w:rPr>
        <w:t xml:space="preserve">Number of words in this Editorial (1598), Figures (2)</w:t>
      </w:r>
    </w:p>
    <w:p>
      <w:pPr>
        <w:pStyle w:val="Heading5"/>
      </w:pPr>
      <w:bookmarkStart w:id="26" w:name="keywords"/>
      <w:bookmarkEnd w:id="26"/>
      <w:r>
        <w:t xml:space="preserve">Keywords:</w:t>
      </w:r>
    </w:p>
    <w:p>
      <w:pPr>
        <w:pStyle w:val="FirstParagraph"/>
      </w:pPr>
      <w:r>
        <w:t xml:space="preserve">analgesic adjuvants, postoperative pain, evidence synthesis, meta-regression, Bayesian statistics</w:t>
      </w:r>
    </w:p>
    <w:p>
      <w:pPr>
        <w:pStyle w:val="BodyText"/>
      </w:pPr>
    </w:p>
    <w:p>
      <w:pPr>
        <w:pStyle w:val="BodyText"/>
      </w:pPr>
    </w:p>
    <w:p>
      <w:pPr>
        <w:pStyle w:val="Heading1"/>
      </w:pPr>
      <w:bookmarkStart w:id="27" w:name="editorial-text"/>
      <w:bookmarkEnd w:id="27"/>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 yield varying estimates of the clinical effectiveness of analgesic adjuvants. RCTs results,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Some variability in outcome estimates from RCTs investigating the same intervention in the similar population is to be expected. Each RCT recruits patients by a convenience sample; it is not a random sample of the entire population who might receive the adjuvant. By pure chance alone, each RCT has a chance to over- or to under estimate the effect of an intervention. Also, larger and smaller studies will lead to more or less precise estimates of effect of interventions. Meta-analysis pools available RCTs to synthesize the evidence and to increase the precision of effect estimates. This may reduce the uncertainty in the face of seemingly contradictory results. However, if the heterogeneity of the RCTs is very large (too inconsistent and disparate), then these summary statistics may be inappropriate and are frequently described as mixing apples and oranges. Excessive between-study heterogeneity in meta-analysis raises concerns that the included studies are clinically and methodologically too different, making pooling all identified RCTs unreasonable.</w:t>
      </w:r>
    </w:p>
    <w:p>
      <w:pPr>
        <w:pStyle w:val="BodyText"/>
      </w:pPr>
      <w:r>
        <w:t xml:space="preserve">To explain why RCTs yield contradictory results, we can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2</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This poses a significant challenge to any evidence-based approach to procedure-specific postoperative pain management.</w:t>
      </w:r>
    </w:p>
    <w:p>
      <w:pPr>
        <w:pStyle w:val="BodyText"/>
      </w:pPr>
      <w:r>
        <w:t xml:space="preserve">For studies investigating adjuvants for improved postoperative pain control, the effect estimate is the mean difference in morphine dose between those receiving and those not receiving the adjuvant. The mean dose of those not receiving the adjuvant can be considered to be the baseline risk for pain. Doleman et al.</w:t>
      </w:r>
      <w:r>
        <w:rPr>
          <w:vertAlign w:val="superscript"/>
        </w:rPr>
        <w:t xml:space="preserve">1</w:t>
      </w:r>
      <w:r>
        <w:t xml:space="preserve"> </w:t>
      </w:r>
      <w:r>
        <w:t xml:space="preserve">used Bayesian hierarchical meta-regression modeling adapted to requirements of such evidence synthesis</w:t>
      </w:r>
      <w:r>
        <w:rPr>
          <w:vertAlign w:val="superscript"/>
        </w:rPr>
        <w:t xml:space="preserve">3</w:t>
      </w:r>
      <w:r>
        <w:t xml:space="preserve">. They demonstrated that surgical procedure is not the main predictor of between-study variability in effect estimates for analgesic adjuvants to control postoperative pain, but baseline risk is. Restated,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Doleman et al.</w:t>
      </w:r>
      <w:r>
        <w:rPr>
          <w:vertAlign w:val="superscript"/>
        </w:rPr>
        <w:t xml:space="preserve">1</w:t>
      </w:r>
      <w:r>
        <w:t xml:space="preserve"> </w:t>
      </w:r>
      <w:r>
        <w:t xml:space="preserve">found 25 RCTs investigating intravenous acetaminophen for postoperative pain control. In Figure 1, a classical forest plot is shown, ordered by surgical interventions.</w:t>
      </w:r>
      <w:r>
        <w:rPr>
          <w:rStyle w:val="FootnoteReference"/>
        </w:rPr>
        <w:footnoteReference w:id="28"/>
      </w:r>
      <w:r>
        <w:t xml:space="preserve"> </w:t>
      </w:r>
      <w:r>
        <w:t xml:space="preserve">The 25 RCTs have different effect sizes; the results are inconsistent, varying widely even within the same surgery.</w:t>
      </w:r>
    </w:p>
    <w:p>
      <w:pPr>
        <w:pStyle w:val="BodyText"/>
      </w:pPr>
      <w:r>
        <w:t xml:space="preserve">In Figure 2, a schematic of the acetaminophen subplot of Doleman's Figure 2</w:t>
      </w:r>
      <w:r>
        <w:rPr>
          <w:vertAlign w:val="superscript"/>
        </w:rPr>
        <w:t xml:space="preserve">1</w:t>
      </w:r>
      <w:r>
        <w:t xml:space="preserve"> </w:t>
      </w:r>
      <w:r>
        <w:t xml:space="preserve">is rendered.</w:t>
      </w:r>
      <w:r>
        <w:rPr>
          <w:rStyle w:val="FootnoteReference"/>
        </w:rPr>
        <w:footnoteReference w:id="29"/>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are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The conclusion is that a meta-regression controlling for baseline morphine consumption in the control group is superior to stratification by surgery in explaining between study variance in results.</w:t>
      </w:r>
    </w:p>
    <w:p>
      <w:pPr>
        <w:pStyle w:val="BodyText"/>
      </w:pPr>
      <w:r>
        <w:t xml:space="preserve">Doleman et al.</w:t>
      </w:r>
      <w:r>
        <w:rPr>
          <w:vertAlign w:val="superscript"/>
        </w:rPr>
        <w:t xml:space="preserve">1</w:t>
      </w:r>
      <w:r>
        <w:t xml:space="preserve"> </w:t>
      </w:r>
      <w:r>
        <w:t xml:space="preserve">propose that this is true for all analgesic adjuvants across all populations, for all surgical interventions, as shown in the other subplots of Doleman’s Figure 2</w:t>
      </w:r>
      <w:r>
        <w:rPr>
          <w:vertAlign w:val="superscript"/>
        </w:rPr>
        <w:t xml:space="preserve">1</w:t>
      </w:r>
      <w:r>
        <w:t xml:space="preserve">. This contradicts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w:t>
      </w:r>
    </w:p>
    <w:p>
      <w:pPr>
        <w:pStyle w:val="BodyText"/>
      </w:pPr>
      <w:r>
        <w:t xml:space="preserve">Doleman et al.</w:t>
      </w:r>
      <w:r>
        <w:rPr>
          <w:vertAlign w:val="superscript"/>
        </w:rPr>
        <w:t xml:space="preserve">1</w:t>
      </w:r>
      <w:r>
        <w:t xml:space="preserve"> </w:t>
      </w:r>
      <w:r>
        <w:t xml:space="preserve">fit both a classical model and a Bayesian model that differs from the classical approach (also known as frequentist statistics). The Bayesian approach incorporates prior information and combines it with the newly observed data, much like a physician would in clinical practice. Both frequentist and Bayesian statistical models are based on subjective assumptions; the model choice itself is often more important for correct inferences. In both types of modeling, the analyst should explore the sensitivity of results and inferences to assumptions and model choices. In an available supplement, Doleman et al.</w:t>
      </w:r>
      <w:r>
        <w:rPr>
          <w:vertAlign w:val="superscript"/>
        </w:rPr>
        <w:t xml:space="preserve">1</w:t>
      </w:r>
      <w:r>
        <w:t xml:space="preserve"> </w:t>
      </w:r>
      <w:r>
        <w:t xml:space="preserve">provided software code, data and model details. They used very weak prior assumptions and in their sensitivity analysis found their results to be robust. They made their Bayesian approach transparent, sound and trustworthy.</w:t>
      </w:r>
    </w:p>
    <w:p>
      <w:pPr>
        <w:pStyle w:val="BodyText"/>
      </w:pPr>
      <w:r>
        <w:t xml:space="preserve">Based on their previous work</w:t>
      </w:r>
      <w:r>
        <w:rPr>
          <w:vertAlign w:val="superscript"/>
        </w:rPr>
        <w:t xml:space="preserve">7</w:t>
      </w:r>
      <w:r>
        <w:t xml:space="preserve">, they speculated that baseline risk might better explain variability. Baseline risk for pain may modify the treatment effect of analgesic adjuvants as a proxy for unmeasured patient-level characteristics</w:t>
      </w:r>
      <w:r>
        <w:rPr>
          <w:vertAlign w:val="superscript"/>
        </w:rPr>
        <w:t xml:space="preserve">7</w:t>
      </w:r>
      <w:r>
        <w:t xml:space="preserve">. Their conjecture is supported by their meta 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ex post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pars pro toto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novel Bayesian meta-regression approaches to support clinical decision making.</w:t>
      </w:r>
    </w:p>
    <w:p>
      <w:pPr>
        <w:pStyle w:val="Heading1"/>
      </w:pPr>
      <w:bookmarkStart w:id="30" w:name="figures"/>
      <w:bookmarkEnd w:id="30"/>
      <w:r>
        <w:t xml:space="preserve">Figures</w:t>
      </w:r>
    </w:p>
    <w:p>
      <w:pPr>
        <w:pStyle w:val="Heading2"/>
      </w:pPr>
      <w:bookmarkStart w:id="31" w:name="figure-1"/>
      <w:bookmarkEnd w:id="31"/>
      <w:r>
        <w:t xml:space="preserve">Figure 1</w:t>
      </w:r>
    </w:p>
    <w:p>
      <w:pPr>
        <w:pStyle w:val="FigureWithCaption"/>
      </w:pPr>
      <w:r>
        <w:drawing>
          <wp:inline>
            <wp:extent cx="5943600" cy="5343926"/>
            <wp:effectExtent b="0" l="0" r="0" t="0"/>
            <wp:docPr descr="Figure 1" id="1" name="Picture"/>
            <a:graphic>
              <a:graphicData uri="http://schemas.openxmlformats.org/drawingml/2006/picture">
                <pic:pic>
                  <pic:nvPicPr>
                    <pic:cNvPr descr="./Figs/AcetaminophenForestPlot.gif" id="0" name="Picture"/>
                    <pic:cNvPicPr>
                      <a:picLocks noChangeArrowheads="1" noChangeAspect="1"/>
                    </pic:cNvPicPr>
                  </pic:nvPicPr>
                  <pic:blipFill>
                    <a:blip r:embed="rId32"/>
                    <a:stretch>
                      <a:fillRect/>
                    </a:stretch>
                  </pic:blipFill>
                  <pic:spPr bwMode="auto">
                    <a:xfrm>
                      <a:off x="0" y="0"/>
                      <a:ext cx="5943600" cy="5343926"/>
                    </a:xfrm>
                    <a:prstGeom prst="rect">
                      <a:avLst/>
                    </a:prstGeom>
                    <a:noFill/>
                    <a:ln w="9525">
                      <a:noFill/>
                      <a:headEnd/>
                      <a:tailEnd/>
                    </a:ln>
                  </pic:spPr>
                </pic:pic>
              </a:graphicData>
            </a:graphic>
          </wp:inline>
        </w:drawing>
      </w:r>
    </w:p>
    <w:p>
      <w:pPr>
        <w:pStyle w:val="ImageCaption"/>
      </w:pPr>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FirstParagraph"/>
      </w:pPr>
      <w:r>
        <w:drawing>
          <wp:inline>
            <wp:extent cx="5943600" cy="2971800"/>
            <wp:effectExtent b="0" l="0" r="0" t="0"/>
            <wp:docPr descr="" id="1" name="Picture"/>
            <a:graphic>
              <a:graphicData uri="http://schemas.openxmlformats.org/drawingml/2006/picture">
                <pic:pic>
                  <pic:nvPicPr>
                    <pic:cNvPr descr="Figs/DraftFigure-1.png" id="0" name="Picture"/>
                    <pic:cNvPicPr>
                      <a:picLocks noChangeArrowheads="1" noChangeAspect="1"/>
                    </pic:cNvPicPr>
                  </pic:nvPicPr>
                  <pic:blipFill>
                    <a:blip r:embed="rId35"/>
                    <a:stretch>
                      <a:fillRect/>
                    </a:stretch>
                  </pic:blipFill>
                  <pic:spPr bwMode="auto">
                    <a:xfrm>
                      <a:off x="0" y="0"/>
                      <a:ext cx="5943600" cy="2971800"/>
                    </a:xfrm>
                    <a:prstGeom prst="rect">
                      <a:avLst/>
                    </a:prstGeom>
                    <a:noFill/>
                    <a:ln w="9525">
                      <a:noFill/>
                      <a:headEnd/>
                      <a:tailEnd/>
                    </a:ln>
                  </pic:spPr>
                </pic:pic>
              </a:graphicData>
            </a:graphic>
          </wp:inline>
        </w:drawing>
      </w:r>
    </w:p>
    <w:p>
      <w:pPr>
        <w:pStyle w:val="Heading3"/>
      </w:pPr>
      <w:bookmarkStart w:id="36" w:name="figure-2-caption"/>
      <w:bookmarkEnd w:id="36"/>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all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1"/>
      </w:pPr>
      <w:bookmarkStart w:id="37" w:name="references"/>
      <w:bookmarkEnd w:id="37"/>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Kehlet H, Wilkinson RC, Fischer HBJ, Camu F, Prospect Working Group. PROSPECT: evidence-based, procedure-specific postoperative pain management. Best practice &amp; research Clinical anaesthesiology 2007;21:149–59. Available at:</w:t>
      </w:r>
      <w:r>
        <w:t xml:space="preserve"> </w:t>
      </w:r>
      <w:hyperlink r:id="rId38">
        <w:r>
          <w:rPr>
            <w:rStyle w:val="Hyperlink"/>
          </w:rPr>
          <w:t xml:space="preserve">http://www.ncbi.nlm.nih.gov/pubmed/17489225</w:t>
        </w:r>
      </w:hyperlink>
      <w:r>
        <w:t xml:space="preserve">.</w:t>
      </w:r>
    </w:p>
    <w:p>
      <w:pPr>
        <w:pStyle w:val="Bibliography"/>
      </w:pPr>
      <w:r>
        <w:t xml:space="preserve">3. Sutton AJ, Abrams KR. Bayesian methods in meta-analysis and evidence synthesis. Statistical methods in medical research 2001;10:277–303. Available at:</w:t>
      </w:r>
      <w:r>
        <w:t xml:space="preserve"> </w:t>
      </w:r>
      <w:hyperlink r:id="rId39">
        <w:r>
          <w:rPr>
            <w:rStyle w:val="Hyperlink"/>
          </w:rPr>
          <w:t xml:space="preserve">http://journals.sagepub.com/doi/10.1177/096228020101000404 http://www.ncbi.nlm.nih.gov/pubmed/11491414</w:t>
        </w:r>
      </w:hyperlink>
      <w:r>
        <w:t xml:space="preserve">.</w:t>
      </w:r>
    </w:p>
    <w:p>
      <w:pPr>
        <w:pStyle w:val="Bibliography"/>
      </w:pPr>
      <w:r>
        <w:t xml:space="preserve">4.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5. Review manager (RevMan) [Computer program]. Version 5.3. Copenhagen: The Nordic Cochrane Centre, The Cochrane Collaboration, 2014.</w:t>
      </w:r>
    </w:p>
    <w:p>
      <w:pPr>
        <w:pStyle w:val="Bibliography"/>
      </w:pPr>
      <w:r>
        <w:t xml:space="preserve">6. R Core Team. R: A language and environment for statistical computing. Vienna, Austria: R Foundation for Statistical Computing, 2013. Available at:</w:t>
      </w:r>
      <w:r>
        <w:t xml:space="preserve"> </w:t>
      </w:r>
      <w:hyperlink r:id="rId40">
        <w:r>
          <w:rPr>
            <w:rStyle w:val="Hyperlink"/>
          </w:rPr>
          <w:t xml:space="preserve">http://www.R-project.org</w:t>
        </w:r>
      </w:hyperlink>
      <w:r>
        <w:t xml:space="preserve">.</w:t>
      </w:r>
    </w:p>
    <w:p>
      <w:pPr>
        <w:pStyle w:val="Bibliography"/>
      </w:pPr>
      <w:r>
        <w:t xml:space="preserve">7.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1">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4</w:t>
      </w:r>
      <w:r>
        <w:t xml:space="preserve"> </w:t>
      </w:r>
      <w:r>
        <w:t xml:space="preserve">The figure was generated with the Cochrane Collaboration software RevMan</w:t>
      </w:r>
      <w:r>
        <w:rPr>
          <w:vertAlign w:val="superscript"/>
        </w:rPr>
        <w:t xml:space="preserve">5</w:t>
      </w:r>
      <w:r>
        <w:t xml:space="preserve">.</w:t>
      </w:r>
    </w:p>
  </w:footnote>
  <w:footnote w:id="29">
    <w:p>
      <w:pPr>
        <w:pStyle w:val="FootnoteText"/>
      </w:pPr>
      <w:r>
        <w:rPr>
          <w:rStyle w:val="FootnoteReference"/>
        </w:rPr>
        <w:footnoteRef/>
      </w:r>
      <w:r>
        <w:t xml:space="preserve"> </w:t>
      </w:r>
      <w:r>
        <w:t xml:space="preserve">This figure was generated by a R</w:t>
      </w:r>
      <w:r>
        <w:rPr>
          <w:vertAlign w:val="superscript"/>
        </w:rPr>
        <w:t xml:space="preserve">6</w:t>
      </w:r>
      <w:r>
        <w:t xml:space="preserve"> </w:t>
      </w:r>
      <w:r>
        <w:t xml:space="preserve">statistical software package with data provided by the authors</w:t>
      </w:r>
      <w:r>
        <w:rPr>
          <w:vertAlign w:val="superscript"/>
        </w:rPr>
        <w:t xml:space="preserve">1</w:t>
      </w:r>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8b2c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8a801b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gif" /><Relationship Type="http://schemas.openxmlformats.org/officeDocument/2006/relationships/image" Id="rId35" Target="media/rId35.png" /><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1" Target="http://doi.wiley.com/10.1002/sim.5539" TargetMode="External" /><Relationship Type="http://schemas.openxmlformats.org/officeDocument/2006/relationships/hyperlink" Id="rId39" Target="http://journals.sagepub.com/doi/10.1177/096228020101000404 http://www.ncbi.nlm.nih.gov/pubmed/11491414" TargetMode="External" /><Relationship Type="http://schemas.openxmlformats.org/officeDocument/2006/relationships/hyperlink" Id="rId40" Target="http://www.R-project.org" TargetMode="External" /><Relationship Type="http://schemas.openxmlformats.org/officeDocument/2006/relationships/hyperlink" Id="rId38" Target="http://www.ncbi.nlm.nih.gov/pubmed/17489225"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2017-05-15T18:37:49Z</dcterms:created>
  <dcterms:modified xsi:type="dcterms:W3CDTF">2017-05-15T18:37:49Z</dcterms:modified>
</cp:coreProperties>
</file>