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 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on thyroidectomy Doleman et al. found only one single RCT investigating the effect of intravenous acetaminophen. This poses a significant challenge to any evidence based approach to procedure 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w:t>
      </w:r>
      <w:r>
        <w:rPr>
          <w:vertAlign w:val="superscript"/>
        </w:rPr>
        <w:t xml:space="preserve">4</w:t>
      </w:r>
      <w:r>
        <w:t xml:space="preserve">. The figure was produced with the Cochrane Collaboration software RevMan</w:t>
      </w:r>
      <w:r>
        <w:rPr>
          <w:vertAlign w:val="superscript"/>
        </w:rPr>
        <w:t xml:space="preserve">5</w:t>
      </w:r>
      <w:r>
        <w:t xml:space="preserve">. The 25 RCTs have different effect sizes; the results are inconsistent, varying widely even within the same surgery.</w:t>
      </w:r>
    </w:p>
    <w:p>
      <w:pPr>
        <w:pStyle w:val="BodyText"/>
      </w:pPr>
      <w:r>
        <w:t xml:space="preserve">In Figure 2, a schematic of the acetaminophen subplot of Figure 2 is rendered in the statistical software R</w:t>
      </w:r>
      <w:r>
        <w:rPr>
          <w:vertAlign w:val="superscript"/>
        </w:rPr>
        <w:t xml:space="preserve">6</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proposes that this is true for all analgesic adjuvants across all populations, for all surgical interventions, as shown in the other subplots of Doleman’s Figure 2. This contradicts the dominant paradigm of procedure specific postoperative pain control. What is more, Doleman et al also proposes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Heading3"/>
      </w:pPr>
      <w:bookmarkStart w:id="30" w:name="figure-1-caption"/>
      <w:bookmarkEnd w:id="30"/>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4" w:name="references"/>
      <w:bookmarkEnd w:id="34"/>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5">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6">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7">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38">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39">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95b18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921a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2017-05-03T20:54:25Z</dcterms:created>
  <dcterms:modified xsi:type="dcterms:W3CDTF">2017-05-03T20:54:25Z</dcterms:modified>
</cp:coreProperties>
</file>