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DD" w:rsidRDefault="00DB1462">
      <w:pPr>
        <w:pStyle w:val="Title"/>
      </w:pPr>
      <w:r>
        <w:t>Text Messaging for Assessment of Postoperative Nausea and Vomiting after Discharge Compared to a Nurse-led Phone Call a Feasibility Study</w:t>
      </w:r>
    </w:p>
    <w:p w:rsidR="002D37DD" w:rsidRDefault="002D37DD">
      <w:pPr>
        <w:pStyle w:val="FirstParagraph"/>
      </w:pPr>
    </w:p>
    <w:p w:rsidR="002D37DD" w:rsidRDefault="00DB1462">
      <w:pPr>
        <w:pStyle w:val="Heading5"/>
      </w:pPr>
      <w:bookmarkStart w:id="0" w:name="authors"/>
      <w:bookmarkEnd w:id="0"/>
      <w:r>
        <w:t>Authors</w:t>
      </w:r>
    </w:p>
    <w:p w:rsidR="002D37DD" w:rsidRDefault="00DB1462">
      <w:pPr>
        <w:pStyle w:val="FirstParagraph"/>
      </w:pPr>
      <w:r>
        <w:t>Michael H. Andreae, M.D., Department of Anesthesiology, Penn State Health Milton S. Hershey Medical Center, Penn State College of Medicine, Hershey. PA</w:t>
      </w:r>
    </w:p>
    <w:p w:rsidR="002D37DD" w:rsidRDefault="00DB1462">
      <w:pPr>
        <w:pStyle w:val="BodyText"/>
      </w:pPr>
      <w:r>
        <w:t>Christine Kreider, RN, Department of Anesthesiology, Penn State Health Milton S. Hershey Medical Center,</w:t>
      </w:r>
      <w:r>
        <w:t xml:space="preserve"> Penn State College of Medicine, Hershey. PA</w:t>
      </w:r>
    </w:p>
    <w:p w:rsidR="002D37DD" w:rsidRDefault="00DB1462">
      <w:pPr>
        <w:pStyle w:val="Heading5"/>
      </w:pPr>
      <w:bookmarkStart w:id="1" w:name="corresponding-author"/>
      <w:bookmarkEnd w:id="1"/>
      <w:r>
        <w:t>Corresponding author:</w:t>
      </w:r>
    </w:p>
    <w:p w:rsidR="002D37DD" w:rsidRDefault="00DB1462">
      <w:pPr>
        <w:pStyle w:val="FirstParagraph"/>
      </w:pPr>
      <w:r>
        <w:t>Michael Andreae, MD, Address: Department of Anesthesiology, Penn State Health Milton S. Hershey Medical Center, Penn State College of Medicine, Hershey. PA, Tel: Phone: (717) 531-6597, Emai</w:t>
      </w:r>
      <w:r>
        <w:t xml:space="preserve">l: </w:t>
      </w:r>
      <w:hyperlink r:id="rId7">
        <w:r>
          <w:rPr>
            <w:rStyle w:val="Hyperlink"/>
          </w:rPr>
          <w:t>mandreae@pennstatehealth.psu.edu</w:t>
        </w:r>
      </w:hyperlink>
    </w:p>
    <w:p w:rsidR="002D37DD" w:rsidRDefault="00DB1462">
      <w:pPr>
        <w:pStyle w:val="Heading5"/>
      </w:pPr>
      <w:bookmarkStart w:id="2" w:name="acknowledgement"/>
      <w:bookmarkEnd w:id="2"/>
      <w:r>
        <w:t>Acknowledgement</w:t>
      </w:r>
    </w:p>
    <w:p w:rsidR="002D37DD" w:rsidRDefault="00DB1462">
      <w:pPr>
        <w:pStyle w:val="FirstParagraph"/>
      </w:pPr>
      <w:r>
        <w:t>This research is supported in part by the Donald E. Martin Professorship, a career development endowment of the Department of Anesthesiology, Pen</w:t>
      </w:r>
      <w:r>
        <w:t>n State Milton S. Hershey Medical Center, Penn State College of Medicine, Hershey, PA</w:t>
      </w:r>
    </w:p>
    <w:p w:rsidR="002D37DD" w:rsidRDefault="00DB1462">
      <w:pPr>
        <w:pStyle w:val="Heading5"/>
      </w:pPr>
      <w:bookmarkStart w:id="3" w:name="conflicts-of-interest-none"/>
      <w:bookmarkEnd w:id="3"/>
      <w:r>
        <w:t>Conflicts of Interest: None</w:t>
      </w:r>
    </w:p>
    <w:p w:rsidR="002D37DD" w:rsidRDefault="00DB1462">
      <w:pPr>
        <w:pStyle w:val="FirstParagraph"/>
      </w:pPr>
      <w:r>
        <w:rPr>
          <w:b/>
        </w:rPr>
        <w:t>Number of words in Abstract (312), in Introduction (740), and in Discussion (1889)</w:t>
      </w:r>
    </w:p>
    <w:p w:rsidR="002D37DD" w:rsidRDefault="00DB1462">
      <w:pPr>
        <w:pStyle w:val="Heading1"/>
      </w:pPr>
      <w:bookmarkStart w:id="4" w:name="abstract"/>
      <w:bookmarkEnd w:id="4"/>
      <w:r>
        <w:lastRenderedPageBreak/>
        <w:t>Abstract</w:t>
      </w:r>
    </w:p>
    <w:p w:rsidR="002D37DD" w:rsidRDefault="00DB1462">
      <w:pPr>
        <w:pStyle w:val="FirstParagraph"/>
      </w:pPr>
      <w:r>
        <w:rPr>
          <w:b/>
        </w:rPr>
        <w:t>Background:</w:t>
      </w:r>
    </w:p>
    <w:p w:rsidR="002D37DD" w:rsidRDefault="00DB1462">
      <w:pPr>
        <w:pStyle w:val="BodyText"/>
      </w:pPr>
      <w:r>
        <w:rPr>
          <w:b/>
        </w:rPr>
        <w:t>Methods:</w:t>
      </w:r>
    </w:p>
    <w:p w:rsidR="002D37DD" w:rsidRDefault="00DB1462">
      <w:pPr>
        <w:pStyle w:val="BodyText"/>
      </w:pPr>
      <w:r>
        <w:rPr>
          <w:b/>
        </w:rPr>
        <w:t>Results:</w:t>
      </w:r>
    </w:p>
    <w:p w:rsidR="002D37DD" w:rsidRDefault="00DB1462">
      <w:pPr>
        <w:pStyle w:val="BodyText"/>
      </w:pPr>
      <w:r>
        <w:rPr>
          <w:b/>
        </w:rPr>
        <w:t>Discussion:</w:t>
      </w:r>
    </w:p>
    <w:p w:rsidR="002D37DD" w:rsidRDefault="00DB1462">
      <w:pPr>
        <w:pStyle w:val="BodyText"/>
      </w:pPr>
      <w:r>
        <w:t xml:space="preserve"> </w:t>
      </w:r>
    </w:p>
    <w:p w:rsidR="002D37DD" w:rsidRDefault="00DB1462">
      <w:pPr>
        <w:pStyle w:val="Heading1"/>
      </w:pPr>
      <w:bookmarkStart w:id="5" w:name="introduction"/>
      <w:bookmarkEnd w:id="5"/>
      <w:r>
        <w:lastRenderedPageBreak/>
        <w:t>Introd</w:t>
      </w:r>
      <w:r>
        <w:t>uction</w:t>
      </w:r>
    </w:p>
    <w:p w:rsidR="002D37DD" w:rsidRDefault="00DB1462">
      <w:pPr>
        <w:pStyle w:val="FirstParagraph"/>
      </w:pPr>
      <w:r>
        <w:t>Postoperative nausea and vomiting (PONV) is perceived by patients as one of the most important outcomes after anesthesia</w:t>
      </w:r>
      <w:r>
        <w:rPr>
          <w:vertAlign w:val="superscript"/>
        </w:rPr>
        <w:t>1</w:t>
      </w:r>
      <w:r>
        <w:t>. PONV has significant economic impact as a leading cause of unplanned admissions after same day surgery</w:t>
      </w:r>
      <w:r>
        <w:rPr>
          <w:vertAlign w:val="superscript"/>
        </w:rPr>
        <w:t>2</w:t>
      </w:r>
      <w:r>
        <w:t xml:space="preserve"> and can lead to seriou</w:t>
      </w:r>
      <w:r>
        <w:t>s clinical consequences</w:t>
      </w:r>
      <w:r>
        <w:rPr>
          <w:vertAlign w:val="superscript"/>
        </w:rPr>
        <w:t>3</w:t>
      </w:r>
      <w:r>
        <w:t>. Risk factors for PONV are established and incidence can reach 80% in high risk patients</w:t>
      </w:r>
      <w:r>
        <w:rPr>
          <w:vertAlign w:val="superscript"/>
        </w:rPr>
        <w:t>4</w:t>
      </w:r>
      <w:r>
        <w:t>. Cost effective prophylaxis is detailed in up to date, evidence based, widely accepted guidelines</w:t>
      </w:r>
      <w:r>
        <w:rPr>
          <w:vertAlign w:val="superscript"/>
        </w:rPr>
        <w:t>2</w:t>
      </w:r>
      <w:r>
        <w:t>. However, most PONV outcomes research focu</w:t>
      </w:r>
      <w:r>
        <w:t>ses on immediate postop, intra-hospital PONV, while PONV may plague patients beyond discharge and may compromise their postoperative pain control. Opioids can trigger or aggravate PONV and force patients to choose between nausea from taking opioids or pain</w:t>
      </w:r>
      <w:r>
        <w:t xml:space="preserve"> (if they forego opioid pain killers to avoid the nausea). Vomiting can compromise bioavailability of perioperative medication, for example antibiotics or reduce compliance with prescribed medications.</w:t>
      </w:r>
    </w:p>
    <w:p w:rsidR="002D37DD" w:rsidRDefault="00DB1462">
      <w:pPr>
        <w:pStyle w:val="BodyText"/>
      </w:pPr>
      <w:r>
        <w:t>Little research exists on the prevalence of PONV beyon</w:t>
      </w:r>
      <w:r>
        <w:t>d discharge, also because assessment is costly and patients may often be often difficult to reach, leading to excessive attrition and unknown bias in outcomes estimates as data are not missing completely at random. No clinical trials examined the feasibili</w:t>
      </w:r>
      <w:r>
        <w:t>ty, attrition, accuracy or precision of smartphone based assessment of anesthesia related outcomes after patient discharge, especially compared versus assessment by a nurse-led phone call. Telemedicine for perioperative care and research may offer signific</w:t>
      </w:r>
      <w:r>
        <w:t>ant benefits, but also risks, including disparities in which patients can be reached effectively, because the required technology can be difficult to use for the elderly and may not be accessible to all patients</w:t>
      </w:r>
      <w:r>
        <w:rPr>
          <w:vertAlign w:val="superscript"/>
        </w:rPr>
        <w:t>5</w:t>
      </w:r>
      <w:r>
        <w:t>.</w:t>
      </w:r>
    </w:p>
    <w:p w:rsidR="002D37DD" w:rsidRDefault="00DB1462">
      <w:pPr>
        <w:pStyle w:val="Heading2"/>
      </w:pPr>
      <w:bookmarkStart w:id="6" w:name="objective"/>
      <w:bookmarkEnd w:id="6"/>
      <w:r>
        <w:lastRenderedPageBreak/>
        <w:t>Objective</w:t>
      </w:r>
    </w:p>
    <w:p w:rsidR="002D37DD" w:rsidRDefault="00DB1462">
      <w:pPr>
        <w:pStyle w:val="FirstParagraph"/>
      </w:pPr>
      <w:r>
        <w:t>To test the feasibility of smart</w:t>
      </w:r>
      <w:r>
        <w:t>phone-based assessment of postoperative nausea and vomiting in a rural setting, to gauge attrition and loss to follow up, and to estimate the precision and accuracy of patient responses compared to assessment by nurse led phone interview.</w:t>
      </w:r>
    </w:p>
    <w:p w:rsidR="002D37DD" w:rsidRDefault="00DB1462">
      <w:pPr>
        <w:pStyle w:val="Heading2"/>
      </w:pPr>
      <w:bookmarkStart w:id="7" w:name="hypothesis"/>
      <w:bookmarkEnd w:id="7"/>
      <w:r>
        <w:t>Hypothesis</w:t>
      </w:r>
    </w:p>
    <w:p w:rsidR="002D37DD" w:rsidRDefault="00DB1462">
      <w:pPr>
        <w:pStyle w:val="FirstParagraph"/>
      </w:pPr>
      <w:r>
        <w:t>We hyp</w:t>
      </w:r>
      <w:r>
        <w:t>othesize that text based assessment of PONV outcomes after patient discharge is feasible, with comparable attrition, accuracy and precision as follow up by a nurse led phone call.</w:t>
      </w:r>
    </w:p>
    <w:p w:rsidR="002D37DD" w:rsidRDefault="00DB1462">
      <w:pPr>
        <w:pStyle w:val="Heading1"/>
      </w:pPr>
      <w:bookmarkStart w:id="8" w:name="methods"/>
      <w:bookmarkEnd w:id="8"/>
      <w:r>
        <w:lastRenderedPageBreak/>
        <w:t>Methods</w:t>
      </w:r>
    </w:p>
    <w:p w:rsidR="002D37DD" w:rsidRDefault="00DB1462">
      <w:pPr>
        <w:pStyle w:val="Heading2"/>
      </w:pPr>
      <w:bookmarkStart w:id="9" w:name="population"/>
      <w:bookmarkEnd w:id="9"/>
      <w:r>
        <w:t>Population</w:t>
      </w:r>
    </w:p>
    <w:p w:rsidR="002D37DD" w:rsidRDefault="00DB1462">
      <w:pPr>
        <w:pStyle w:val="FirstParagraph"/>
      </w:pPr>
      <w:r>
        <w:t>We will select research subjects randomly among the popul</w:t>
      </w:r>
      <w:r>
        <w:t>ation eligible for PONV assessment by text messaging. Among the population selected for text messaging, we will randomly select the subpopulation for assessment by a nurse led phone call. For randomization we will use a computer generated randomization lis</w:t>
      </w:r>
      <w:r>
        <w:t>t, which will be concealed from all investigators until the call is made in the subset allocated for a nurse led phone call.</w:t>
      </w:r>
    </w:p>
    <w:p w:rsidR="002D37DD" w:rsidRDefault="00DB1462">
      <w:pPr>
        <w:pStyle w:val="Heading3"/>
      </w:pPr>
      <w:bookmarkStart w:id="10" w:name="inclusion-criteria"/>
      <w:bookmarkEnd w:id="10"/>
      <w:r>
        <w:t>Inclusion Criteria</w:t>
      </w:r>
    </w:p>
    <w:p w:rsidR="002D37DD" w:rsidRDefault="00DB1462">
      <w:pPr>
        <w:pStyle w:val="FirstParagraph"/>
      </w:pPr>
      <w:r>
        <w:t xml:space="preserve">All adult (&gt;18 years old) patients who undergo anesthesia for </w:t>
      </w:r>
      <w:r>
        <w:rPr>
          <w:i/>
        </w:rPr>
        <w:t>elective</w:t>
      </w:r>
      <w:r>
        <w:t xml:space="preserve"> </w:t>
      </w:r>
      <w:r>
        <w:t>surgery in the study period at Penn State Milton S. Hershey Medical Center, will be eligible for inclusion.</w:t>
      </w:r>
    </w:p>
    <w:p w:rsidR="002D37DD" w:rsidRDefault="00DB1462">
      <w:pPr>
        <w:pStyle w:val="Heading3"/>
      </w:pPr>
      <w:bookmarkStart w:id="11" w:name="exclusion-criteria"/>
      <w:bookmarkEnd w:id="11"/>
      <w:r>
        <w:t>Exclusion Criteria</w:t>
      </w:r>
    </w:p>
    <w:p w:rsidR="002D37DD" w:rsidRDefault="00DB1462">
      <w:pPr>
        <w:pStyle w:val="FirstParagraph"/>
      </w:pPr>
      <w:r>
        <w:t>Pregnant patients are automatically excluded, as female patients routinely receive a pregnancy test on the day of the procedure a</w:t>
      </w:r>
      <w:r>
        <w:t>nd a positive test precludes elective surgery.</w:t>
      </w:r>
    </w:p>
    <w:p w:rsidR="002D37DD" w:rsidRDefault="00DB1462">
      <w:pPr>
        <w:pStyle w:val="Heading2"/>
      </w:pPr>
      <w:bookmarkStart w:id="12" w:name="outcomes"/>
      <w:bookmarkEnd w:id="12"/>
      <w:r>
        <w:t>Outcomes</w:t>
      </w:r>
    </w:p>
    <w:p w:rsidR="002D37DD" w:rsidRDefault="00DB1462">
      <w:pPr>
        <w:pStyle w:val="Heading3"/>
      </w:pPr>
      <w:bookmarkStart w:id="13" w:name="primary-outcome"/>
      <w:bookmarkEnd w:id="13"/>
      <w:r>
        <w:t>Primary Outcome</w:t>
      </w:r>
    </w:p>
    <w:p w:rsidR="002D37DD" w:rsidRDefault="00DB1462">
      <w:pPr>
        <w:pStyle w:val="FirstParagraph"/>
      </w:pPr>
      <w:r>
        <w:t>The primary outcome is PONV as reported by the patient on a simplified validated PONV impact score</w:t>
      </w:r>
      <w:r>
        <w:rPr>
          <w:vertAlign w:val="superscript"/>
        </w:rPr>
        <w:t>6</w:t>
      </w:r>
      <w:r>
        <w:t>. We measure the concordance between nurse led and text messaging based patient repor</w:t>
      </w:r>
      <w:r>
        <w:t>ted outcomes.</w:t>
      </w:r>
    </w:p>
    <w:p w:rsidR="002D37DD" w:rsidRDefault="00DB1462">
      <w:pPr>
        <w:pStyle w:val="Heading3"/>
      </w:pPr>
      <w:bookmarkStart w:id="14" w:name="secondary-outcome"/>
      <w:bookmarkEnd w:id="14"/>
      <w:r>
        <w:lastRenderedPageBreak/>
        <w:t>Secondary Outcome</w:t>
      </w:r>
    </w:p>
    <w:p w:rsidR="002D37DD" w:rsidRDefault="00DB1462">
      <w:pPr>
        <w:pStyle w:val="FirstParagraph"/>
      </w:pPr>
      <w:r>
        <w:t>We will record patient feedback on the text based messaging in response to open questions. We will explore predictors of PONV as reported by patients and predictors for discordance between assessment by nurses versus by text</w:t>
      </w:r>
      <w:r>
        <w:t xml:space="preserve"> messaging.</w:t>
      </w:r>
    </w:p>
    <w:p w:rsidR="002D37DD" w:rsidRDefault="00DB1462">
      <w:pPr>
        <w:pStyle w:val="Heading2"/>
      </w:pPr>
      <w:bookmarkStart w:id="15" w:name="data-collection"/>
      <w:bookmarkEnd w:id="15"/>
      <w:r>
        <w:t>Data Collection</w:t>
      </w:r>
    </w:p>
    <w:p w:rsidR="002D37DD" w:rsidRDefault="00DB1462">
      <w:pPr>
        <w:pStyle w:val="FirstParagraph"/>
      </w:pPr>
      <w:r>
        <w:t>The analysis is based on the data extracted from electronic medical record of observations recorded during routine medical care. Additionally, we will contact patients via text message to solicit their experience of PONV after s</w:t>
      </w:r>
      <w:r>
        <w:t>urgery as the validated simplified PONV impact score</w:t>
      </w:r>
      <w:r>
        <w:rPr>
          <w:vertAlign w:val="superscript"/>
        </w:rPr>
        <w:t>6</w:t>
      </w:r>
      <w:r>
        <w:t>, as two responses on a Likert Scale. Patients provide their response via text message as two single digit numbers.</w:t>
      </w:r>
    </w:p>
    <w:p w:rsidR="002D37DD" w:rsidRDefault="00DB1462">
      <w:pPr>
        <w:pStyle w:val="BodyText"/>
      </w:pPr>
      <w:r>
        <w:t>The unit of analysis is the anesthesia record. We will not retain patient identifiers and hence patients undergoing anesthesia on several occasions in the study period will be counted as separate anesthetics and analyzed independently.</w:t>
      </w:r>
    </w:p>
    <w:p w:rsidR="002D37DD" w:rsidRDefault="00DB1462">
      <w:pPr>
        <w:pStyle w:val="Heading2"/>
      </w:pPr>
      <w:bookmarkStart w:id="16" w:name="approach"/>
      <w:bookmarkEnd w:id="16"/>
      <w:r>
        <w:t>Approach</w:t>
      </w:r>
    </w:p>
    <w:p w:rsidR="002D37DD" w:rsidRDefault="00DB1462">
      <w:pPr>
        <w:pStyle w:val="Heading3"/>
      </w:pPr>
      <w:bookmarkStart w:id="17" w:name="data-source"/>
      <w:bookmarkEnd w:id="17"/>
      <w:r>
        <w:t>Data Source</w:t>
      </w:r>
    </w:p>
    <w:p w:rsidR="002D37DD" w:rsidRDefault="00DB1462">
      <w:pPr>
        <w:pStyle w:val="FirstParagraph"/>
      </w:pPr>
      <w:r>
        <w:t>The source of the data is the electronic medical record (EMR) and the anesthesia information management system (AIMS) containing the information collected and documented during routine medical care perioperatively.</w:t>
      </w:r>
    </w:p>
    <w:p w:rsidR="002D37DD" w:rsidRDefault="00DB1462">
      <w:pPr>
        <w:pStyle w:val="Heading3"/>
      </w:pPr>
      <w:bookmarkStart w:id="18" w:name="data-retrieval"/>
      <w:bookmarkEnd w:id="18"/>
      <w:r>
        <w:t>Data retrieval</w:t>
      </w:r>
    </w:p>
    <w:p w:rsidR="002D37DD" w:rsidRDefault="00DB1462">
      <w:pPr>
        <w:pStyle w:val="FirstParagraph"/>
      </w:pPr>
      <w:r>
        <w:t>A medical data specialist</w:t>
      </w:r>
      <w:r>
        <w:t xml:space="preserve"> employed by the anesthesia department for EMR based quality improvement, who is not involved in our study or analysis, will identify all patients who underwent anesthesia using the billing system, Cerner and other medical record databases. She will extrac</w:t>
      </w:r>
      <w:r>
        <w:t xml:space="preserve">t the patient and procedure specific risk factors for PONV </w:t>
      </w:r>
      <w:r>
        <w:lastRenderedPageBreak/>
        <w:t>from the EMR and the AIMS, detailed below. She will remove HIPPA identifiers prior to handling the de-identified data file to the investigators. She will also extract the perioperative pharmacologi</w:t>
      </w:r>
      <w:r>
        <w:t>cal and non-pharmacological interventions relevant to the prevention of PONV from the AIMS and the EMR.</w:t>
      </w:r>
    </w:p>
    <w:p w:rsidR="002D37DD" w:rsidRDefault="00DB1462">
      <w:pPr>
        <w:pStyle w:val="Heading3"/>
      </w:pPr>
      <w:bookmarkStart w:id="19" w:name="waiver-of-informed-consent"/>
      <w:bookmarkEnd w:id="19"/>
      <w:r>
        <w:t>Waiver of informed consent</w:t>
      </w:r>
    </w:p>
    <w:p w:rsidR="002D37DD" w:rsidRDefault="00DB1462">
      <w:pPr>
        <w:pStyle w:val="FirstParagraph"/>
      </w:pPr>
      <w:r>
        <w:t xml:space="preserve">We request a waiver of informed consent as the research involves no more than minimal risk to the subjects and the waiver or </w:t>
      </w:r>
      <w:r>
        <w:t>alteration will not adversely affect the rights and welfare of the subjects, because the research results will not affect the care of the subjects. Given the number of subjects and the possibility that subjects may no longer be living or lost to follow-up,</w:t>
      </w:r>
      <w:r>
        <w:t xml:space="preserve"> this research would not be practical without waiver. No information which would be pertinent to the on-going care of individual subjects is expected to result from this study. The only risk to the patients would be loss of confidentiality/privacy, but the</w:t>
      </w:r>
      <w:r>
        <w:t xml:space="preserve"> data will be de-identified before the investigators have access.</w:t>
      </w:r>
    </w:p>
    <w:p w:rsidR="002D37DD" w:rsidRDefault="00DB1462">
      <w:pPr>
        <w:pStyle w:val="Heading3"/>
      </w:pPr>
      <w:bookmarkStart w:id="20" w:name="justification-of-chart-review"/>
      <w:bookmarkEnd w:id="20"/>
      <w:r>
        <w:t>Justification of chart review</w:t>
      </w:r>
    </w:p>
    <w:p w:rsidR="002D37DD" w:rsidRDefault="00DB1462">
      <w:pPr>
        <w:pStyle w:val="FirstParagraph"/>
      </w:pPr>
      <w:r>
        <w:t xml:space="preserve">Retrieval of study data necessitates access to patient charts through their MRNs. The computer-generated text messaging will require access to the patients (or </w:t>
      </w:r>
      <w:r>
        <w:t>patient' next of kin) cell phone number. The call will be triggered though RedCap and the response will also be recorded through RedCap, removing all patients' identifiers after the completion of the call. The nurse led phone call will require access to th</w:t>
      </w:r>
      <w:r>
        <w:t xml:space="preserve">e patient's phone number and clinical file. Neither will be retained or recorded after the contact has been established, except the responses, which will be documented in Redcap. Once </w:t>
      </w:r>
      <w:r>
        <w:lastRenderedPageBreak/>
        <w:t>this information is obtained, it will be de-identified including the rem</w:t>
      </w:r>
      <w:r>
        <w:t>oval of the telephone number and all code numbers linking to patient medical record number.</w:t>
      </w:r>
    </w:p>
    <w:p w:rsidR="002D37DD" w:rsidRDefault="00DB1462">
      <w:pPr>
        <w:pStyle w:val="Heading3"/>
      </w:pPr>
      <w:bookmarkStart w:id="21" w:name="data-collected"/>
      <w:bookmarkEnd w:id="21"/>
      <w:r>
        <w:t>Data collected</w:t>
      </w:r>
    </w:p>
    <w:p w:rsidR="002D37DD" w:rsidRDefault="00DB1462">
      <w:pPr>
        <w:pStyle w:val="FirstParagraph"/>
      </w:pPr>
      <w:r>
        <w:t>The data extracted from the EMR and AIMS will include</w:t>
      </w:r>
    </w:p>
    <w:p w:rsidR="002D37DD" w:rsidRDefault="00DB1462" w:rsidP="00CB4603">
      <w:pPr>
        <w:pStyle w:val="Heading4"/>
      </w:pPr>
      <w:bookmarkStart w:id="22" w:name="demographics-for-the-patient"/>
      <w:bookmarkEnd w:id="22"/>
      <w:r>
        <w:t>demographics for the patient</w:t>
      </w:r>
    </w:p>
    <w:p w:rsidR="002D37DD" w:rsidRDefault="00DB1462">
      <w:pPr>
        <w:pStyle w:val="Compact"/>
        <w:numPr>
          <w:ilvl w:val="0"/>
          <w:numId w:val="25"/>
        </w:numPr>
      </w:pPr>
      <w:r>
        <w:t>a</w:t>
      </w:r>
      <w:r>
        <w:t xml:space="preserve">ge in years (or in decades if older than 89 years for compliance </w:t>
      </w:r>
      <w:r>
        <w:t>with HIPPA),</w:t>
      </w:r>
    </w:p>
    <w:p w:rsidR="002D37DD" w:rsidRDefault="00DB1462">
      <w:pPr>
        <w:pStyle w:val="Compact"/>
        <w:numPr>
          <w:ilvl w:val="0"/>
          <w:numId w:val="25"/>
        </w:numPr>
      </w:pPr>
      <w:r>
        <w:t>gender,</w:t>
      </w:r>
    </w:p>
    <w:p w:rsidR="002D37DD" w:rsidRDefault="00DB1462">
      <w:pPr>
        <w:pStyle w:val="Compact"/>
        <w:numPr>
          <w:ilvl w:val="0"/>
          <w:numId w:val="25"/>
        </w:numPr>
      </w:pPr>
      <w:r>
        <w:t>history of PONV or history of motion sickness if available,</w:t>
      </w:r>
    </w:p>
    <w:p w:rsidR="002D37DD" w:rsidRDefault="00DB1462">
      <w:pPr>
        <w:pStyle w:val="Compact"/>
        <w:numPr>
          <w:ilvl w:val="0"/>
          <w:numId w:val="25"/>
        </w:numPr>
      </w:pPr>
      <w:r>
        <w:t>smoking history,</w:t>
      </w:r>
    </w:p>
    <w:p w:rsidR="002D37DD" w:rsidRDefault="00DB1462">
      <w:pPr>
        <w:pStyle w:val="Compact"/>
        <w:numPr>
          <w:ilvl w:val="0"/>
          <w:numId w:val="25"/>
        </w:numPr>
      </w:pPr>
      <w:r>
        <w:t>race</w:t>
      </w:r>
    </w:p>
    <w:p w:rsidR="002D37DD" w:rsidRPr="00CB4603" w:rsidRDefault="00DB1462" w:rsidP="00CB4603">
      <w:pPr>
        <w:pStyle w:val="Heading4"/>
      </w:pPr>
      <w:bookmarkStart w:id="23" w:name="anesthesia-specific-information"/>
      <w:bookmarkStart w:id="24" w:name="_GoBack"/>
      <w:bookmarkEnd w:id="23"/>
      <w:r w:rsidRPr="00CB4603">
        <w:t>anesthesia specific information</w:t>
      </w:r>
    </w:p>
    <w:bookmarkEnd w:id="24"/>
    <w:p w:rsidR="002D37DD" w:rsidRDefault="00DB1462">
      <w:pPr>
        <w:pStyle w:val="Compact"/>
        <w:numPr>
          <w:ilvl w:val="0"/>
          <w:numId w:val="26"/>
        </w:numPr>
      </w:pPr>
      <w:r>
        <w:t>d</w:t>
      </w:r>
      <w:r>
        <w:t>ose and time of any antiemetic medications administered (Dexamethason, Ondansetron, Aprepitant, Metoclopramide, Pheneragan, Droperidol, Propofol),</w:t>
      </w:r>
    </w:p>
    <w:p w:rsidR="002D37DD" w:rsidRDefault="00DB1462">
      <w:pPr>
        <w:pStyle w:val="Compact"/>
        <w:numPr>
          <w:ilvl w:val="0"/>
          <w:numId w:val="26"/>
        </w:numPr>
      </w:pPr>
      <w:r>
        <w:t>time and dose of any antiemetics (listed above) given preoperative if any,</w:t>
      </w:r>
    </w:p>
    <w:p w:rsidR="002D37DD" w:rsidRDefault="00DB1462">
      <w:pPr>
        <w:pStyle w:val="Compact"/>
        <w:numPr>
          <w:ilvl w:val="0"/>
          <w:numId w:val="26"/>
        </w:numPr>
      </w:pPr>
      <w:r>
        <w:t>time and maximum concentration of</w:t>
      </w:r>
      <w:r>
        <w:t xml:space="preserve"> any volatile anesthetic recorded on the AIMS,</w:t>
      </w:r>
    </w:p>
    <w:p w:rsidR="002D37DD" w:rsidRDefault="00DB1462">
      <w:pPr>
        <w:pStyle w:val="Compact"/>
        <w:numPr>
          <w:ilvl w:val="0"/>
          <w:numId w:val="26"/>
        </w:numPr>
      </w:pPr>
      <w:r>
        <w:t>time and dose of long acting opioid administered intra-operatively,</w:t>
      </w:r>
    </w:p>
    <w:p w:rsidR="002D37DD" w:rsidRDefault="00DB1462">
      <w:pPr>
        <w:pStyle w:val="Compact"/>
        <w:numPr>
          <w:ilvl w:val="0"/>
          <w:numId w:val="26"/>
        </w:numPr>
      </w:pPr>
      <w:r>
        <w:t>anesthesia technique (General versus regional versus monitored anesthesia care)</w:t>
      </w:r>
    </w:p>
    <w:p w:rsidR="002D37DD" w:rsidRDefault="00DB1462">
      <w:pPr>
        <w:pStyle w:val="FirstParagraph"/>
      </w:pPr>
      <w:r>
        <w:rPr>
          <w:i/>
        </w:rPr>
        <w:t>case specific information</w:t>
      </w:r>
    </w:p>
    <w:p w:rsidR="002D37DD" w:rsidRDefault="00DB1462">
      <w:pPr>
        <w:pStyle w:val="Compact"/>
        <w:numPr>
          <w:ilvl w:val="0"/>
          <w:numId w:val="27"/>
        </w:numPr>
      </w:pPr>
      <w:r>
        <w:t>start and end time (but not date) o</w:t>
      </w:r>
      <w:r>
        <w:t>f the procedure, to time the administration of medication with regards to the anesthetic provided,</w:t>
      </w:r>
    </w:p>
    <w:p w:rsidR="002D37DD" w:rsidRDefault="00DB1462">
      <w:pPr>
        <w:pStyle w:val="Compact"/>
        <w:numPr>
          <w:ilvl w:val="0"/>
          <w:numId w:val="27"/>
        </w:numPr>
      </w:pPr>
      <w:r>
        <w:t>billing codes specifying the surgical procedure and anesthetic,</w:t>
      </w:r>
    </w:p>
    <w:p w:rsidR="002D37DD" w:rsidRDefault="00DB1462">
      <w:pPr>
        <w:pStyle w:val="FirstParagraph"/>
      </w:pPr>
      <w:r>
        <w:rPr>
          <w:i/>
        </w:rPr>
        <w:lastRenderedPageBreak/>
        <w:t>anesthesia provider specific demographics</w:t>
      </w:r>
    </w:p>
    <w:p w:rsidR="002D37DD" w:rsidRDefault="00DB1462">
      <w:pPr>
        <w:pStyle w:val="Compact"/>
        <w:numPr>
          <w:ilvl w:val="0"/>
          <w:numId w:val="28"/>
        </w:numPr>
      </w:pPr>
      <w:r>
        <w:t>provider identifier or name for the first supervisi</w:t>
      </w:r>
      <w:r>
        <w:t>ng and supervised provider on the case, respectively with</w:t>
      </w:r>
    </w:p>
    <w:p w:rsidR="002D37DD" w:rsidRDefault="00DB1462">
      <w:pPr>
        <w:pStyle w:val="Compact"/>
        <w:numPr>
          <w:ilvl w:val="0"/>
          <w:numId w:val="28"/>
        </w:numPr>
      </w:pPr>
      <w:r>
        <w:t>provider roles (attending, resident, CRNA),</w:t>
      </w:r>
    </w:p>
    <w:p w:rsidR="002D37DD" w:rsidRDefault="00DB1462">
      <w:pPr>
        <w:pStyle w:val="Compact"/>
        <w:numPr>
          <w:ilvl w:val="0"/>
          <w:numId w:val="28"/>
        </w:numPr>
      </w:pPr>
      <w:r>
        <w:t>presence of multiple providers without provider identifiers.</w:t>
      </w:r>
    </w:p>
    <w:p w:rsidR="002D37DD" w:rsidRDefault="00DB1462">
      <w:pPr>
        <w:pStyle w:val="Heading2"/>
      </w:pPr>
      <w:bookmarkStart w:id="25" w:name="statistical-analysis"/>
      <w:bookmarkEnd w:id="25"/>
      <w:r>
        <w:t>Statistical analysis</w:t>
      </w:r>
    </w:p>
    <w:p w:rsidR="002D37DD" w:rsidRDefault="00DB1462">
      <w:pPr>
        <w:pStyle w:val="Heading3"/>
      </w:pPr>
      <w:bookmarkStart w:id="26" w:name="primary-analysis"/>
      <w:bookmarkEnd w:id="26"/>
      <w:r>
        <w:t>Primary Analysis</w:t>
      </w:r>
    </w:p>
    <w:p w:rsidR="002D37DD" w:rsidRDefault="00DB1462">
      <w:pPr>
        <w:pStyle w:val="FirstParagraph"/>
      </w:pPr>
      <w:r>
        <w:t>We will investigate agreement between the automated PON</w:t>
      </w:r>
      <w:r>
        <w:t>V assessment and the nurse-led PONV assessment, (both measured on the same validated simplified PONV impact score</w:t>
      </w:r>
      <w:r>
        <w:rPr>
          <w:vertAlign w:val="superscript"/>
        </w:rPr>
        <w:t>6</w:t>
      </w:r>
      <w:r>
        <w:t>), estimating Cohen's weighted kappa statistic with its 95% confidence intervals</w:t>
      </w:r>
      <w:r>
        <w:rPr>
          <w:vertAlign w:val="superscript"/>
        </w:rPr>
        <w:t>7</w:t>
      </w:r>
      <w:r>
        <w:t>. We will also attempt a Bland-Altman analysis, considering t</w:t>
      </w:r>
      <w:r>
        <w:t>he (discrete) numerical simplified PONV impact score</w:t>
      </w:r>
      <w:r>
        <w:rPr>
          <w:vertAlign w:val="superscript"/>
        </w:rPr>
        <w:t>6</w:t>
      </w:r>
      <w:r>
        <w:t xml:space="preserve"> as continuous</w:t>
      </w:r>
      <w:r>
        <w:rPr>
          <w:vertAlign w:val="superscript"/>
        </w:rPr>
        <w:t>8</w:t>
      </w:r>
      <w:r>
        <w:t>.</w:t>
      </w:r>
    </w:p>
    <w:p w:rsidR="002D37DD" w:rsidRDefault="00DB1462">
      <w:pPr>
        <w:pStyle w:val="Heading3"/>
      </w:pPr>
      <w:bookmarkStart w:id="27" w:name="exploratory-analysis"/>
      <w:bookmarkEnd w:id="27"/>
      <w:r>
        <w:t>Exploratory analysis</w:t>
      </w:r>
    </w:p>
    <w:p w:rsidR="002D37DD" w:rsidRDefault="00DB1462" w:rsidP="00CB4603">
      <w:pPr>
        <w:pStyle w:val="Heading4"/>
      </w:pPr>
      <w:bookmarkStart w:id="28" w:name="regression-analysis"/>
      <w:bookmarkEnd w:id="28"/>
      <w:r>
        <w:t>Regression analysis</w:t>
      </w:r>
    </w:p>
    <w:p w:rsidR="002D37DD" w:rsidRDefault="00DB1462">
      <w:pPr>
        <w:pStyle w:val="Heading5"/>
      </w:pPr>
      <w:bookmarkStart w:id="29" w:name="exploring-ponv-risk"/>
      <w:bookmarkEnd w:id="29"/>
      <w:r>
        <w:t>E</w:t>
      </w:r>
      <w:r>
        <w:t>xploring PONV risk</w:t>
      </w:r>
    </w:p>
    <w:p w:rsidR="002D37DD" w:rsidRDefault="00DB1462">
      <w:pPr>
        <w:pStyle w:val="FirstParagraph"/>
      </w:pPr>
      <w:r>
        <w:t>For the exploratory analysis of risk factors for the PONV outcomes as measured by the simplified PONV impact score</w:t>
      </w:r>
      <w:r>
        <w:rPr>
          <w:vertAlign w:val="superscript"/>
        </w:rPr>
        <w:t>6</w:t>
      </w:r>
      <w:r>
        <w:t xml:space="preserve">, we will </w:t>
      </w:r>
      <w:r>
        <w:t>fit multivariate ordinal regression models.</w:t>
      </w:r>
    </w:p>
    <w:p w:rsidR="002D37DD" w:rsidRDefault="00DB1462">
      <w:pPr>
        <w:pStyle w:val="Heading5"/>
      </w:pPr>
      <w:bookmarkStart w:id="30" w:name="exploring-predictors-for-failure-to-resp"/>
      <w:bookmarkEnd w:id="30"/>
      <w:r>
        <w:t>Exploring predictors for failure to respond and data missing at random</w:t>
      </w:r>
    </w:p>
    <w:p w:rsidR="002D37DD" w:rsidRDefault="00DB1462">
      <w:pPr>
        <w:pStyle w:val="FirstParagraph"/>
      </w:pPr>
      <w:r>
        <w:t>We will compare the charactersitcs of patients who faile to respond to text messaging with those who do, conducting chi-sqaure test for categ</w:t>
      </w:r>
      <w:r>
        <w:t>orical variables (gender, smoking status...) and t-tests or Wilcoxon rank sum tests for continuous variables, contingent on their distributions. For an exploratory analysis of predictors for failure to respond to text messaging, we will also fit binrary lo</w:t>
      </w:r>
      <w:r>
        <w:t xml:space="preserve">gistic regression models. We will </w:t>
      </w:r>
      <w:r>
        <w:lastRenderedPageBreak/>
        <w:t>suspect that data are not missing at random, if our binary logistic regression yields highly significant results.</w:t>
      </w:r>
    </w:p>
    <w:p w:rsidR="002D37DD" w:rsidRDefault="00DB1462">
      <w:pPr>
        <w:pStyle w:val="Heading5"/>
      </w:pPr>
      <w:bookmarkStart w:id="31" w:name="exploring-if-risk-factors-and-treatment-"/>
      <w:bookmarkEnd w:id="31"/>
      <w:r>
        <w:t>Exploring if risk factors and treatment interact to affect PONV outcome</w:t>
      </w:r>
    </w:p>
    <w:p w:rsidR="002D37DD" w:rsidRDefault="00DB1462">
      <w:pPr>
        <w:pStyle w:val="FirstParagraph"/>
      </w:pPr>
      <w:r>
        <w:t>To explore the interaction between r</w:t>
      </w:r>
      <w:r>
        <w:t>isk factors and treatment in their effect on PONV outcome, measured by the simplified PONV impact score</w:t>
      </w:r>
      <w:r>
        <w:rPr>
          <w:vertAlign w:val="superscript"/>
        </w:rPr>
        <w:t>6</w:t>
      </w:r>
      <w:r>
        <w:t>, we will again us ordinal logistic regression with interaction terms.</w:t>
      </w:r>
    </w:p>
    <w:p w:rsidR="002D37DD" w:rsidRDefault="00DB1462">
      <w:pPr>
        <w:pStyle w:val="Heading3"/>
      </w:pPr>
      <w:bookmarkStart w:id="32" w:name="software-used"/>
      <w:bookmarkEnd w:id="32"/>
      <w:r>
        <w:t>Software used</w:t>
      </w:r>
    </w:p>
    <w:p w:rsidR="002D37DD" w:rsidRDefault="00DB1462">
      <w:pPr>
        <w:pStyle w:val="FirstParagraph"/>
      </w:pPr>
      <w:r>
        <w:t xml:space="preserve">We used the statistical software </w:t>
      </w:r>
      <w:r>
        <w:rPr>
          <w:i/>
        </w:rPr>
        <w:t>R</w:t>
      </w:r>
      <w:r>
        <w:t>, the public domain statistical software package</w:t>
      </w:r>
      <w:r>
        <w:rPr>
          <w:vertAlign w:val="superscript"/>
        </w:rPr>
        <w:t>9</w:t>
      </w:r>
      <w:r>
        <w:t>.</w:t>
      </w:r>
    </w:p>
    <w:p w:rsidR="002D37DD" w:rsidRDefault="00DB1462">
      <w:pPr>
        <w:pStyle w:val="Heading1"/>
      </w:pPr>
      <w:bookmarkStart w:id="33" w:name="results"/>
      <w:bookmarkEnd w:id="33"/>
      <w:r>
        <w:lastRenderedPageBreak/>
        <w:t>Results</w:t>
      </w:r>
    </w:p>
    <w:p w:rsidR="002D37DD" w:rsidRDefault="00DB1462">
      <w:pPr>
        <w:pStyle w:val="Heading2"/>
      </w:pPr>
      <w:bookmarkStart w:id="34" w:name="description-of-the-data-set"/>
      <w:bookmarkEnd w:id="34"/>
      <w:r>
        <w:t>Description of the data set</w:t>
      </w:r>
    </w:p>
    <w:p w:rsidR="002D37DD" w:rsidRDefault="00DB1462">
      <w:pPr>
        <w:pStyle w:val="Heading1"/>
      </w:pPr>
      <w:bookmarkStart w:id="35" w:name="discussion"/>
      <w:bookmarkEnd w:id="35"/>
      <w:r>
        <w:lastRenderedPageBreak/>
        <w:t>Discussion</w:t>
      </w:r>
    </w:p>
    <w:p w:rsidR="002D37DD" w:rsidRDefault="00DB1462">
      <w:pPr>
        <w:pStyle w:val="Heading2"/>
      </w:pPr>
      <w:bookmarkStart w:id="36" w:name="summary-of-the-findings"/>
      <w:bookmarkEnd w:id="36"/>
      <w:r>
        <w:t>Summary of the findings</w:t>
      </w:r>
    </w:p>
    <w:p w:rsidR="002D37DD" w:rsidRDefault="00DB1462">
      <w:pPr>
        <w:pStyle w:val="Heading2"/>
      </w:pPr>
      <w:bookmarkStart w:id="37" w:name="significance"/>
      <w:bookmarkEnd w:id="37"/>
      <w:r>
        <w:t>Significance</w:t>
      </w:r>
    </w:p>
    <w:p w:rsidR="002D37DD" w:rsidRDefault="00DB1462">
      <w:pPr>
        <w:pStyle w:val="FirstParagraph"/>
      </w:pPr>
      <w:r>
        <w:t>Text messaging could provide a cost effective, yet efficient and reliable tool to assess PONV outcomes, especially in rural settings, both for health services and outcomes research and for quality improvement. Text messaging may help to identify patients a</w:t>
      </w:r>
      <w:r>
        <w:t>t need for interventions for severe PONV and such may reduce emergency room visits for PONV, besides increasing patient satisfaction.</w:t>
      </w:r>
    </w:p>
    <w:p w:rsidR="002D37DD" w:rsidRDefault="00DB1462">
      <w:pPr>
        <w:pStyle w:val="Heading2"/>
      </w:pPr>
      <w:bookmarkStart w:id="38" w:name="generalizability"/>
      <w:bookmarkEnd w:id="38"/>
      <w:r>
        <w:t>Generalizability</w:t>
      </w:r>
    </w:p>
    <w:p w:rsidR="002D37DD" w:rsidRDefault="00DB1462">
      <w:pPr>
        <w:pStyle w:val="Heading2"/>
      </w:pPr>
      <w:bookmarkStart w:id="39" w:name="critique-of-the-modeling-approach"/>
      <w:bookmarkEnd w:id="39"/>
      <w:r>
        <w:t>Critique of the modeling approach</w:t>
      </w:r>
    </w:p>
    <w:p w:rsidR="002D37DD" w:rsidRDefault="00DB1462" w:rsidP="00CB4603">
      <w:pPr>
        <w:pStyle w:val="Heading4"/>
      </w:pPr>
      <w:bookmarkStart w:id="40" w:name="confounding-missing-data-and-model-missp"/>
      <w:bookmarkEnd w:id="40"/>
      <w:r>
        <w:t>Confounding, missing data and model misspecification</w:t>
      </w:r>
    </w:p>
    <w:p w:rsidR="002D37DD" w:rsidRDefault="00DB1462">
      <w:pPr>
        <w:pStyle w:val="Heading1"/>
      </w:pPr>
      <w:bookmarkStart w:id="41" w:name="conclusion"/>
      <w:bookmarkEnd w:id="41"/>
      <w:r>
        <w:lastRenderedPageBreak/>
        <w:t>C</w:t>
      </w:r>
      <w:r>
        <w:t>onclusion:</w:t>
      </w:r>
    </w:p>
    <w:p w:rsidR="002D37DD" w:rsidRDefault="00DB1462">
      <w:pPr>
        <w:pStyle w:val="Heading1"/>
      </w:pPr>
      <w:bookmarkStart w:id="42" w:name="figures"/>
      <w:bookmarkEnd w:id="42"/>
      <w:r>
        <w:lastRenderedPageBreak/>
        <w:t>Figure</w:t>
      </w:r>
      <w:r>
        <w:t>s</w:t>
      </w:r>
    </w:p>
    <w:p w:rsidR="002D37DD" w:rsidRDefault="00DB1462">
      <w:pPr>
        <w:pStyle w:val="Heading2"/>
      </w:pPr>
      <w:bookmarkStart w:id="43" w:name="figure-1"/>
      <w:bookmarkEnd w:id="43"/>
      <w:r>
        <w:t>Figure 1</w:t>
      </w:r>
    </w:p>
    <w:p w:rsidR="002D37DD" w:rsidRDefault="00DB1462">
      <w:r>
        <w:t>Figure 1</w:t>
      </w:r>
    </w:p>
    <w:p w:rsidR="002D37DD" w:rsidRDefault="00DB1462">
      <w:pPr>
        <w:pStyle w:val="ImageCaption"/>
      </w:pPr>
      <w:r>
        <w:t>Figure 1</w:t>
      </w:r>
    </w:p>
    <w:p w:rsidR="002D37DD" w:rsidRDefault="00DB1462">
      <w:pPr>
        <w:pStyle w:val="Heading3"/>
      </w:pPr>
      <w:bookmarkStart w:id="44" w:name="figure-1-caption"/>
      <w:bookmarkEnd w:id="44"/>
      <w:r>
        <w:t>Figure 1 Caption</w:t>
      </w:r>
    </w:p>
    <w:p w:rsidR="002D37DD" w:rsidRDefault="00DB1462">
      <w:pPr>
        <w:pStyle w:val="Heading1"/>
      </w:pPr>
      <w:bookmarkStart w:id="45" w:name="references"/>
      <w:bookmarkEnd w:id="45"/>
      <w:r>
        <w:lastRenderedPageBreak/>
        <w:t>References</w:t>
      </w:r>
    </w:p>
    <w:p w:rsidR="002D37DD" w:rsidRDefault="002D37DD">
      <w:pPr>
        <w:pStyle w:val="FirstParagraph"/>
      </w:pPr>
    </w:p>
    <w:p w:rsidR="002D37DD" w:rsidRDefault="00DB1462">
      <w:pPr>
        <w:pStyle w:val="Bibliography"/>
      </w:pPr>
      <w:r>
        <w:t xml:space="preserve">1. Macario A, Weinger M, Carney S, Kim A. Which clinical anesthesia outcomes are important to avoid? The perspective of patients. Anesthesia and analgesia 1999;89:652–8. Available at: </w:t>
      </w:r>
      <w:hyperlink r:id="rId8">
        <w:r>
          <w:rPr>
            <w:rStyle w:val="Hyperlink"/>
          </w:rPr>
          <w:t>http://www.ncbi.nlm.nih.gov/pubmed/10475299</w:t>
        </w:r>
      </w:hyperlink>
      <w:r>
        <w:t>.</w:t>
      </w:r>
    </w:p>
    <w:p w:rsidR="002D37DD" w:rsidRDefault="00DB1462">
      <w:pPr>
        <w:pStyle w:val="Bibliography"/>
      </w:pPr>
      <w:r>
        <w:t>2. Gan TJ, Diemunsch P, Habib AS, Kovac A, Kranke P, Meyer TA, Watcha M, Chung F, Angus S, Apfel CC, Bergese SD, Candiotti KA, Chan MT, Davis PJ, Hooper VD, Lagoo</w:t>
      </w:r>
      <w:r>
        <w:t xml:space="preserve">-Deenadayalan S, Myles P, Nezat G, Philip BK, Tramèr MR, Society for Ambulatory Anesthesia. Consensus Guidelines for the Management of Postoperative Nausea and Vomiting. Anesthesia &amp; Analgesia 2014;118:85–113. Available at: </w:t>
      </w:r>
      <w:hyperlink r:id="rId9">
        <w:r>
          <w:rPr>
            <w:rStyle w:val="Hyperlink"/>
          </w:rPr>
          <w:t>http://www.ncbi.nlm.nih.gov/pubmed/24356162 http://content.wkhealth.com/linkback/openurl?sid=WKPTLP:landingpage{\&amp;}an=0000053</w:t>
        </w:r>
        <w:r>
          <w:rPr>
            <w:rStyle w:val="Hyperlink"/>
          </w:rPr>
          <w:t>9-201401000-00013</w:t>
        </w:r>
      </w:hyperlink>
      <w:r>
        <w:t>.</w:t>
      </w:r>
    </w:p>
    <w:p w:rsidR="002D37DD" w:rsidRDefault="00DB1462">
      <w:pPr>
        <w:pStyle w:val="Bibliography"/>
      </w:pPr>
      <w:r>
        <w:t xml:space="preserve">3. Junger A, Klasen J, Benson M, Sciuk G, Hartmann B, Sticher J, Hempelmann G. Factors determining length of stay of surgical day-case patients. European journal of anaesthesiology 2001;18:314–21. Available at: </w:t>
      </w:r>
      <w:hyperlink r:id="rId10">
        <w:r>
          <w:rPr>
            <w:rStyle w:val="Hyperlink"/>
          </w:rPr>
          <w:t>http://www.ncbi.nlm.nih.gov/pubmed/11350474</w:t>
        </w:r>
      </w:hyperlink>
      <w:r>
        <w:t>.</w:t>
      </w:r>
    </w:p>
    <w:p w:rsidR="002D37DD" w:rsidRDefault="00DB1462">
      <w:pPr>
        <w:pStyle w:val="Bibliography"/>
      </w:pPr>
      <w:r>
        <w:t>4. Apfel CC, Läärä E, Koivuranta M, Greim CA, Roewer N. A simplified risk score for predicting postoperative nausea and vomiting: conclusions from cross-validations between t</w:t>
      </w:r>
      <w:r>
        <w:t xml:space="preserve">wo centers. Anesthesiology 1999;91:693–700. Available at: </w:t>
      </w:r>
      <w:hyperlink r:id="rId11">
        <w:r>
          <w:rPr>
            <w:rStyle w:val="Hyperlink"/>
          </w:rPr>
          <w:t>http://www.ncbi.nlm.nih.gov/pubmed/10485781</w:t>
        </w:r>
      </w:hyperlink>
      <w:r>
        <w:t>.</w:t>
      </w:r>
    </w:p>
    <w:p w:rsidR="002D37DD" w:rsidRDefault="00DB1462">
      <w:pPr>
        <w:pStyle w:val="Bibliography"/>
      </w:pPr>
      <w:r>
        <w:t>5. Semple JL, Armstrong KA. Mobile applications for postoperative monitoring after dischar</w:t>
      </w:r>
      <w:r>
        <w:t xml:space="preserve">ge. Canadian Medical Association Journal 2017;189:E22–4. Available at: </w:t>
      </w:r>
      <w:hyperlink r:id="rId12">
        <w:r>
          <w:rPr>
            <w:rStyle w:val="Hyperlink"/>
          </w:rPr>
          <w:t>htt</w:t>
        </w:r>
        <w:r>
          <w:rPr>
            <w:rStyle w:val="Hyperlink"/>
          </w:rPr>
          <w:t>p://www.ncbi.nlm.nih.gov/pubmed/27920015 http://www.pubmedcentral.nih.gov/articlerender.fcgi?artid=PMC5224949 http://www.cmaj.ca/lookup/doi/10.1503/cmaj.160195</w:t>
        </w:r>
      </w:hyperlink>
      <w:r>
        <w:t>.</w:t>
      </w:r>
    </w:p>
    <w:p w:rsidR="002D37DD" w:rsidRDefault="00DB1462">
      <w:pPr>
        <w:pStyle w:val="Bibliography"/>
      </w:pPr>
      <w:r>
        <w:t xml:space="preserve">6. Myles PS, Wengritzky R. Simplified postoperative nausea and vomiting impact scale for audit </w:t>
      </w:r>
      <w:r>
        <w:t xml:space="preserve">and post-discharge review. British journal of anaesthesia 2012;108:423–9. Available at: </w:t>
      </w:r>
      <w:hyperlink r:id="rId13">
        <w:r>
          <w:rPr>
            <w:rStyle w:val="Hyperlink"/>
          </w:rPr>
          <w:t>https://academic.oup.com/bja/article-l</w:t>
        </w:r>
        <w:r>
          <w:rPr>
            <w:rStyle w:val="Hyperlink"/>
          </w:rPr>
          <w:t>ookup/doi/10.1093/bja/aer505 http://www.ncbi.nlm.nih.gov/pubmed/22290456</w:t>
        </w:r>
      </w:hyperlink>
      <w:r>
        <w:t>.</w:t>
      </w:r>
    </w:p>
    <w:p w:rsidR="002D37DD" w:rsidRDefault="00DB1462">
      <w:pPr>
        <w:pStyle w:val="Bibliography"/>
      </w:pPr>
      <w:r>
        <w:t xml:space="preserve">7. Cohen J. Weighted kappa: nominal scale agreement with provision for scaled disagreement or partial credit. Psychological bulletin 1968;70:213–20. Available at: </w:t>
      </w:r>
      <w:hyperlink r:id="rId14">
        <w:r>
          <w:rPr>
            <w:rStyle w:val="Hyperlink"/>
          </w:rPr>
          <w:t>http://www.ncbi.nlm.nih.gov/pubmed/19673146</w:t>
        </w:r>
      </w:hyperlink>
      <w:r>
        <w:t>.</w:t>
      </w:r>
    </w:p>
    <w:p w:rsidR="002D37DD" w:rsidRDefault="00DB1462">
      <w:pPr>
        <w:pStyle w:val="Bibliography"/>
      </w:pPr>
      <w:r>
        <w:t xml:space="preserve">8. Giavarina D. Understanding Bland Altman analysis. Biochemia medica 2015;25:141–51. Available at: </w:t>
      </w:r>
      <w:hyperlink r:id="rId15">
        <w:r>
          <w:rPr>
            <w:rStyle w:val="Hyperlink"/>
          </w:rPr>
          <w:t>http://www.ncbi.nlm.nih.gov/pubmed/26110027 http://www.pubmedcentral.nih.gov/articlerender.fcgi?artid=PMC4470095</w:t>
        </w:r>
      </w:hyperlink>
      <w:r>
        <w:t>.</w:t>
      </w:r>
    </w:p>
    <w:p w:rsidR="002D37DD" w:rsidRDefault="00DB1462">
      <w:pPr>
        <w:pStyle w:val="Bibliography"/>
      </w:pPr>
      <w:r>
        <w:lastRenderedPageBreak/>
        <w:t xml:space="preserve">9. R Development Core Team. R: A language and environment for statistical computing. Vienna, Austria: R Foundation for Statistical Computing, 2008. Available at: </w:t>
      </w:r>
      <w:hyperlink r:id="rId16">
        <w:r>
          <w:rPr>
            <w:rStyle w:val="Hyperlink"/>
          </w:rPr>
          <w:t>http://www.R-project.org</w:t>
        </w:r>
      </w:hyperlink>
      <w:r>
        <w:t>.</w:t>
      </w:r>
    </w:p>
    <w:sectPr w:rsidR="002D37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462" w:rsidRDefault="00DB1462">
      <w:pPr>
        <w:spacing w:after="0"/>
      </w:pPr>
      <w:r>
        <w:separator/>
      </w:r>
    </w:p>
  </w:endnote>
  <w:endnote w:type="continuationSeparator" w:id="0">
    <w:p w:rsidR="00DB1462" w:rsidRDefault="00DB14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462" w:rsidRDefault="00DB1462">
      <w:r>
        <w:separator/>
      </w:r>
    </w:p>
  </w:footnote>
  <w:footnote w:type="continuationSeparator" w:id="0">
    <w:p w:rsidR="00DB1462" w:rsidRDefault="00DB1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966D830"/>
    <w:multiLevelType w:val="multilevel"/>
    <w:tmpl w:val="FFD4F4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2E7A846"/>
    <w:multiLevelType w:val="multilevel"/>
    <w:tmpl w:val="824295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C653DA0"/>
    <w:multiLevelType w:val="multilevel"/>
    <w:tmpl w:val="97E6DB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E3DEFF2"/>
    <w:multiLevelType w:val="multilevel"/>
    <w:tmpl w:val="F7A64B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8"/>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num>
  <w:num w:numId="25">
    <w:abstractNumId w:val="6"/>
  </w:num>
  <w:num w:numId="26">
    <w:abstractNumId w:val="6"/>
  </w:num>
  <w:num w:numId="27">
    <w:abstractNumId w:val="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D37DD"/>
    <w:rsid w:val="004E29B3"/>
    <w:rsid w:val="00590D07"/>
    <w:rsid w:val="00784D58"/>
    <w:rsid w:val="008D6863"/>
    <w:rsid w:val="00B86B75"/>
    <w:rsid w:val="00BC48D5"/>
    <w:rsid w:val="00C36279"/>
    <w:rsid w:val="00CB4603"/>
    <w:rsid w:val="00DB146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1EC895-7A5F-434E-8744-C086DDF14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CB4603"/>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E5632"/>
    <w:pPr>
      <w:spacing w:before="120" w:after="120" w:line="480" w:lineRule="auto"/>
    </w:pPr>
  </w:style>
  <w:style w:type="paragraph" w:customStyle="1" w:styleId="FirstParagraph">
    <w:name w:val="First Paragraph"/>
    <w:basedOn w:val="BodyText"/>
    <w:next w:val="BodyText"/>
    <w:qFormat/>
    <w:rsid w:val="008E5632"/>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10475299" TargetMode="External"/><Relationship Id="rId13" Type="http://schemas.openxmlformats.org/officeDocument/2006/relationships/hyperlink" Target="https://academic.oup.com/bja/article-lookup/doi/10.1093/bja/aer505%20http://www.ncbi.nlm.nih.gov/pubmed/2229045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ndreae@pennstatehealth.psu.edu" TargetMode="External"/><Relationship Id="rId12" Type="http://schemas.openxmlformats.org/officeDocument/2006/relationships/hyperlink" Target="http://www.ncbi.nlm.nih.gov/pubmed/27920015%20http://www.pubmedcentral.nih.gov/articlerender.fcgi?artid=PMC5224949%20http://www.cmaj.ca/lookup/doi/10.1503/cmaj.16019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pubmed/10485781" TargetMode="External"/><Relationship Id="rId5" Type="http://schemas.openxmlformats.org/officeDocument/2006/relationships/footnotes" Target="footnotes.xml"/><Relationship Id="rId15" Type="http://schemas.openxmlformats.org/officeDocument/2006/relationships/hyperlink" Target="http://www.ncbi.nlm.nih.gov/pubmed/26110027%20http://www.pubmedcentral.nih.gov/articlerender.fcgi?artid=PMC4470095" TargetMode="External"/><Relationship Id="rId10" Type="http://schemas.openxmlformats.org/officeDocument/2006/relationships/hyperlink" Target="http://www.ncbi.nlm.nih.gov/pubmed/11350474" TargetMode="External"/><Relationship Id="rId4" Type="http://schemas.openxmlformats.org/officeDocument/2006/relationships/webSettings" Target="webSettings.xml"/><Relationship Id="rId9" Type="http://schemas.openxmlformats.org/officeDocument/2006/relationships/hyperlink" Target="http://www.ncbi.nlm.nih.gov/pubmed/24356162%20http://content.wkhealth.com/linkback/openurl?sid=WKPTLP:landingpage%7b\&amp;%7dan=00000539-201401000-00013" TargetMode="External"/><Relationship Id="rId14" Type="http://schemas.openxmlformats.org/officeDocument/2006/relationships/hyperlink" Target="http://www.ncbi.nlm.nih.gov/pubmed/196731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Text Messaging for Assessment of Postoperative Nausea and Vomiting after Discharge Compared to a Nurse-led Phone Call a Feasibility Study</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Messaging for Assessment of Postoperative Nausea and Vomiting after Discharge Compared to a Nurse-led Phone Call a Feasibility Study</dc:title>
  <dc:creator>Michael Andreae</dc:creator>
  <cp:lastModifiedBy>Michael Andreae</cp:lastModifiedBy>
  <cp:revision>2</cp:revision>
  <dcterms:created xsi:type="dcterms:W3CDTF">2017-05-11T17:20:00Z</dcterms:created>
  <dcterms:modified xsi:type="dcterms:W3CDTF">2017-05-11T17:20:00Z</dcterms:modified>
</cp:coreProperties>
</file>