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FF5900"/>
          <w:sz w:val="56"/>
          <w:szCs w:val="56"/>
        </w:rPr>
        <w:t xml:space="preserve">mh anwälte</w:t>
      </w:r>
    </w:p>
    <w:p>
      <w:pPr>
        <w:spacing w:after="60" w:before="0"/>
        <w:jc w:val="center"/>
      </w:pPr>
      <w:r>
        <w:rPr>
          <w:rFonts w:ascii="Arial" w:cs="Arial" w:eastAsia="Arial" w:hAnsi="Arial"/>
          <w:color w:val="333333"/>
          <w:sz w:val="36"/>
          <w:szCs w:val="36"/>
        </w:rPr>
        <w:t xml:space="preserve">Design- &amp; Content-Briefing</w:t>
      </w:r>
    </w:p>
    <w:p>
      <w:pPr>
        <w:spacing w:after="80" w:before="0"/>
        <w:jc w:val="center"/>
      </w:pPr>
      <w:r>
        <w:rPr>
          <w:rFonts w:ascii="Arial" w:cs="Arial" w:eastAsia="Arial" w:hAnsi="Arial"/>
          <w:i/>
          <w:iCs/>
          <w:color w:val="616161"/>
          <w:sz w:val="22"/>
          <w:szCs w:val="22"/>
        </w:rPr>
        <w:t xml:space="preserve">Live-Auslese mhanwaelte.de — Stand: Juni 2026</w:t>
      </w:r>
    </w:p>
    <w:p>
      <w:pPr>
        <w:pBdr>
          <w:bottom w:val="single" w:color="EEEEEE" w:sz="4" w:space="1"/>
        </w:pBdr>
        <w:spacing w:after="240" w:before="240"/>
      </w:pPr>
    </w:p>
    <w:p>
      <w:pPr>
        <w:pStyle w:val="Heading1"/>
        <w:spacing w:after="160" w:before="480"/>
      </w:pPr>
      <w:r>
        <w:rPr>
          <w:rFonts w:ascii="Arial" w:cs="Arial" w:eastAsia="Arial" w:hAnsi="Arial"/>
          <w:b/>
          <w:bCs/>
          <w:color w:val="FF5900"/>
          <w:sz w:val="32"/>
          <w:szCs w:val="32"/>
        </w:rPr>
        <w:t xml:space="preserve">⚠ Wichtige Abweichungen: Live-Site vs. Briefing V6</w:t>
      </w:r>
    </w:p>
    <w:p>
      <w:pPr>
        <w:spacing w:after="80" w:before="80"/>
      </w:pPr>
      <w:r>
        <w:rPr>
          <w:rFonts w:ascii="Arial" w:cs="Arial" w:eastAsia="Arial" w:hAnsi="Arial"/>
          <w:color w:val="333333"/>
          <w:sz w:val="20"/>
          <w:szCs w:val="20"/>
        </w:rPr>
        <w:t xml:space="preserve">Die folgende Auslese basiert auf der aktuellen Live-Site mhanwaelte.de (Juni 2026). Es gibt wesentliche Unterschiede zum Design-Briefing V6:</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2C353D"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280"/>
            <w:tcBorders>
              <w:top w:val="single" w:color="DDDDDD" w:sz="1"/>
              <w:left w:val="single" w:color="DDDDDD" w:sz="1"/>
              <w:bottom w:val="single" w:color="DDDDDD" w:sz="1"/>
              <w:right w:val="single" w:color="DDDDDD" w:sz="1"/>
            </w:tcBorders>
            <w:shd w:fill="2C353D" w:val="clear"/>
            <w:tcMar>
              <w:top w:type="dxa" w:w="80"/>
              <w:left w:type="dxa" w:w="120"/>
              <w:bottom w:type="dxa" w:w="80"/>
              <w:right w:type="dxa" w:w="120"/>
            </w:tcMar>
          </w:tcPr>
          <w:p>
            <w:r>
              <w:rPr>
                <w:rFonts w:ascii="Arial" w:cs="Arial" w:eastAsia="Arial" w:hAnsi="Arial"/>
                <w:b/>
                <w:bCs/>
                <w:color w:val="FFFFFF"/>
                <w:sz w:val="20"/>
                <w:szCs w:val="20"/>
              </w:rPr>
              <w:t xml:space="preserve">Briefing V6</w:t>
            </w:r>
          </w:p>
        </w:tc>
        <w:tc>
          <w:tcPr>
            <w:tcW w:type="dxa" w:w="3280"/>
            <w:tcBorders>
              <w:top w:val="single" w:color="DDDDDD" w:sz="1"/>
              <w:left w:val="single" w:color="DDDDDD" w:sz="1"/>
              <w:bottom w:val="single" w:color="DDDDDD" w:sz="1"/>
              <w:right w:val="single" w:color="DDDDDD" w:sz="1"/>
            </w:tcBorders>
            <w:shd w:fill="2C353D" w:val="clear"/>
            <w:tcMar>
              <w:top w:type="dxa" w:w="80"/>
              <w:left w:type="dxa" w:w="120"/>
              <w:bottom w:type="dxa" w:w="80"/>
              <w:right w:type="dxa" w:w="120"/>
            </w:tcMar>
          </w:tcPr>
          <w:p>
            <w:r>
              <w:rPr>
                <w:rFonts w:ascii="Arial" w:cs="Arial" w:eastAsia="Arial" w:hAnsi="Arial"/>
                <w:b/>
                <w:bCs/>
                <w:color w:val="EFBB20"/>
                <w:sz w:val="20"/>
                <w:szCs w:val="20"/>
              </w:rPr>
              <w:t xml:space="preserve">Live-Site (IST)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Brand-Orange</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C0571E"/>
                <w:sz w:val="20"/>
                <w:szCs w:val="20"/>
              </w:rPr>
              <w:t xml:space="preserve">#C0571E</w:t>
            </w:r>
          </w:p>
        </w:tc>
        <w:tc>
          <w:tcPr>
            <w:tcW w:type="dxa" w:w="328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20"/>
            </w:tcMar>
          </w:tcPr>
          <w:p>
            <w:r>
              <w:rPr>
                <w:rFonts w:ascii="Courier New" w:cs="Courier New" w:eastAsia="Courier New" w:hAnsi="Courier New"/>
                <w:b/>
                <w:bCs/>
                <w:color w:val="FF5900"/>
                <w:sz w:val="20"/>
                <w:szCs w:val="20"/>
              </w:rPr>
              <w:t xml:space="preserve">#FF5900 (heller!)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Zweite Akzentfarbe</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16161"/>
                <w:sz w:val="20"/>
                <w:szCs w:val="20"/>
              </w:rPr>
              <w:t xml:space="preserve">keine</w:t>
            </w:r>
          </w:p>
        </w:tc>
        <w:tc>
          <w:tcPr>
            <w:tcW w:type="dxa" w:w="328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20"/>
            </w:tcMar>
          </w:tcPr>
          <w:p>
            <w:r>
              <w:rPr>
                <w:rFonts w:ascii="Courier New" w:cs="Courier New" w:eastAsia="Courier New" w:hAnsi="Courier New"/>
                <w:b/>
                <w:bCs/>
                <w:color w:val="8B6800"/>
                <w:sz w:val="20"/>
                <w:szCs w:val="20"/>
              </w:rPr>
              <w:t xml:space="preserve">#EFBB20 Gold — prominenter Fullwidth-Banner!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Logo-Text</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"mh anwaelte"</w:t>
            </w:r>
          </w:p>
        </w:tc>
        <w:tc>
          <w:tcPr>
            <w:tcW w:type="dxa" w:w="328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20"/>
            </w:tcMar>
          </w:tcPr>
          <w:p>
            <w:r>
              <w:rPr>
                <w:rFonts w:ascii="Arial" w:cs="Arial" w:eastAsia="Arial" w:hAnsi="Arial"/>
                <w:b/>
                <w:bCs/>
                <w:color w:val="FF5900"/>
                <w:sz w:val="20"/>
                <w:szCs w:val="20"/>
              </w:rPr>
              <w:t xml:space="preserve">"mhemmerich anwälte frankfurt" (3-zeilig)</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Hero</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 statisches Bild (Graffiti-Wand), kein Text-Overlay</w:t>
            </w:r>
          </w:p>
        </w:tc>
        <w:tc>
          <w:tcPr>
            <w:tcW w:type="dxa" w:w="328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20"/>
            </w:tcMar>
          </w:tcPr>
          <w:p>
            <w:r>
              <w:rPr>
                <w:rFonts w:ascii="Arial" w:cs="Arial" w:eastAsia="Arial" w:hAnsi="Arial"/>
                <w:b/>
                <w:bCs/>
                <w:color w:val="FF5900"/>
                <w:sz w:val="20"/>
                <w:szCs w:val="20"/>
              </w:rPr>
              <w:t xml:space="preserve">Slider mit 4+ Slides, Text-Overlays auf jedem Slide, 2 CTA-Buttons pro Slide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Navigation CTA</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"KENNENLERNEN"-Button, Orange, rechts</w:t>
            </w:r>
          </w:p>
        </w:tc>
        <w:tc>
          <w:tcPr>
            <w:tcW w:type="dxa" w:w="328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20"/>
            </w:tcMar>
          </w:tcPr>
          <w:p>
            <w:r>
              <w:rPr>
                <w:rFonts w:ascii="Arial" w:cs="Arial" w:eastAsia="Arial" w:hAnsi="Arial"/>
                <w:b/>
                <w:bCs/>
                <w:color w:val="FF5900"/>
                <w:sz w:val="20"/>
                <w:szCs w:val="20"/>
              </w:rPr>
              <w:t xml:space="preserve">Kein CTA-Button in Navigation — CTA nur im gelben Banner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Nav-Labels</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TEAM | TAETIGKEITSSCHWERPUNKTE | NEWS | KENNENLERNEN</w:t>
            </w:r>
          </w:p>
        </w:tc>
        <w:tc>
          <w:tcPr>
            <w:tcW w:type="dxa" w:w="328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20"/>
            </w:tcMar>
          </w:tcPr>
          <w:p>
            <w:r>
              <w:rPr>
                <w:rFonts w:ascii="Arial" w:cs="Arial" w:eastAsia="Arial" w:hAnsi="Arial"/>
                <w:b/>
                <w:bCs/>
                <w:color w:val="FF5900"/>
                <w:sz w:val="20"/>
                <w:szCs w:val="20"/>
              </w:rPr>
              <w:t xml:space="preserve">Menschen | Tätigkeitsschwerpunkte | Über uns | Kontakt | News</w:t>
            </w:r>
          </w:p>
        </w:tc>
      </w:tr>
    </w:tbl>
    <w:p>
      <w:pPr>
        <w:spacing w:before="200"/>
      </w:pPr>
    </w:p>
    <w:p>
      <w:pPr>
        <w:pBdr>
          <w:bottom w:val="single" w:color="EEEEEE" w:sz="4" w:space="1"/>
        </w:pBdr>
        <w:spacing w:after="240" w:before="240"/>
      </w:pPr>
    </w:p>
    <w:p>
      <w:pPr>
        <w:pStyle w:val="Heading1"/>
        <w:spacing w:after="160" w:before="480"/>
      </w:pPr>
      <w:r>
        <w:rPr>
          <w:rFonts w:ascii="Arial" w:cs="Arial" w:eastAsia="Arial" w:hAnsi="Arial"/>
          <w:b/>
          <w:bCs/>
          <w:color w:val="FF5900"/>
          <w:sz w:val="32"/>
          <w:szCs w:val="32"/>
        </w:rPr>
        <w:t xml:space="preserve">1. Marke &amp; Positionierung</w:t>
      </w:r>
    </w:p>
    <w:p>
      <w:pPr>
        <w:pStyle w:val="Heading2"/>
        <w:spacing w:after="100" w:before="280"/>
      </w:pPr>
      <w:r>
        <w:rPr>
          <w:rFonts w:ascii="Arial" w:cs="Arial" w:eastAsia="Arial" w:hAnsi="Arial"/>
          <w:b/>
          <w:bCs/>
          <w:color w:val="333333"/>
          <w:sz w:val="26"/>
          <w:szCs w:val="26"/>
        </w:rPr>
        <w:t xml:space="preserve">1.1 Firmenname &amp; Logo</w:t>
      </w:r>
    </w:p>
    <w:p>
      <w:pPr>
        <w:spacing w:after="80" w:before="80"/>
      </w:pPr>
      <w:r>
        <w:rPr>
          <w:rFonts w:ascii="Arial" w:cs="Arial" w:eastAsia="Arial" w:hAnsi="Arial"/>
          <w:color w:val="333333"/>
          <w:sz w:val="20"/>
          <w:szCs w:val="20"/>
        </w:rPr>
        <w:t xml:space="preserve">Das Logo auf der Live-Site ist dreigliedrig und dreizeilig:</w:t>
      </w:r>
    </w:p>
    <w:p>
      <w:pPr>
        <w:shd w:fill="1A1A1A" w:val="clear"/>
        <w:spacing w:after="100" w:before="100"/>
      </w:pPr>
      <w:r>
        <w:rPr>
          <w:rFonts w:ascii="Arial" w:cs="Arial" w:eastAsia="Arial" w:hAnsi="Arial"/>
          <w:b/>
          <w:bCs/>
          <w:color w:val="FF5900"/>
          <w:sz w:val="52"/>
          <w:szCs w:val="52"/>
        </w:rPr>
        <w:t xml:space="preserve">mh</w:t>
      </w:r>
      <w:r>
        <w:rPr>
          <w:rFonts w:ascii="Arial" w:cs="Arial" w:eastAsia="Arial" w:hAnsi="Arial"/>
          <w:b w:val="false"/>
          <w:bCs w:val="false"/>
          <w:color w:val="888888"/>
          <w:sz w:val="52"/>
          <w:szCs w:val="52"/>
        </w:rPr>
        <w:t xml:space="preserve">emmerich</w:t>
      </w:r>
      <w:r>
        <w:t xml:space="preserve">
</w:t>
      </w:r>
      <w:r>
        <w:rPr>
          <w:rFonts w:ascii="Arial" w:cs="Arial" w:eastAsia="Arial" w:hAnsi="Arial"/>
          <w:b w:val="false"/>
          <w:bCs w:val="false"/>
          <w:color w:val="FF5900"/>
          <w:sz w:val="44"/>
          <w:szCs w:val="44"/>
        </w:rPr>
        <w:t xml:space="preserve">anwälte</w:t>
      </w:r>
      <w:r>
        <w:t xml:space="preserve">
</w:t>
      </w:r>
      <w:r>
        <w:rPr>
          <w:rFonts w:ascii="Arial" w:cs="Arial" w:eastAsia="Arial" w:hAnsi="Arial"/>
          <w:b w:val="false"/>
          <w:bCs w:val="false"/>
          <w:color w:val="888888"/>
          <w:sz w:val="34"/>
          <w:szCs w:val="34"/>
        </w:rPr>
        <w:t xml:space="preserve">frankfurt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Firmenname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mh anwälte Rechtsanwaltsgesellschaft mbH</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Logo Zeile 1</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"mh" in Orange (#FF5900) + "emmerich" in Dunkelgrau — eine Worteinheit</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Logo Zeile 2</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"anwälte" in Orange (#FF5900)</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Logo Zeile 3</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"frankfurt" in Hellgrau — städtischer Zusatz</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Position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Rechts oben (nicht links wie im Briefing V6)</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Domain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mhanwaelte.de (Haupt); .com leitet weiter — bestätigt</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Title-Tag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mh anwälte rechtsanwaltsgesellschaft mbH — sanierung — gestalten — strukturieren</w:t>
            </w:r>
          </w:p>
        </w:tc>
      </w:tr>
    </w:tbl>
    <w:p>
      <w:pPr>
        <w:spacing w:before="200"/>
      </w:pPr>
    </w:p>
    <w:p>
      <w:pPr>
        <w:pStyle w:val="Heading2"/>
        <w:spacing w:after="100" w:before="280"/>
      </w:pPr>
      <w:r>
        <w:rPr>
          <w:rFonts w:ascii="Arial" w:cs="Arial" w:eastAsia="Arial" w:hAnsi="Arial"/>
          <w:b/>
          <w:bCs/>
          <w:color w:val="333333"/>
          <w:sz w:val="26"/>
          <w:szCs w:val="26"/>
        </w:rPr>
        <w:t xml:space="preserve">1.2 Claim — Hero-Slider (4 Slides)</w:t>
      </w:r>
    </w:p>
    <w:p>
      <w:pPr>
        <w:spacing w:after="80" w:before="80"/>
      </w:pPr>
      <w:r>
        <w:rPr>
          <w:rFonts w:ascii="Arial" w:cs="Arial" w:eastAsia="Arial" w:hAnsi="Arial"/>
          <w:color w:val="333333"/>
          <w:sz w:val="20"/>
          <w:szCs w:val="20"/>
        </w:rPr>
        <w:t xml:space="preserve">Die Seite hat keinen einzelnen fixen Claim, sondern einen Slider mit 4 wechselnden Hauptaussagen:</w:t>
      </w:r>
    </w:p>
    <w:p>
      <w:pPr>
        <w:spacing w:before="120"/>
      </w:pPr>
    </w:p>
    <w:p>
      <w:pPr>
        <w:pBdr>
          <w:left w:val="single" w:color="FF5900" w:sz="16" w:space="8"/>
        </w:pBdr>
        <w:spacing w:after="100" w:before="100"/>
        <w:ind w:left="360"/>
      </w:pPr>
      <w:r>
        <w:rPr>
          <w:rFonts w:ascii="Arial" w:cs="Arial" w:eastAsia="Arial" w:hAnsi="Arial"/>
          <w:b/>
          <w:bCs/>
          <w:i/>
          <w:iCs/>
          <w:color w:val="FF5900"/>
          <w:sz w:val="22"/>
          <w:szCs w:val="22"/>
        </w:rPr>
        <w:t xml:space="preserve">RECHTSBERATUNG MUSS IMMER MODERN SEIN UND ZUKUNFTSORIENTIERT</w:t>
      </w:r>
    </w:p>
    <w:p>
      <w:pPr>
        <w:spacing w:after="60" w:before="60"/>
      </w:pPr>
      <w:r>
        <w:rPr>
          <w:rFonts w:ascii="Arial" w:cs="Arial" w:eastAsia="Arial" w:hAnsi="Arial"/>
          <w:color w:val="616161"/>
          <w:sz w:val="18"/>
          <w:szCs w:val="18"/>
        </w:rPr>
        <w:t xml:space="preserve">Subline: „Wir helfen Ihnen eine Zukunft zu gestalten. Ihre Zukunft!“
CTAs: „DER MENSCH HINTER DEM BILD“ (outline) + „EINFACH KONTAKT AUFNEHMEN“ (Orange, gefüllt)</w:t>
      </w:r>
    </w:p>
    <w:p>
      <w:pPr>
        <w:spacing w:before="80"/>
      </w:pPr>
    </w:p>
    <w:p>
      <w:pPr>
        <w:pBdr>
          <w:left w:val="single" w:color="FF5900" w:sz="16" w:space="8"/>
        </w:pBdr>
        <w:spacing w:after="100" w:before="100"/>
        <w:ind w:left="360"/>
      </w:pPr>
      <w:r>
        <w:rPr>
          <w:rFonts w:ascii="Arial" w:cs="Arial" w:eastAsia="Arial" w:hAnsi="Arial"/>
          <w:b/>
          <w:bCs/>
          <w:i/>
          <w:iCs/>
          <w:color w:val="FF5900"/>
          <w:sz w:val="22"/>
          <w:szCs w:val="22"/>
        </w:rPr>
        <w:t xml:space="preserve">VERLÄSSLICHKEIT IST UNSER PRINZIP!</w:t>
      </w:r>
    </w:p>
    <w:p>
      <w:pPr>
        <w:spacing w:after="60" w:before="60"/>
      </w:pPr>
      <w:r>
        <w:rPr>
          <w:rFonts w:ascii="Arial" w:cs="Arial" w:eastAsia="Arial" w:hAnsi="Arial"/>
          <w:color w:val="616161"/>
          <w:sz w:val="18"/>
          <w:szCs w:val="18"/>
        </w:rPr>
        <w:t xml:space="preserve">Subline: „Jeden Tag, in jeder Situation, in jedem Fall.“
CTAs: „DER MENSCH HINTER DEM BILD“ + „WAS WIR FÜR SIE TUN“</w:t>
      </w:r>
    </w:p>
    <w:p>
      <w:pPr>
        <w:spacing w:before="80"/>
      </w:pPr>
    </w:p>
    <w:p>
      <w:pPr>
        <w:pBdr>
          <w:left w:val="single" w:color="FF5900" w:sz="16" w:space="8"/>
        </w:pBdr>
        <w:spacing w:after="100" w:before="100"/>
        <w:ind w:left="360"/>
      </w:pPr>
      <w:r>
        <w:rPr>
          <w:rFonts w:ascii="Arial" w:cs="Arial" w:eastAsia="Arial" w:hAnsi="Arial"/>
          <w:b/>
          <w:bCs/>
          <w:i/>
          <w:iCs/>
          <w:color w:val="FF5900"/>
          <w:sz w:val="22"/>
          <w:szCs w:val="22"/>
        </w:rPr>
        <w:t xml:space="preserve">ES GIBT KEINE STANDARDLÖSUNGEN FÜR AUSSERORDENTLICHE SITUATIONEN!</w:t>
      </w:r>
    </w:p>
    <w:p>
      <w:pPr>
        <w:spacing w:after="60" w:before="60"/>
      </w:pPr>
      <w:r>
        <w:rPr>
          <w:rFonts w:ascii="Arial" w:cs="Arial" w:eastAsia="Arial" w:hAnsi="Arial"/>
          <w:color w:val="616161"/>
          <w:sz w:val="18"/>
          <w:szCs w:val="18"/>
        </w:rPr>
        <w:t xml:space="preserve">Subline: „Jeder Fall ist individuell. Unser Ziel ist es, mit Ihnen gemeinsam den Hebel zu finden.“
CTAs: „UNSERE HERANGEHENSWEISE“ + „EINFACH KONTAKT AUFNEHMEN“</w:t>
      </w:r>
    </w:p>
    <w:p>
      <w:pPr>
        <w:spacing w:before="80"/>
      </w:pPr>
    </w:p>
    <w:p>
      <w:pPr>
        <w:pBdr>
          <w:left w:val="single" w:color="FF5900" w:sz="16" w:space="8"/>
        </w:pBdr>
        <w:spacing w:after="100" w:before="100"/>
        <w:ind w:left="360"/>
      </w:pPr>
      <w:r>
        <w:rPr>
          <w:rFonts w:ascii="Arial" w:cs="Arial" w:eastAsia="Arial" w:hAnsi="Arial"/>
          <w:b/>
          <w:bCs/>
          <w:i/>
          <w:iCs/>
          <w:color w:val="FF5900"/>
          <w:sz w:val="22"/>
          <w:szCs w:val="22"/>
        </w:rPr>
        <w:t xml:space="preserve">FRISCHER WIND FÜHRT UNS ÜBER DAS MEER!</w:t>
      </w:r>
    </w:p>
    <w:p>
      <w:pPr>
        <w:spacing w:after="60" w:before="60"/>
      </w:pPr>
      <w:r>
        <w:rPr>
          <w:rFonts w:ascii="Arial" w:cs="Arial" w:eastAsia="Arial" w:hAnsi="Arial"/>
          <w:color w:val="616161"/>
          <w:sz w:val="18"/>
          <w:szCs w:val="18"/>
        </w:rPr>
        <w:t xml:space="preserve">Subline: „Ihre Herausforderungen – meine Challenge!“
CTAs: „DER MENSCH HINTER DEM BILD“ + „EINFACH KONTAKT AUFNEHMEN“</w:t>
      </w:r>
    </w:p>
    <w:p>
      <w:pPr>
        <w:spacing w:before="160"/>
      </w:pPr>
    </w:p>
    <w:p>
      <w:pPr>
        <w:pStyle w:val="Heading2"/>
        <w:spacing w:after="100" w:before="280"/>
      </w:pPr>
      <w:r>
        <w:rPr>
          <w:rFonts w:ascii="Arial" w:cs="Arial" w:eastAsia="Arial" w:hAnsi="Arial"/>
          <w:b/>
          <w:bCs/>
          <w:color w:val="333333"/>
          <w:sz w:val="26"/>
          <w:szCs w:val="26"/>
        </w:rPr>
        <w:t xml:space="preserve">1.3 Goldener Banner (Fullwidth)</w:t>
      </w:r>
    </w:p>
    <w:p>
      <w:pPr>
        <w:shd w:fill="EFBB20" w:val="clear"/>
        <w:spacing w:before="80"/>
        <w:ind w:left="360" w:right="360"/>
      </w:pPr>
      <w:r>
        <w:rPr>
          <w:rFonts w:ascii="Arial" w:cs="Arial" w:eastAsia="Arial" w:hAnsi="Arial"/>
          <w:b/>
          <w:bCs/>
          <w:color w:val="FFFFFF"/>
          <w:sz w:val="28"/>
          <w:szCs w:val="28"/>
        </w:rPr>
        <w:t xml:space="preserve">Klar, kantig, kompetent. Wir beraten Unternehmer. Modern seit mehr als 25 Jahren.</w:t>
      </w:r>
    </w:p>
    <w:p>
      <w:pPr>
        <w:shd w:fill="EFBB20" w:val="clear"/>
        <w:spacing w:after="100" w:before="60"/>
        <w:ind w:left="360"/>
      </w:pPr>
      <w:r>
        <w:rPr>
          <w:rFonts w:ascii="Arial" w:cs="Arial" w:eastAsia="Arial" w:hAnsi="Arial"/>
          <w:color w:val="5C4000"/>
          <w:sz w:val="20"/>
          <w:szCs w:val="20"/>
        </w:rPr>
        <w:t xml:space="preserve">CTA-Button: „Lernen Sie uns kennen!“ — weiß mit dunkelbrauner Umrandung</w:t>
      </w:r>
    </w:p>
    <w:p>
      <w:pPr>
        <w:spacing w:after="80" w:before="80"/>
      </w:pPr>
      <w:r>
        <w:rPr>
          <w:rFonts w:ascii="Arial" w:cs="Arial" w:eastAsia="Arial" w:hAnsi="Arial"/>
          <w:color w:val="333333"/>
          <w:sz w:val="20"/>
          <w:szCs w:val="20"/>
        </w:rPr>
        <w:t xml:space="preserve">Hintergrundfarbe: #EFBB20 (Gold/Gelb). Sehr prominent, Fullwidth. Positioniert direkt nach dem Hero-Slider. Weißer Text auf Gold.</w:t>
      </w:r>
    </w:p>
    <w:p>
      <w:pPr>
        <w:spacing w:before="160"/>
      </w:pPr>
    </w:p>
    <w:p>
      <w:pPr>
        <w:pStyle w:val="Heading2"/>
        <w:spacing w:after="100" w:before="280"/>
      </w:pPr>
      <w:r>
        <w:rPr>
          <w:rFonts w:ascii="Arial" w:cs="Arial" w:eastAsia="Arial" w:hAnsi="Arial"/>
          <w:b/>
          <w:bCs/>
          <w:color w:val="333333"/>
          <w:sz w:val="26"/>
          <w:szCs w:val="26"/>
        </w:rPr>
        <w:t xml:space="preserve">1.4 Kernaussagen / Mission</w:t>
      </w:r>
    </w:p>
    <w:p>
      <w:pPr>
        <w:pStyle w:val="ListParagraph"/>
        <w:numPr>
          <w:ilvl w:val="0"/>
          <w:numId w:val="2"/>
        </w:numPr>
        <w:spacing w:after="50" w:before="50"/>
      </w:pPr>
      <w:r>
        <w:rPr>
          <w:rFonts w:ascii="Arial" w:cs="Arial" w:eastAsia="Arial" w:hAnsi="Arial"/>
          <w:color w:val="333333"/>
          <w:sz w:val="20"/>
          <w:szCs w:val="20"/>
        </w:rPr>
        <w:t xml:space="preserve">Partner des Mittelstandes — PERSÖNLICH.</w:t>
      </w:r>
    </w:p>
    <w:p>
      <w:pPr>
        <w:pStyle w:val="ListParagraph"/>
        <w:numPr>
          <w:ilvl w:val="0"/>
          <w:numId w:val="2"/>
        </w:numPr>
        <w:spacing w:after="50" w:before="50"/>
      </w:pPr>
      <w:r>
        <w:rPr>
          <w:rFonts w:ascii="Arial" w:cs="Arial" w:eastAsia="Arial" w:hAnsi="Arial"/>
          <w:color w:val="333333"/>
          <w:sz w:val="20"/>
          <w:szCs w:val="20"/>
        </w:rPr>
        <w:t xml:space="preserve">Fokus auf Unternehmer und Unternehmen — MAßGESCHNEIDERT.</w:t>
      </w:r>
    </w:p>
    <w:p>
      <w:pPr>
        <w:pStyle w:val="ListParagraph"/>
        <w:numPr>
          <w:ilvl w:val="0"/>
          <w:numId w:val="2"/>
        </w:numPr>
        <w:spacing w:after="50" w:before="50"/>
      </w:pPr>
      <w:r>
        <w:rPr>
          <w:rFonts w:ascii="Arial" w:cs="Arial" w:eastAsia="Arial" w:hAnsi="Arial"/>
          <w:color w:val="333333"/>
          <w:sz w:val="20"/>
          <w:szCs w:val="20"/>
        </w:rPr>
        <w:t xml:space="preserve">Motivation der Mandanten verstehen — ZIELORIENTIERT.</w:t>
      </w:r>
    </w:p>
    <w:p>
      <w:pPr>
        <w:pStyle w:val="ListParagraph"/>
        <w:numPr>
          <w:ilvl w:val="0"/>
          <w:numId w:val="2"/>
        </w:numPr>
        <w:spacing w:after="50" w:before="50"/>
      </w:pPr>
      <w:r>
        <w:rPr>
          <w:rFonts w:ascii="Arial" w:cs="Arial" w:eastAsia="Arial" w:hAnsi="Arial"/>
          <w:color w:val="333333"/>
          <w:sz w:val="20"/>
          <w:szCs w:val="20"/>
        </w:rPr>
        <w:t xml:space="preserve">Optimismus, Freude und Glaube an Gerechtigkeit trotz Ernsthaftigkeit.</w:t>
      </w:r>
    </w:p>
    <w:p>
      <w:pPr>
        <w:pStyle w:val="ListParagraph"/>
        <w:numPr>
          <w:ilvl w:val="0"/>
          <w:numId w:val="2"/>
        </w:numPr>
        <w:spacing w:after="50" w:before="50"/>
      </w:pPr>
      <w:r>
        <w:rPr>
          <w:rFonts w:ascii="Arial" w:cs="Arial" w:eastAsia="Arial" w:hAnsi="Arial"/>
          <w:color w:val="333333"/>
          <w:sz w:val="20"/>
          <w:szCs w:val="20"/>
        </w:rPr>
        <w:t xml:space="preserve">Leidenschaft, Herzblut und Engagement.</w:t>
      </w:r>
    </w:p>
    <w:p>
      <w:pPr>
        <w:pStyle w:val="ListParagraph"/>
        <w:numPr>
          <w:ilvl w:val="0"/>
          <w:numId w:val="2"/>
        </w:numPr>
        <w:spacing w:after="50" w:before="50"/>
      </w:pPr>
      <w:r>
        <w:rPr>
          <w:rFonts w:ascii="Arial" w:cs="Arial" w:eastAsia="Arial" w:hAnsi="Arial"/>
          <w:color w:val="333333"/>
          <w:sz w:val="20"/>
          <w:szCs w:val="20"/>
        </w:rPr>
        <w:t xml:space="preserve">Verlässlichkeit als zentrales Prinzip.</w:t>
      </w:r>
    </w:p>
    <w:p>
      <w:pPr>
        <w:pStyle w:val="ListParagraph"/>
        <w:numPr>
          <w:ilvl w:val="0"/>
          <w:numId w:val="2"/>
        </w:numPr>
        <w:spacing w:after="50" w:before="50"/>
      </w:pPr>
      <w:r>
        <w:rPr>
          <w:rFonts w:ascii="Arial" w:cs="Arial" w:eastAsia="Arial" w:hAnsi="Arial"/>
          <w:color w:val="333333"/>
          <w:sz w:val="20"/>
          <w:szCs w:val="20"/>
        </w:rPr>
        <w:t xml:space="preserve">Modern seit mehr als 25 Jahren.</w:t>
      </w:r>
    </w:p>
    <w:p>
      <w:pPr>
        <w:spacing w:before="160"/>
      </w:pPr>
    </w:p>
    <w:p>
      <w:pPr>
        <w:pStyle w:val="Heading2"/>
        <w:spacing w:after="100" w:before="280"/>
      </w:pPr>
      <w:r>
        <w:rPr>
          <w:rFonts w:ascii="Arial" w:cs="Arial" w:eastAsia="Arial" w:hAnsi="Arial"/>
          <w:b/>
          <w:bCs/>
          <w:color w:val="333333"/>
          <w:sz w:val="26"/>
          <w:szCs w:val="26"/>
        </w:rPr>
        <w:t xml:space="preserve">1.5 Zielgruppe</w:t>
      </w:r>
    </w:p>
    <w:p>
      <w:pPr>
        <w:pStyle w:val="ListParagraph"/>
        <w:numPr>
          <w:ilvl w:val="0"/>
          <w:numId w:val="2"/>
        </w:numPr>
        <w:spacing w:after="50" w:before="50"/>
      </w:pPr>
      <w:r>
        <w:rPr>
          <w:rFonts w:ascii="Arial" w:cs="Arial" w:eastAsia="Arial" w:hAnsi="Arial"/>
          <w:color w:val="333333"/>
          <w:sz w:val="20"/>
          <w:szCs w:val="20"/>
        </w:rPr>
        <w:t xml:space="preserve">Primär: Entscheider im Mittelstand (Geschäftsführer, Gesellschafter, Inhaber)</w:t>
      </w:r>
    </w:p>
    <w:p>
      <w:pPr>
        <w:pStyle w:val="ListParagraph"/>
        <w:numPr>
          <w:ilvl w:val="0"/>
          <w:numId w:val="2"/>
        </w:numPr>
        <w:spacing w:after="50" w:before="50"/>
      </w:pPr>
      <w:r>
        <w:rPr>
          <w:rFonts w:ascii="Arial" w:cs="Arial" w:eastAsia="Arial" w:hAnsi="Arial"/>
          <w:color w:val="333333"/>
          <w:sz w:val="20"/>
          <w:szCs w:val="20"/>
        </w:rPr>
        <w:t xml:space="preserve">Sekundär: Unternehmen in Krise, Umstrukturierung oder bei M&amp;A</w:t>
      </w:r>
    </w:p>
    <w:p>
      <w:pPr>
        <w:pStyle w:val="ListParagraph"/>
        <w:numPr>
          <w:ilvl w:val="0"/>
          <w:numId w:val="2"/>
        </w:numPr>
        <w:spacing w:after="50" w:before="50"/>
      </w:pPr>
      <w:r>
        <w:rPr>
          <w:rFonts w:ascii="Arial" w:cs="Arial" w:eastAsia="Arial" w:hAnsi="Arial"/>
          <w:color w:val="333333"/>
          <w:sz w:val="20"/>
          <w:szCs w:val="20"/>
        </w:rPr>
        <w:t xml:space="preserve">Ansprache: direkt, kantig, kompetent — professionelles Sie</w:t>
      </w:r>
    </w:p>
    <w:p>
      <w:pPr>
        <w:pStyle w:val="ListParagraph"/>
        <w:numPr>
          <w:ilvl w:val="0"/>
          <w:numId w:val="2"/>
        </w:numPr>
        <w:spacing w:after="50" w:before="50"/>
      </w:pPr>
      <w:r>
        <w:rPr>
          <w:rFonts w:ascii="Arial" w:cs="Arial" w:eastAsia="Arial" w:hAnsi="Arial"/>
          <w:color w:val="333333"/>
          <w:sz w:val="20"/>
          <w:szCs w:val="20"/>
        </w:rPr>
        <w:t xml:space="preserve">Geographisch: Frankfurt am Main / bundesweit</w:t>
      </w:r>
    </w:p>
    <w:p>
      <w:pPr>
        <w:pBdr>
          <w:bottom w:val="single" w:color="EEEEEE" w:sz="4" w:space="1"/>
        </w:pBdr>
        <w:spacing w:after="240" w:before="240"/>
      </w:pPr>
    </w:p>
    <w:p>
      <w:pPr>
        <w:pStyle w:val="Heading1"/>
        <w:spacing w:after="160" w:before="480"/>
      </w:pPr>
      <w:r>
        <w:rPr>
          <w:rFonts w:ascii="Arial" w:cs="Arial" w:eastAsia="Arial" w:hAnsi="Arial"/>
          <w:b/>
          <w:bCs/>
          <w:color w:val="FF5900"/>
          <w:sz w:val="32"/>
          <w:szCs w:val="32"/>
        </w:rPr>
        <w:t xml:space="preserve">2. Design-System (Live-Site)</w:t>
      </w:r>
    </w:p>
    <w:p>
      <w:pPr>
        <w:pStyle w:val="Heading2"/>
        <w:spacing w:after="100" w:before="280"/>
      </w:pPr>
      <w:r>
        <w:rPr>
          <w:rFonts w:ascii="Arial" w:cs="Arial" w:eastAsia="Arial" w:hAnsi="Arial"/>
          <w:b/>
          <w:bCs/>
          <w:color w:val="333333"/>
          <w:sz w:val="26"/>
          <w:szCs w:val="26"/>
        </w:rPr>
        <w:t xml:space="preserve">2.1 Farbpalette — aus CSS gemessen</w:t>
      </w:r>
    </w:p>
    <w:p>
      <w:pPr>
        <w:spacing w:after="80" w:before="80"/>
      </w:pPr>
      <w:r>
        <w:rPr>
          <w:rFonts w:ascii="Arial" w:cs="Arial" w:eastAsia="Arial" w:hAnsi="Arial"/>
          <w:color w:val="333333"/>
          <w:sz w:val="20"/>
          <w:szCs w:val="20"/>
        </w:rPr>
        <w:t xml:space="preserve">Alle Werte aus der Live-CSS (window.getComputedStyle) gemessen. Abweichungen vom Briefing V6 sind markiert.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4260"/>
      </w:tblGrid>
      <w:tr>
        <w:tc>
          <w:tcPr>
            <w:tcW w:type="dxa" w:w="900"/>
            <w:tcBorders>
              <w:top w:val="single" w:color="DDDDDD" w:sz="1"/>
              <w:left w:val="single" w:color="DDDDDD" w:sz="1"/>
              <w:bottom w:val="single" w:color="DDDDDD" w:sz="1"/>
              <w:right w:val="single" w:color="DDDDDD" w:sz="1"/>
            </w:tcBorders>
            <w:shd w:fill="E8E8E8" w:val="clear"/>
            <w:tcMar>
              <w:top w:type="dxa" w:w="60"/>
              <w:left w:type="dxa" w:w="80"/>
              <w:bottom w:type="dxa" w:w="60"/>
              <w:right w:type="dxa" w:w="80"/>
            </w:tcMar>
          </w:tcPr>
          <w:p>
            <w:r>
              <w:rPr>
                <w:rFonts w:ascii="Arial" w:cs="Arial" w:eastAsia="Arial" w:hAnsi="Arial"/>
                <w:sz w:val="16"/>
                <w:szCs w:val="16"/>
              </w:rPr>
              <w:t xml:space="preserve"/>
            </w:r>
          </w:p>
        </w:tc>
        <w:tc>
          <w:tcPr>
            <w:tcW w:type="dxa" w:w="1800"/>
            <w:tcBorders>
              <w:top w:val="single" w:color="DDDDDD" w:sz="1"/>
              <w:left w:val="single" w:color="DDDDDD" w:sz="1"/>
              <w:bottom w:val="single" w:color="DDDDDD" w:sz="1"/>
              <w:right w:val="single" w:color="DDDDDD" w:sz="1"/>
            </w:tcBorders>
            <w:shd w:fill="E8E8E8" w:val="clear"/>
            <w:tcMar>
              <w:top w:type="dxa" w:w="60"/>
              <w:left w:type="dxa" w:w="120"/>
              <w:bottom w:type="dxa" w:w="60"/>
              <w:right w:type="dxa" w:w="120"/>
            </w:tcMar>
          </w:tcPr>
          <w:p>
            <w:r>
              <w:rPr>
                <w:rFonts w:ascii="Arial" w:cs="Arial" w:eastAsia="Arial" w:hAnsi="Arial"/>
                <w:b/>
                <w:bCs/>
                <w:sz w:val="18"/>
                <w:szCs w:val="18"/>
              </w:rPr>
              <w:t xml:space="preserve">Hex</w:t>
            </w:r>
          </w:p>
        </w:tc>
        <w:tc>
          <w:tcPr>
            <w:tcW w:type="dxa" w:w="2400"/>
            <w:tcBorders>
              <w:top w:val="single" w:color="DDDDDD" w:sz="1"/>
              <w:left w:val="single" w:color="DDDDDD" w:sz="1"/>
              <w:bottom w:val="single" w:color="DDDDDD" w:sz="1"/>
              <w:right w:val="single" w:color="DDDDDD" w:sz="1"/>
            </w:tcBorders>
            <w:shd w:fill="E8E8E8" w:val="clear"/>
            <w:tcMar>
              <w:top w:type="dxa" w:w="60"/>
              <w:left w:type="dxa" w:w="120"/>
              <w:bottom w:type="dxa" w:w="60"/>
              <w:right w:type="dxa" w:w="120"/>
            </w:tcMar>
          </w:tcPr>
          <w:p>
            <w:r>
              <w:rPr>
                <w:rFonts w:ascii="Arial" w:cs="Arial" w:eastAsia="Arial" w:hAnsi="Arial"/>
                <w:b/>
                <w:bCs/>
                <w:sz w:val="18"/>
                <w:szCs w:val="18"/>
              </w:rPr>
              <w:t xml:space="preserve">Name</w:t>
            </w:r>
          </w:p>
        </w:tc>
        <w:tc>
          <w:tcPr>
            <w:tcW w:type="dxa" w:w="4260"/>
            <w:tcBorders>
              <w:top w:val="single" w:color="DDDDDD" w:sz="1"/>
              <w:left w:val="single" w:color="DDDDDD" w:sz="1"/>
              <w:bottom w:val="single" w:color="DDDDDD" w:sz="1"/>
              <w:right w:val="single" w:color="DDDDDD" w:sz="1"/>
            </w:tcBorders>
            <w:shd w:fill="E8E8E8" w:val="clear"/>
            <w:tcMar>
              <w:top w:type="dxa" w:w="60"/>
              <w:left w:type="dxa" w:w="120"/>
              <w:bottom w:type="dxa" w:w="60"/>
              <w:right w:type="dxa" w:w="120"/>
            </w:tcMar>
          </w:tcPr>
          <w:p>
            <w:r>
              <w:rPr>
                <w:rFonts w:ascii="Arial" w:cs="Arial" w:eastAsia="Arial" w:hAnsi="Arial"/>
                <w:b/>
                <w:bCs/>
                <w:sz w:val="18"/>
                <w:szCs w:val="18"/>
              </w:rPr>
              <w:t xml:space="preserve">Verwendung auf der Site</w:t>
            </w:r>
          </w:p>
        </w:tc>
      </w:tr>
      <w:tr>
        <w:tc>
          <w:tcPr>
            <w:tcW w:type="dxa" w:w="900"/>
            <w:tcBorders>
              <w:top w:val="single" w:color="DDDDDD" w:sz="1"/>
              <w:left w:val="single" w:color="DDDDDD" w:sz="1"/>
              <w:bottom w:val="single" w:color="DDDDDD" w:sz="1"/>
              <w:right w:val="single" w:color="DDDDDD" w:sz="1"/>
            </w:tcBorders>
            <w:shd w:fill="FF5900" w:val="clear"/>
            <w:tcMar>
              <w:top w:type="dxa" w:w="80"/>
              <w:left w:type="dxa" w:w="80"/>
              <w:bottom w:type="dxa" w:w="80"/>
              <w:right w:type="dxa" w:w="8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sz w:val="18"/>
                <w:szCs w:val="18"/>
              </w:rPr>
              <w:t xml:space="preserve">#FF5900</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Brand Orange ⚠ (abw. V6)</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16161"/>
                <w:sz w:val="18"/>
                <w:szCs w:val="18"/>
              </w:rPr>
              <w:t xml:space="preserve">Logo 'mh' + 'anwälte', Headlines, Links, Bullets, Buttons — Hauptakzent</w:t>
            </w:r>
          </w:p>
        </w:tc>
      </w:tr>
      <w:tr>
        <w:tc>
          <w:tcPr>
            <w:tcW w:type="dxa" w:w="900"/>
            <w:tcBorders>
              <w:top w:val="single" w:color="DDDDDD" w:sz="1"/>
              <w:left w:val="single" w:color="DDDDDD" w:sz="1"/>
              <w:bottom w:val="single" w:color="DDDDDD" w:sz="1"/>
              <w:right w:val="single" w:color="DDDDDD" w:sz="1"/>
            </w:tcBorders>
            <w:shd w:fill="EFBB20" w:val="clear"/>
            <w:tcMar>
              <w:top w:type="dxa" w:w="80"/>
              <w:left w:type="dxa" w:w="80"/>
              <w:bottom w:type="dxa" w:w="80"/>
              <w:right w:type="dxa" w:w="8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sz w:val="18"/>
                <w:szCs w:val="18"/>
              </w:rPr>
              <w:t xml:space="preserve">#EFBB20</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Gold / Mustard ⚠ (NEU)</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16161"/>
                <w:sz w:val="18"/>
                <w:szCs w:val="18"/>
              </w:rPr>
              <w:t xml:space="preserve">Fullwidth-Banner nach Hero, CTA-Button 'Lernen Sie uns kennen!'</w:t>
            </w:r>
          </w:p>
        </w:tc>
      </w:tr>
      <w:tr>
        <w:tc>
          <w:tcPr>
            <w:tcW w:type="dxa" w:w="900"/>
            <w:tcBorders>
              <w:top w:val="single" w:color="DDDDDD" w:sz="1"/>
              <w:left w:val="single" w:color="DDDDDD" w:sz="1"/>
              <w:bottom w:val="single" w:color="DDDDDD" w:sz="1"/>
              <w:right w:val="single" w:color="DDDDDD" w:sz="1"/>
            </w:tcBorders>
            <w:shd w:fill="333333" w:val="clear"/>
            <w:tcMar>
              <w:top w:type="dxa" w:w="80"/>
              <w:left w:type="dxa" w:w="80"/>
              <w:bottom w:type="dxa" w:w="80"/>
              <w:right w:type="dxa" w:w="8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sz w:val="18"/>
                <w:szCs w:val="18"/>
              </w:rPr>
              <w:t xml:space="preserve">#333333</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Dunkelgrau (Text)</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16161"/>
                <w:sz w:val="18"/>
                <w:szCs w:val="18"/>
              </w:rPr>
              <w:t xml:space="preserve">Fließtext, Headlines dunkel</w:t>
            </w:r>
          </w:p>
        </w:tc>
      </w:tr>
      <w:tr>
        <w:tc>
          <w:tcPr>
            <w:tcW w:type="dxa" w:w="900"/>
            <w:tcBorders>
              <w:top w:val="single" w:color="DDDDDD" w:sz="1"/>
              <w:left w:val="single" w:color="DDDDDD" w:sz="1"/>
              <w:bottom w:val="single" w:color="DDDDDD" w:sz="1"/>
              <w:right w:val="single" w:color="DDDDDD" w:sz="1"/>
            </w:tcBorders>
            <w:shd w:fill="2C353D" w:val="clear"/>
            <w:tcMar>
              <w:top w:type="dxa" w:w="80"/>
              <w:left w:type="dxa" w:w="80"/>
              <w:bottom w:type="dxa" w:w="80"/>
              <w:right w:type="dxa" w:w="8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sz w:val="18"/>
                <w:szCs w:val="18"/>
              </w:rPr>
              <w:t xml:space="preserve">#2C353D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Footer-Dunkelblau</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16161"/>
                <w:sz w:val="18"/>
                <w:szCs w:val="18"/>
              </w:rPr>
              <w:t xml:space="preserve">Footer-Hintergrund, Header-Topbar</w:t>
            </w:r>
          </w:p>
        </w:tc>
      </w:tr>
      <w:tr>
        <w:tc>
          <w:tcPr>
            <w:tcW w:type="dxa" w:w="900"/>
            <w:tcBorders>
              <w:top w:val="single" w:color="DDDDDD" w:sz="1"/>
              <w:left w:val="single" w:color="DDDDDD" w:sz="1"/>
              <w:bottom w:val="single" w:color="DDDDDD" w:sz="1"/>
              <w:right w:val="single" w:color="DDDDDD" w:sz="1"/>
            </w:tcBorders>
            <w:shd w:fill="F8F8F8" w:val="clear"/>
            <w:tcMar>
              <w:top w:type="dxa" w:w="80"/>
              <w:left w:type="dxa" w:w="80"/>
              <w:bottom w:type="dxa" w:w="80"/>
              <w:right w:type="dxa" w:w="8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sz w:val="18"/>
                <w:szCs w:val="18"/>
              </w:rPr>
              <w:t xml:space="preserve">#F8F8F8</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Hellgrau (Hintergrund)</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16161"/>
                <w:sz w:val="18"/>
                <w:szCs w:val="18"/>
              </w:rPr>
              <w:t xml:space="preserve">Sektionshintergrund hell</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sz w:val="18"/>
                <w:szCs w:val="18"/>
              </w:rPr>
              <w:t xml:space="preserve">#FFFFFF</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Weiß</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16161"/>
                <w:sz w:val="18"/>
                <w:szCs w:val="18"/>
              </w:rPr>
              <w:t xml:space="preserve">Header-Hauptbereich, Karten, Content-Bereiche</w:t>
            </w:r>
          </w:p>
        </w:tc>
      </w:tr>
      <w:tr>
        <w:tc>
          <w:tcPr>
            <w:tcW w:type="dxa" w:w="900"/>
            <w:tcBorders>
              <w:top w:val="single" w:color="DDDDDD" w:sz="1"/>
              <w:left w:val="single" w:color="DDDDDD" w:sz="1"/>
              <w:bottom w:val="single" w:color="DDDDDD" w:sz="1"/>
              <w:right w:val="single" w:color="DDDDDD" w:sz="1"/>
            </w:tcBorders>
            <w:shd w:fill="000000" w:val="clear"/>
            <w:tcMar>
              <w:top w:type="dxa" w:w="80"/>
              <w:left w:type="dxa" w:w="80"/>
              <w:bottom w:type="dxa" w:w="80"/>
              <w:right w:type="dxa" w:w="8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sz w:val="18"/>
                <w:szCs w:val="18"/>
              </w:rPr>
              <w:t xml:space="preserve">#000000</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Schwarz</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16161"/>
                <w:sz w:val="18"/>
                <w:szCs w:val="18"/>
              </w:rPr>
              <w:t xml:space="preserve">Foto-Hintergrund (S/W-Fotos)</w:t>
            </w:r>
          </w:p>
        </w:tc>
      </w:tr>
      <w:tr>
        <w:tc>
          <w:tcPr>
            <w:tcW w:type="dxa" w:w="900"/>
            <w:tcBorders>
              <w:top w:val="single" w:color="DDDDDD" w:sz="1"/>
              <w:left w:val="single" w:color="DDDDDD" w:sz="1"/>
              <w:bottom w:val="single" w:color="DDDDDD" w:sz="1"/>
              <w:right w:val="single" w:color="DDDDDD" w:sz="1"/>
            </w:tcBorders>
            <w:shd w:fill="616161" w:val="clear"/>
            <w:tcMar>
              <w:top w:type="dxa" w:w="80"/>
              <w:left w:type="dxa" w:w="80"/>
              <w:bottom w:type="dxa" w:w="80"/>
              <w:right w:type="dxa" w:w="80"/>
            </w:tcMar>
          </w:tcPr>
          <w:p>
            <w:r>
              <w:rPr>
                <w:rFonts w:ascii="Arial" w:cs="Arial" w:eastAsia="Arial" w:hAnsi="Arial"/>
                <w:sz w:val="20"/>
                <w:szCs w:val="20"/>
              </w:rPr>
              <w:t xml:space="preserve"> </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sz w:val="18"/>
                <w:szCs w:val="18"/>
              </w:rPr>
              <w:t xml:space="preserve">#616161</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Mittelgrau</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16161"/>
                <w:sz w:val="18"/>
                <w:szCs w:val="18"/>
              </w:rPr>
              <w:t xml:space="preserve">Sekundärtext, Metadaten</w:t>
            </w:r>
          </w:p>
        </w:tc>
      </w:tr>
    </w:tbl>
    <w:p>
      <w:pPr>
        <w:spacing w:before="200"/>
      </w:pPr>
    </w:p>
    <w:p>
      <w:pPr>
        <w:pStyle w:val="Heading2"/>
        <w:spacing w:after="100" w:before="280"/>
      </w:pPr>
      <w:r>
        <w:rPr>
          <w:rFonts w:ascii="Arial" w:cs="Arial" w:eastAsia="Arial" w:hAnsi="Arial"/>
          <w:b/>
          <w:bCs/>
          <w:color w:val="333333"/>
          <w:sz w:val="26"/>
          <w:szCs w:val="26"/>
        </w:rPr>
        <w:t xml:space="preserve">2.2 Typografie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Schriftfamilie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Serifenlose Sans-Serif (Enfold-Theme Standard, vermutlich Open Sans oder ähnlich)</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Hero Headlines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Versalien, Bold, Weiß auf dunklem Foto-Hintergrund, sehr groß</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H2 auf hellem BG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Versalien, Dunkelgrau, Bold (z. B. 'WAS WIR FÜR SIE TUN. MIT HERZ UND VERSTAND')</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H2 in Tabs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Serifenlos, Bold, Dunkelgrau, kleinerer Goldstrich darunter</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Seitenheadlines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Versalien + Goldlinie darunter (z. B. 'UNSERE TÄTIGKEITSSCHWERPUNKTE')</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Fließtext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Normal, Dunkelgrau (#333), 16–18px</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Navigation Topbar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Kleine Caps/Normal, Hellgrau auf Dunkel</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Navigation Haupt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Normal, Dunkelgrau, nicht Caps (anders als Briefing V6)</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CTA Buttons (outline)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Text outline-style, dunkle Umrandung auf hellem BG / weiße Umrandung auf Orange</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CTA Buttons (gefüllt)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Orange (#FF5900) oder Gold (#EFBB20) gefüllt, weißer Text</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Orange Links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#FF5900, kursiv, Footer und Sidebar</w:t>
            </w:r>
          </w:p>
        </w:tc>
      </w:tr>
    </w:tbl>
    <w:p>
      <w:pPr>
        <w:spacing w:before="200"/>
      </w:pPr>
    </w:p>
    <w:p>
      <w:pPr>
        <w:pStyle w:val="Heading2"/>
        <w:spacing w:after="100" w:before="280"/>
      </w:pPr>
      <w:r>
        <w:rPr>
          <w:rFonts w:ascii="Arial" w:cs="Arial" w:eastAsia="Arial" w:hAnsi="Arial"/>
          <w:b/>
          <w:bCs/>
          <w:color w:val="333333"/>
          <w:sz w:val="26"/>
          <w:szCs w:val="26"/>
        </w:rPr>
        <w:t xml:space="preserve">2.3 Bildsprache</w:t>
      </w:r>
    </w:p>
    <w:p>
      <w:pPr>
        <w:pStyle w:val="ListParagraph"/>
        <w:numPr>
          <w:ilvl w:val="0"/>
          <w:numId w:val="2"/>
        </w:numPr>
        <w:spacing w:after="50" w:before="50"/>
      </w:pPr>
      <w:r>
        <w:rPr>
          <w:rFonts w:ascii="Arial" w:cs="Arial" w:eastAsia="Arial" w:hAnsi="Arial"/>
          <w:color w:val="333333"/>
          <w:sz w:val="20"/>
          <w:szCs w:val="20"/>
        </w:rPr>
        <w:t xml:space="preserve">Alle Teamfotos: Schwarzweiß, quadratisches Format (Portraits), auf schwarzem Hintergrund</w:t>
      </w:r>
    </w:p>
    <w:p>
      <w:pPr>
        <w:pStyle w:val="ListParagraph"/>
        <w:numPr>
          <w:ilvl w:val="0"/>
          <w:numId w:val="2"/>
        </w:numPr>
        <w:spacing w:after="50" w:before="50"/>
      </w:pPr>
      <w:r>
        <w:rPr>
          <w:rFonts w:ascii="Arial" w:cs="Arial" w:eastAsia="Arial" w:hAnsi="Arial"/>
          <w:color w:val="333333"/>
          <w:sz w:val="20"/>
          <w:szCs w:val="20"/>
        </w:rPr>
        <w:t xml:space="preserve">Hero-Bilder: Schwarzweiß-Fotos (Personen, Motive), mit Text-Overlay (Weiß) — anders als Briefing V6 ('kein Text über Hero')</w:t>
      </w:r>
    </w:p>
    <w:p>
      <w:pPr>
        <w:pStyle w:val="ListParagraph"/>
        <w:numPr>
          <w:ilvl w:val="0"/>
          <w:numId w:val="2"/>
        </w:numPr>
        <w:spacing w:after="50" w:before="50"/>
      </w:pPr>
      <w:r>
        <w:rPr>
          <w:rFonts w:ascii="Arial" w:cs="Arial" w:eastAsia="Arial" w:hAnsi="Arial"/>
          <w:color w:val="333333"/>
          <w:sz w:val="20"/>
          <w:szCs w:val="20"/>
        </w:rPr>
        <w:t xml:space="preserve">Slide-Fotos: Michael Hemmerich (lächelnd, vor Graffiti-Wand + weitere Situationsfotos)</w:t>
      </w:r>
    </w:p>
    <w:p>
      <w:pPr>
        <w:pStyle w:val="ListParagraph"/>
        <w:numPr>
          <w:ilvl w:val="0"/>
          <w:numId w:val="2"/>
        </w:numPr>
        <w:spacing w:after="50" w:before="50"/>
      </w:pPr>
      <w:r>
        <w:rPr>
          <w:rFonts w:ascii="Arial" w:cs="Arial" w:eastAsia="Arial" w:hAnsi="Arial"/>
          <w:color w:val="333333"/>
          <w:sz w:val="20"/>
          <w:szCs w:val="20"/>
        </w:rPr>
        <w:t xml:space="preserve">Stimmungsbilder: Pier mit Schild 'DANGER DEEP WATER', Töpfer-Hände, Meer/Himmel</w:t>
      </w:r>
    </w:p>
    <w:p>
      <w:pPr>
        <w:pStyle w:val="ListParagraph"/>
        <w:numPr>
          <w:ilvl w:val="0"/>
          <w:numId w:val="2"/>
        </w:numPr>
        <w:spacing w:after="50" w:before="50"/>
      </w:pPr>
      <w:r>
        <w:rPr>
          <w:rFonts w:ascii="Arial" w:cs="Arial" w:eastAsia="Arial" w:hAnsi="Arial"/>
          <w:color w:val="333333"/>
          <w:sz w:val="20"/>
          <w:szCs w:val="20"/>
        </w:rPr>
        <w:t xml:space="preserve">Bildstil: Editorial, authentisch, stark kontrastreich</w:t>
      </w:r>
    </w:p>
    <w:p>
      <w:pPr>
        <w:pStyle w:val="ListParagraph"/>
        <w:numPr>
          <w:ilvl w:val="0"/>
          <w:numId w:val="2"/>
        </w:numPr>
        <w:spacing w:after="50" w:before="50"/>
      </w:pPr>
      <w:r>
        <w:rPr>
          <w:rFonts w:ascii="Arial" w:cs="Arial" w:eastAsia="Arial" w:hAnsi="Arial"/>
          <w:color w:val="333333"/>
          <w:sz w:val="20"/>
          <w:szCs w:val="20"/>
        </w:rPr>
        <w:t xml:space="preserve">Kein Stockfoto-Stil</w:t>
      </w:r>
    </w:p>
    <w:p>
      <w:pPr>
        <w:pStyle w:val="ListParagraph"/>
        <w:numPr>
          <w:ilvl w:val="0"/>
          <w:numId w:val="2"/>
        </w:numPr>
        <w:spacing w:after="50" w:before="50"/>
      </w:pPr>
      <w:r>
        <w:rPr>
          <w:rFonts w:ascii="Arial" w:cs="Arial" w:eastAsia="Arial" w:hAnsi="Arial"/>
          <w:color w:val="333333"/>
          <w:sz w:val="20"/>
          <w:szCs w:val="20"/>
        </w:rPr>
        <w:t xml:space="preserve">Alle Bilder: WebP-Format, Lazy Load</w:t>
      </w:r>
    </w:p>
    <w:p>
      <w:pPr>
        <w:spacing w:before="200"/>
      </w:pPr>
    </w:p>
    <w:p>
      <w:pPr>
        <w:pStyle w:val="Heading2"/>
        <w:spacing w:after="100" w:before="280"/>
      </w:pPr>
      <w:r>
        <w:rPr>
          <w:rFonts w:ascii="Arial" w:cs="Arial" w:eastAsia="Arial" w:hAnsi="Arial"/>
          <w:b/>
          <w:bCs/>
          <w:color w:val="333333"/>
          <w:sz w:val="26"/>
          <w:szCs w:val="26"/>
        </w:rPr>
        <w:t xml:space="preserve">2.4 Layout-Muster</w:t>
      </w:r>
    </w:p>
    <w:p>
      <w:pPr>
        <w:pStyle w:val="ListParagraph"/>
        <w:numPr>
          <w:ilvl w:val="0"/>
          <w:numId w:val="2"/>
        </w:numPr>
        <w:spacing w:after="50" w:before="50"/>
      </w:pPr>
      <w:r>
        <w:rPr>
          <w:rFonts w:ascii="Arial" w:cs="Arial" w:eastAsia="Arial" w:hAnsi="Arial"/>
          <w:color w:val="333333"/>
          <w:sz w:val="20"/>
          <w:szCs w:val="20"/>
        </w:rPr>
        <w:t xml:space="preserve">Header Topbar: Dunkel (#2C353D) / LinkedIn-Icon + Telefon links / Datenschutz, Glossare, News, Kundenstimmen rechts</w:t>
      </w:r>
    </w:p>
    <w:p>
      <w:pPr>
        <w:pStyle w:val="ListParagraph"/>
        <w:numPr>
          <w:ilvl w:val="0"/>
          <w:numId w:val="2"/>
        </w:numPr>
        <w:spacing w:after="50" w:before="50"/>
      </w:pPr>
      <w:r>
        <w:rPr>
          <w:rFonts w:ascii="Arial" w:cs="Arial" w:eastAsia="Arial" w:hAnsi="Arial"/>
          <w:color w:val="333333"/>
          <w:sz w:val="20"/>
          <w:szCs w:val="20"/>
        </w:rPr>
        <w:t xml:space="preserve">Header Haupt: Weiß, Logo rechts, Navigation links (Home | Menschen | Tätigkeitsschwerpunkte | Über uns | Kontakt | News)</w:t>
      </w:r>
    </w:p>
    <w:p>
      <w:pPr>
        <w:pStyle w:val="ListParagraph"/>
        <w:numPr>
          <w:ilvl w:val="0"/>
          <w:numId w:val="2"/>
        </w:numPr>
        <w:spacing w:after="50" w:before="50"/>
      </w:pPr>
      <w:r>
        <w:rPr>
          <w:rFonts w:ascii="Arial" w:cs="Arial" w:eastAsia="Arial" w:hAnsi="Arial"/>
          <w:color w:val="333333"/>
          <w:sz w:val="20"/>
          <w:szCs w:val="20"/>
        </w:rPr>
        <w:t xml:space="preserve">Hero: Fullwidth-Bildslider (4+ Slides), Text-Overlay auf Foto, zwei CTA-Buttons pro Slide</w:t>
      </w:r>
    </w:p>
    <w:p>
      <w:pPr>
        <w:pStyle w:val="ListParagraph"/>
        <w:numPr>
          <w:ilvl w:val="0"/>
          <w:numId w:val="2"/>
        </w:numPr>
        <w:spacing w:after="50" w:before="50"/>
      </w:pPr>
      <w:r>
        <w:rPr>
          <w:rFonts w:ascii="Arial" w:cs="Arial" w:eastAsia="Arial" w:hAnsi="Arial"/>
          <w:color w:val="333333"/>
          <w:sz w:val="20"/>
          <w:szCs w:val="20"/>
        </w:rPr>
        <w:t xml:space="preserve">Gold-Banner: Fullwidth, #EFBB20, weißer Text, CTA-Button</w:t>
      </w:r>
    </w:p>
    <w:p>
      <w:pPr>
        <w:pStyle w:val="ListParagraph"/>
        <w:numPr>
          <w:ilvl w:val="0"/>
          <w:numId w:val="2"/>
        </w:numPr>
        <w:spacing w:after="50" w:before="50"/>
      </w:pPr>
      <w:r>
        <w:rPr>
          <w:rFonts w:ascii="Arial" w:cs="Arial" w:eastAsia="Arial" w:hAnsi="Arial"/>
          <w:color w:val="333333"/>
          <w:sz w:val="20"/>
          <w:szCs w:val="20"/>
        </w:rPr>
        <w:t xml:space="preserve">Kompetenzen: 3-Tab-System (Insolvenzrecht / Arbeitsrecht / Gesellschaftsrecht), Tab-Wechsel zeigt Beschreibungstext + Portfolio-Grid</w:t>
      </w:r>
    </w:p>
    <w:p>
      <w:pPr>
        <w:pStyle w:val="ListParagraph"/>
        <w:numPr>
          <w:ilvl w:val="0"/>
          <w:numId w:val="2"/>
        </w:numPr>
        <w:spacing w:after="50" w:before="50"/>
      </w:pPr>
      <w:r>
        <w:rPr>
          <w:rFonts w:ascii="Arial" w:cs="Arial" w:eastAsia="Arial" w:hAnsi="Arial"/>
          <w:color w:val="333333"/>
          <w:sz w:val="20"/>
          <w:szCs w:val="20"/>
        </w:rPr>
        <w:t xml:space="preserve">Portfolio-Grid: 2-spaltig, Schwarz-Weiß-Bilder, Hover-Effekt</w:t>
      </w:r>
    </w:p>
    <w:p>
      <w:pPr>
        <w:pStyle w:val="ListParagraph"/>
        <w:numPr>
          <w:ilvl w:val="0"/>
          <w:numId w:val="2"/>
        </w:numPr>
        <w:spacing w:after="50" w:before="50"/>
      </w:pPr>
      <w:r>
        <w:rPr>
          <w:rFonts w:ascii="Arial" w:cs="Arial" w:eastAsia="Arial" w:hAnsi="Arial"/>
          <w:color w:val="333333"/>
          <w:sz w:val="20"/>
          <w:szCs w:val="20"/>
        </w:rPr>
        <w:t xml:space="preserve">Über uns: Vollbild-Foto als Intro, dann Textblöcke in Sektionen</w:t>
      </w:r>
    </w:p>
    <w:p>
      <w:pPr>
        <w:pStyle w:val="ListParagraph"/>
        <w:numPr>
          <w:ilvl w:val="0"/>
          <w:numId w:val="2"/>
        </w:numPr>
        <w:spacing w:after="50" w:before="50"/>
      </w:pPr>
      <w:r>
        <w:rPr>
          <w:rFonts w:ascii="Arial" w:cs="Arial" w:eastAsia="Arial" w:hAnsi="Arial"/>
          <w:color w:val="333333"/>
          <w:sz w:val="20"/>
          <w:szCs w:val="20"/>
        </w:rPr>
        <w:t xml:space="preserve">Menschen: Einspaltig, Portraits stacked, dann Detailseite pro Person</w:t>
      </w:r>
    </w:p>
    <w:p>
      <w:pPr>
        <w:pStyle w:val="ListParagraph"/>
        <w:numPr>
          <w:ilvl w:val="0"/>
          <w:numId w:val="2"/>
        </w:numPr>
        <w:spacing w:after="50" w:before="50"/>
      </w:pPr>
      <w:r>
        <w:rPr>
          <w:rFonts w:ascii="Arial" w:cs="Arial" w:eastAsia="Arial" w:hAnsi="Arial"/>
          <w:color w:val="333333"/>
          <w:sz w:val="20"/>
          <w:szCs w:val="20"/>
        </w:rPr>
        <w:t xml:space="preserve">Footer: 4–5-spaltig, dunkler Hintergrund (#2C353D), Orange Links</w:t>
      </w:r>
    </w:p>
    <w:p>
      <w:pPr>
        <w:pStyle w:val="ListParagraph"/>
        <w:numPr>
          <w:ilvl w:val="0"/>
          <w:numId w:val="2"/>
        </w:numPr>
        <w:spacing w:after="50" w:before="50"/>
      </w:pPr>
      <w:r>
        <w:rPr>
          <w:rFonts w:ascii="Arial" w:cs="Arial" w:eastAsia="Arial" w:hAnsi="Arial"/>
          <w:color w:val="333333"/>
          <w:sz w:val="20"/>
          <w:szCs w:val="20"/>
        </w:rPr>
        <w:t xml:space="preserve">Copyright-Leiste: schmal, zentriert, ganz unten</w:t>
      </w:r>
    </w:p>
    <w:p>
      <w:pPr>
        <w:pBdr>
          <w:bottom w:val="single" w:color="EEEEEE" w:sz="4" w:space="1"/>
        </w:pBdr>
        <w:spacing w:after="240" w:before="240"/>
      </w:pPr>
    </w:p>
    <w:p>
      <w:pPr>
        <w:pStyle w:val="Heading1"/>
        <w:spacing w:after="160" w:before="480"/>
      </w:pPr>
      <w:r>
        <w:rPr>
          <w:rFonts w:ascii="Arial" w:cs="Arial" w:eastAsia="Arial" w:hAnsi="Arial"/>
          <w:b/>
          <w:bCs/>
          <w:color w:val="FF5900"/>
          <w:sz w:val="32"/>
          <w:szCs w:val="32"/>
        </w:rPr>
        <w:t xml:space="preserve">3. Seitenstruktur &amp; Navigation</w:t>
      </w:r>
    </w:p>
    <w:p>
      <w:pPr>
        <w:pStyle w:val="Heading2"/>
        <w:spacing w:after="100" w:before="280"/>
      </w:pPr>
      <w:r>
        <w:rPr>
          <w:rFonts w:ascii="Arial" w:cs="Arial" w:eastAsia="Arial" w:hAnsi="Arial"/>
          <w:b/>
          <w:bCs/>
          <w:color w:val="333333"/>
          <w:sz w:val="26"/>
          <w:szCs w:val="26"/>
        </w:rPr>
        <w:t xml:space="preserve">3.1 Topbar (zweite Navigationsebene)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Links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LinkedIn-Icon | Telefon: +49 (0) 69 5308 750</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Rechts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Datenschutzerklärung | Glossare – Krise und Sanierung, Arbeitsrecht, Gesellschaftsrecht | News | Kundenstimmen</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Hintergrund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#2C353D (dunkelblaugrau)</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Textfarbe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Hellgrau / Weiß</w:t>
            </w:r>
          </w:p>
        </w:tc>
      </w:tr>
    </w:tbl>
    <w:p>
      <w:pPr>
        <w:spacing w:before="200"/>
      </w:pPr>
    </w:p>
    <w:p>
      <w:pPr>
        <w:pStyle w:val="Heading2"/>
        <w:spacing w:after="100" w:before="280"/>
      </w:pPr>
      <w:r>
        <w:rPr>
          <w:rFonts w:ascii="Arial" w:cs="Arial" w:eastAsia="Arial" w:hAnsi="Arial"/>
          <w:b/>
          <w:bCs/>
          <w:color w:val="333333"/>
          <w:sz w:val="26"/>
          <w:szCs w:val="26"/>
        </w:rPr>
        <w:t xml:space="preserve">3.2 Hauptnavigation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Home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Startseite</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Menschen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Teamseite mit Portraits (Michael Hemmerich, Gerrit André Richter, Seda Uluc)</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Tätigkeitsschwerpunkte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Übersichtsseite mit 3 Bereichen (Krise &amp; Sanierung, Arbeitsrecht, Gesellschaftsrecht)</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Über uns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Kanzlei-Selbstdarstellung mit Sektionen: Team, Weiterbildung, Technologie, Haltung, Timing</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Kontakt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Kontaktformular + Adresse + Anfahrt</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News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Blog-Archiv nach Kategorien</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Kein CTA-Button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Anders als Briefing V6 — kein 'KENNENLERNEN'-Button in Hauptnav</w:t>
            </w:r>
          </w:p>
        </w:tc>
      </w:tr>
    </w:tbl>
    <w:p>
      <w:pPr>
        <w:spacing w:before="200"/>
      </w:pPr>
    </w:p>
    <w:p>
      <w:pPr>
        <w:pStyle w:val="Heading2"/>
        <w:spacing w:after="100" w:before="280"/>
      </w:pPr>
      <w:r>
        <w:rPr>
          <w:rFonts w:ascii="Arial" w:cs="Arial" w:eastAsia="Arial" w:hAnsi="Arial"/>
          <w:b/>
          <w:bCs/>
          <w:color w:val="333333"/>
          <w:sz w:val="26"/>
          <w:szCs w:val="26"/>
        </w:rPr>
        <w:t xml:space="preserve">3.3 Menschen-Dropdown (Hover)</w:t>
      </w:r>
    </w:p>
    <w:p>
      <w:pPr>
        <w:pStyle w:val="ListParagraph"/>
        <w:numPr>
          <w:ilvl w:val="0"/>
          <w:numId w:val="2"/>
        </w:numPr>
        <w:spacing w:after="50" w:before="50"/>
      </w:pPr>
      <w:r>
        <w:rPr>
          <w:rFonts w:ascii="Arial" w:cs="Arial" w:eastAsia="Arial" w:hAnsi="Arial"/>
          <w:color w:val="333333"/>
          <w:sz w:val="20"/>
          <w:szCs w:val="20"/>
        </w:rPr>
        <w:t xml:space="preserve">Seda Uluc</w:t>
      </w:r>
    </w:p>
    <w:p>
      <w:pPr>
        <w:pStyle w:val="ListParagraph"/>
        <w:numPr>
          <w:ilvl w:val="0"/>
          <w:numId w:val="2"/>
        </w:numPr>
        <w:spacing w:after="50" w:before="50"/>
      </w:pPr>
      <w:r>
        <w:rPr>
          <w:rFonts w:ascii="Arial" w:cs="Arial" w:eastAsia="Arial" w:hAnsi="Arial"/>
          <w:color w:val="333333"/>
          <w:sz w:val="20"/>
          <w:szCs w:val="20"/>
        </w:rPr>
        <w:t xml:space="preserve">Gerrit André Richter</w:t>
      </w:r>
    </w:p>
    <w:p>
      <w:pPr>
        <w:pStyle w:val="ListParagraph"/>
        <w:numPr>
          <w:ilvl w:val="0"/>
          <w:numId w:val="2"/>
        </w:numPr>
        <w:spacing w:after="50" w:before="50"/>
      </w:pPr>
      <w:r>
        <w:rPr>
          <w:rFonts w:ascii="Arial" w:cs="Arial" w:eastAsia="Arial" w:hAnsi="Arial"/>
          <w:color w:val="333333"/>
          <w:sz w:val="20"/>
          <w:szCs w:val="20"/>
        </w:rPr>
        <w:t xml:space="preserve">Michael Hemmerich (LL.M.)</w:t>
      </w:r>
    </w:p>
    <w:p>
      <w:pPr>
        <w:spacing w:before="200"/>
      </w:pPr>
    </w:p>
    <w:p>
      <w:pPr>
        <w:pStyle w:val="Heading2"/>
        <w:spacing w:after="100" w:before="280"/>
      </w:pPr>
      <w:r>
        <w:rPr>
          <w:rFonts w:ascii="Arial" w:cs="Arial" w:eastAsia="Arial" w:hAnsi="Arial"/>
          <w:b/>
          <w:bCs/>
          <w:color w:val="333333"/>
          <w:sz w:val="26"/>
          <w:szCs w:val="26"/>
        </w:rPr>
        <w:t xml:space="preserve">3.4 Tätigkeitsschwerpunkte-Dropdown (Hover)</w:t>
      </w:r>
    </w:p>
    <w:p>
      <w:pPr>
        <w:pStyle w:val="ListParagraph"/>
        <w:numPr>
          <w:ilvl w:val="0"/>
          <w:numId w:val="2"/>
        </w:numPr>
        <w:spacing w:after="50" w:before="50"/>
      </w:pPr>
      <w:r>
        <w:rPr>
          <w:rFonts w:ascii="Arial" w:cs="Arial" w:eastAsia="Arial" w:hAnsi="Arial"/>
          <w:color w:val="333333"/>
          <w:sz w:val="20"/>
          <w:szCs w:val="20"/>
        </w:rPr>
        <w:t xml:space="preserve">Krise und Sanierung</w:t>
      </w:r>
    </w:p>
    <w:p>
      <w:pPr>
        <w:pStyle w:val="ListParagraph"/>
        <w:numPr>
          <w:ilvl w:val="0"/>
          <w:numId w:val="2"/>
        </w:numPr>
        <w:spacing w:after="50" w:before="50"/>
      </w:pPr>
      <w:r>
        <w:rPr>
          <w:rFonts w:ascii="Arial" w:cs="Arial" w:eastAsia="Arial" w:hAnsi="Arial"/>
          <w:color w:val="333333"/>
          <w:sz w:val="20"/>
          <w:szCs w:val="20"/>
        </w:rPr>
        <w:t xml:space="preserve">Arbeitsrecht</w:t>
      </w:r>
    </w:p>
    <w:p>
      <w:pPr>
        <w:pStyle w:val="ListParagraph"/>
        <w:numPr>
          <w:ilvl w:val="0"/>
          <w:numId w:val="2"/>
        </w:numPr>
        <w:spacing w:after="50" w:before="50"/>
      </w:pPr>
      <w:r>
        <w:rPr>
          <w:rFonts w:ascii="Arial" w:cs="Arial" w:eastAsia="Arial" w:hAnsi="Arial"/>
          <w:color w:val="333333"/>
          <w:sz w:val="20"/>
          <w:szCs w:val="20"/>
        </w:rPr>
        <w:t xml:space="preserve">Gesellschaftsrecht</w:t>
      </w:r>
    </w:p>
    <w:p>
      <w:pPr>
        <w:spacing w:before="200"/>
      </w:pPr>
    </w:p>
    <w:p>
      <w:pPr>
        <w:pStyle w:val="Heading2"/>
        <w:spacing w:after="100" w:before="280"/>
      </w:pPr>
      <w:r>
        <w:rPr>
          <w:rFonts w:ascii="Arial" w:cs="Arial" w:eastAsia="Arial" w:hAnsi="Arial"/>
          <w:b/>
          <w:bCs/>
          <w:color w:val="333333"/>
          <w:sz w:val="26"/>
          <w:szCs w:val="26"/>
        </w:rPr>
        <w:t xml:space="preserve">3.5 Über uns-Dropdown (Hover)</w:t>
      </w:r>
    </w:p>
    <w:p>
      <w:pPr>
        <w:pStyle w:val="ListParagraph"/>
        <w:numPr>
          <w:ilvl w:val="0"/>
          <w:numId w:val="2"/>
        </w:numPr>
        <w:spacing w:after="50" w:before="50"/>
      </w:pPr>
      <w:r>
        <w:rPr>
          <w:rFonts w:ascii="Arial" w:cs="Arial" w:eastAsia="Arial" w:hAnsi="Arial"/>
          <w:color w:val="333333"/>
          <w:sz w:val="20"/>
          <w:szCs w:val="20"/>
        </w:rPr>
        <w:t xml:space="preserve">Tätigkeitsschwerpunkte</w:t>
      </w:r>
    </w:p>
    <w:p>
      <w:pPr>
        <w:pStyle w:val="ListParagraph"/>
        <w:numPr>
          <w:ilvl w:val="0"/>
          <w:numId w:val="2"/>
        </w:numPr>
        <w:spacing w:after="50" w:before="50"/>
      </w:pPr>
      <w:r>
        <w:rPr>
          <w:rFonts w:ascii="Arial" w:cs="Arial" w:eastAsia="Arial" w:hAnsi="Arial"/>
          <w:color w:val="333333"/>
          <w:sz w:val="20"/>
          <w:szCs w:val="20"/>
        </w:rPr>
        <w:t xml:space="preserve">Kontakt</w:t>
      </w:r>
    </w:p>
    <w:p>
      <w:pPr>
        <w:pStyle w:val="ListParagraph"/>
        <w:numPr>
          <w:ilvl w:val="0"/>
          <w:numId w:val="2"/>
        </w:numPr>
        <w:spacing w:after="50" w:before="50"/>
      </w:pPr>
      <w:r>
        <w:rPr>
          <w:rFonts w:ascii="Arial" w:cs="Arial" w:eastAsia="Arial" w:hAnsi="Arial"/>
          <w:color w:val="333333"/>
          <w:sz w:val="20"/>
          <w:szCs w:val="20"/>
        </w:rPr>
        <w:t xml:space="preserve">Glossare – Krise und Sanierung, Arbeitsrecht, Gesellschaftsrecht</w:t>
      </w:r>
    </w:p>
    <w:p>
      <w:pPr>
        <w:pStyle w:val="ListParagraph"/>
        <w:numPr>
          <w:ilvl w:val="0"/>
          <w:numId w:val="2"/>
        </w:numPr>
        <w:spacing w:after="50" w:before="50"/>
      </w:pPr>
      <w:r>
        <w:rPr>
          <w:rFonts w:ascii="Arial" w:cs="Arial" w:eastAsia="Arial" w:hAnsi="Arial"/>
          <w:color w:val="333333"/>
          <w:sz w:val="20"/>
          <w:szCs w:val="20"/>
        </w:rPr>
        <w:t xml:space="preserve">Datenschutzerklärung</w:t>
      </w:r>
    </w:p>
    <w:p>
      <w:pPr>
        <w:pStyle w:val="ListParagraph"/>
        <w:numPr>
          <w:ilvl w:val="0"/>
          <w:numId w:val="2"/>
        </w:numPr>
        <w:spacing w:after="50" w:before="50"/>
      </w:pPr>
      <w:r>
        <w:rPr>
          <w:rFonts w:ascii="Arial" w:cs="Arial" w:eastAsia="Arial" w:hAnsi="Arial"/>
          <w:color w:val="333333"/>
          <w:sz w:val="20"/>
          <w:szCs w:val="20"/>
        </w:rPr>
        <w:t xml:space="preserve">Feedback – Bewertungen unserer Kunden</w:t>
      </w:r>
    </w:p>
    <w:p>
      <w:pPr>
        <w:pBdr>
          <w:bottom w:val="single" w:color="EEEEEE" w:sz="4" w:space="1"/>
        </w:pBdr>
        <w:spacing w:after="240" w:before="240"/>
      </w:pPr>
    </w:p>
    <w:p>
      <w:pPr>
        <w:pStyle w:val="Heading1"/>
        <w:spacing w:after="160" w:before="480"/>
      </w:pPr>
      <w:r>
        <w:rPr>
          <w:rFonts w:ascii="Arial" w:cs="Arial" w:eastAsia="Arial" w:hAnsi="Arial"/>
          <w:b/>
          <w:bCs/>
          <w:color w:val="FF5900"/>
          <w:sz w:val="32"/>
          <w:szCs w:val="32"/>
        </w:rPr>
        <w:t xml:space="preserve">4. Homepage — Sektionen &amp; Originaltexte</w:t>
      </w:r>
    </w:p>
    <w:p>
      <w:pPr>
        <w:pStyle w:val="Heading2"/>
        <w:spacing w:after="100" w:before="280"/>
      </w:pPr>
      <w:r>
        <w:rPr>
          <w:rFonts w:ascii="Arial" w:cs="Arial" w:eastAsia="Arial" w:hAnsi="Arial"/>
          <w:b/>
          <w:bCs/>
          <w:color w:val="333333"/>
          <w:sz w:val="26"/>
          <w:szCs w:val="26"/>
        </w:rPr>
        <w:t xml:space="preserve">4.1 Hero-Slider (4 Slides, Fullwidth, S/W-Fotos)</w:t>
      </w:r>
    </w:p>
    <w:p>
      <w:pPr>
        <w:spacing w:after="80" w:before="80"/>
      </w:pPr>
      <w:r>
        <w:rPr>
          <w:rFonts w:ascii="Arial" w:cs="Arial" w:eastAsia="Arial" w:hAnsi="Arial"/>
          <w:color w:val="333333"/>
          <w:sz w:val="20"/>
          <w:szCs w:val="20"/>
        </w:rPr>
        <w:t xml:space="preserve">Alle Slides: Schwarzweiß-Foto Fullwidth, Titel in Versalien (Weiß), Subline, 2 CTA-Buttons (einer outline, einer gefüllt orange). Paginierung: '1 2 3 4'.</w:t>
      </w:r>
    </w:p>
    <w:p>
      <w:pPr>
        <w:spacing w:before="120"/>
      </w:pPr>
    </w:p>
    <w:p>
      <w:pPr>
        <w:spacing w:after="80" w:before="200"/>
      </w:pPr>
      <w:r>
        <w:rPr>
          <w:rFonts w:ascii="Arial" w:cs="Arial" w:eastAsia="Arial" w:hAnsi="Arial"/>
          <w:b/>
          <w:bCs/>
          <w:color w:val="616161"/>
          <w:sz w:val="22"/>
          <w:szCs w:val="22"/>
        </w:rPr>
        <w:t xml:space="preserve">Slide 1</w:t>
      </w:r>
    </w:p>
    <w:p>
      <w:pPr>
        <w:spacing w:after="80" w:before="80"/>
      </w:pPr>
      <w:r>
        <w:rPr>
          <w:rFonts w:ascii="Arial" w:cs="Arial" w:eastAsia="Arial" w:hAnsi="Arial"/>
          <w:color w:val="333333"/>
          <w:sz w:val="20"/>
          <w:szCs w:val="20"/>
        </w:rPr>
        <w:t xml:space="preserve">Headline: RECHTSBERATUNG MUSS IMMER MODERN SEIN UND ZUKUNFTSORIENTIERT</w:t>
      </w:r>
    </w:p>
    <w:p>
      <w:pPr>
        <w:spacing w:after="80" w:before="80"/>
      </w:pPr>
      <w:r>
        <w:rPr>
          <w:rFonts w:ascii="Arial" w:cs="Arial" w:eastAsia="Arial" w:hAnsi="Arial"/>
          <w:color w:val="333333"/>
          <w:sz w:val="20"/>
          <w:szCs w:val="20"/>
        </w:rPr>
        <w:t xml:space="preserve">Subline: Wir helfen Ihnen eine Zukunft zu gestalten. Ihre Zukunft!</w:t>
      </w:r>
    </w:p>
    <w:p>
      <w:pPr>
        <w:spacing w:after="80" w:before="80"/>
      </w:pPr>
      <w:r>
        <w:rPr>
          <w:rFonts w:ascii="Arial" w:cs="Arial" w:eastAsia="Arial" w:hAnsi="Arial"/>
          <w:color w:val="333333"/>
          <w:sz w:val="20"/>
          <w:szCs w:val="20"/>
        </w:rPr>
        <w:t xml:space="preserve">CTAs: 'DER MENSCH HINTER DEM BILD' (outline) | 'EINFACH KONTAKT AUFNEHMEN' (Orange)</w:t>
      </w:r>
    </w:p>
    <w:p>
      <w:pPr>
        <w:spacing w:before="100"/>
      </w:pPr>
    </w:p>
    <w:p>
      <w:pPr>
        <w:spacing w:after="80" w:before="200"/>
      </w:pPr>
      <w:r>
        <w:rPr>
          <w:rFonts w:ascii="Arial" w:cs="Arial" w:eastAsia="Arial" w:hAnsi="Arial"/>
          <w:b/>
          <w:bCs/>
          <w:color w:val="616161"/>
          <w:sz w:val="22"/>
          <w:szCs w:val="22"/>
        </w:rPr>
        <w:t xml:space="preserve">Slide 2</w:t>
      </w:r>
    </w:p>
    <w:p>
      <w:pPr>
        <w:spacing w:after="80" w:before="80"/>
      </w:pPr>
      <w:r>
        <w:rPr>
          <w:rFonts w:ascii="Arial" w:cs="Arial" w:eastAsia="Arial" w:hAnsi="Arial"/>
          <w:color w:val="333333"/>
          <w:sz w:val="20"/>
          <w:szCs w:val="20"/>
        </w:rPr>
        <w:t xml:space="preserve">Headline: VERLÄSSLICHKEIT IST UNSER PRINZIP!</w:t>
      </w:r>
    </w:p>
    <w:p>
      <w:pPr>
        <w:spacing w:after="80" w:before="80"/>
      </w:pPr>
      <w:r>
        <w:rPr>
          <w:rFonts w:ascii="Arial" w:cs="Arial" w:eastAsia="Arial" w:hAnsi="Arial"/>
          <w:color w:val="333333"/>
          <w:sz w:val="20"/>
          <w:szCs w:val="20"/>
        </w:rPr>
        <w:t xml:space="preserve">Subline: Jeden Tag, in jeder Situation, in jedem Fall.</w:t>
      </w:r>
    </w:p>
    <w:p>
      <w:pPr>
        <w:spacing w:after="80" w:before="80"/>
      </w:pPr>
      <w:r>
        <w:rPr>
          <w:rFonts w:ascii="Arial" w:cs="Arial" w:eastAsia="Arial" w:hAnsi="Arial"/>
          <w:color w:val="333333"/>
          <w:sz w:val="20"/>
          <w:szCs w:val="20"/>
        </w:rPr>
        <w:t xml:space="preserve">CTAs: 'DER MENSCH HINTER DEM BILD' | 'WAS WIR FÜR SIE TUN'</w:t>
      </w:r>
    </w:p>
    <w:p>
      <w:pPr>
        <w:spacing w:before="100"/>
      </w:pPr>
    </w:p>
    <w:p>
      <w:pPr>
        <w:spacing w:after="80" w:before="200"/>
      </w:pPr>
      <w:r>
        <w:rPr>
          <w:rFonts w:ascii="Arial" w:cs="Arial" w:eastAsia="Arial" w:hAnsi="Arial"/>
          <w:b/>
          <w:bCs/>
          <w:color w:val="616161"/>
          <w:sz w:val="22"/>
          <w:szCs w:val="22"/>
        </w:rPr>
        <w:t xml:space="preserve">Slide 3</w:t>
      </w:r>
    </w:p>
    <w:p>
      <w:pPr>
        <w:spacing w:after="80" w:before="80"/>
      </w:pPr>
      <w:r>
        <w:rPr>
          <w:rFonts w:ascii="Arial" w:cs="Arial" w:eastAsia="Arial" w:hAnsi="Arial"/>
          <w:color w:val="333333"/>
          <w:sz w:val="20"/>
          <w:szCs w:val="20"/>
        </w:rPr>
        <w:t xml:space="preserve">Headline: ES GIBT KEINE STANDARDLÖSUNGEN FÜR AUSSERGEWÖHNLICHE SITUATIONEN!</w:t>
      </w:r>
    </w:p>
    <w:p>
      <w:pPr>
        <w:spacing w:after="80" w:before="80"/>
      </w:pPr>
      <w:r>
        <w:rPr>
          <w:rFonts w:ascii="Arial" w:cs="Arial" w:eastAsia="Arial" w:hAnsi="Arial"/>
          <w:color w:val="333333"/>
          <w:sz w:val="20"/>
          <w:szCs w:val="20"/>
        </w:rPr>
        <w:t xml:space="preserve">Subline: Jeder Fall ist individuell. Unser Ziel ist es, mit Ihnen gemeinsam den Hebel zu finden.</w:t>
      </w:r>
    </w:p>
    <w:p>
      <w:pPr>
        <w:spacing w:after="80" w:before="80"/>
      </w:pPr>
      <w:r>
        <w:rPr>
          <w:rFonts w:ascii="Arial" w:cs="Arial" w:eastAsia="Arial" w:hAnsi="Arial"/>
          <w:color w:val="333333"/>
          <w:sz w:val="20"/>
          <w:szCs w:val="20"/>
        </w:rPr>
        <w:t xml:space="preserve">CTAs: 'UNSERE HERANGEHENSWEISE' | 'EINFACH KONTAKT AUFNEHMEN'</w:t>
      </w:r>
    </w:p>
    <w:p>
      <w:pPr>
        <w:spacing w:before="100"/>
      </w:pPr>
    </w:p>
    <w:p>
      <w:pPr>
        <w:spacing w:after="80" w:before="200"/>
      </w:pPr>
      <w:r>
        <w:rPr>
          <w:rFonts w:ascii="Arial" w:cs="Arial" w:eastAsia="Arial" w:hAnsi="Arial"/>
          <w:b/>
          <w:bCs/>
          <w:color w:val="616161"/>
          <w:sz w:val="22"/>
          <w:szCs w:val="22"/>
        </w:rPr>
        <w:t xml:space="preserve">Slide 4</w:t>
      </w:r>
    </w:p>
    <w:p>
      <w:pPr>
        <w:spacing w:after="80" w:before="80"/>
      </w:pPr>
      <w:r>
        <w:rPr>
          <w:rFonts w:ascii="Arial" w:cs="Arial" w:eastAsia="Arial" w:hAnsi="Arial"/>
          <w:color w:val="333333"/>
          <w:sz w:val="20"/>
          <w:szCs w:val="20"/>
        </w:rPr>
        <w:t xml:space="preserve">Headline: FRISCHER WIND FÜHRT UNS ÜBER DAS MEER!</w:t>
      </w:r>
    </w:p>
    <w:p>
      <w:pPr>
        <w:spacing w:after="80" w:before="80"/>
      </w:pPr>
      <w:r>
        <w:rPr>
          <w:rFonts w:ascii="Arial" w:cs="Arial" w:eastAsia="Arial" w:hAnsi="Arial"/>
          <w:color w:val="333333"/>
          <w:sz w:val="20"/>
          <w:szCs w:val="20"/>
        </w:rPr>
        <w:t xml:space="preserve">Subline: Ihre Herausforderungen – meine Challenge!</w:t>
      </w:r>
    </w:p>
    <w:p>
      <w:pPr>
        <w:spacing w:after="80" w:before="80"/>
      </w:pPr>
      <w:r>
        <w:rPr>
          <w:rFonts w:ascii="Arial" w:cs="Arial" w:eastAsia="Arial" w:hAnsi="Arial"/>
          <w:color w:val="333333"/>
          <w:sz w:val="20"/>
          <w:szCs w:val="20"/>
        </w:rPr>
        <w:t xml:space="preserve">CTAs: 'DER MENSCH HINTER DEM BILD' | 'EINFACH KONTAKT AUFNEHMEN'</w:t>
      </w:r>
    </w:p>
    <w:p>
      <w:pPr>
        <w:spacing w:before="200"/>
      </w:pPr>
    </w:p>
    <w:p>
      <w:pPr>
        <w:pStyle w:val="Heading2"/>
        <w:spacing w:after="100" w:before="280"/>
      </w:pPr>
      <w:r>
        <w:rPr>
          <w:rFonts w:ascii="Arial" w:cs="Arial" w:eastAsia="Arial" w:hAnsi="Arial"/>
          <w:b/>
          <w:bCs/>
          <w:color w:val="333333"/>
          <w:sz w:val="26"/>
          <w:szCs w:val="26"/>
        </w:rPr>
        <w:t xml:space="preserve">4.2 Gold-Banner (direkt nach Hero)</w:t>
      </w:r>
    </w:p>
    <w:p>
      <w:pPr>
        <w:spacing w:after="80" w:before="80"/>
      </w:pPr>
      <w:r>
        <w:rPr>
          <w:rFonts w:ascii="Arial" w:cs="Arial" w:eastAsia="Arial" w:hAnsi="Arial"/>
          <w:color w:val="333333"/>
          <w:sz w:val="20"/>
          <w:szCs w:val="20"/>
        </w:rPr>
        <w:t xml:space="preserve">Text: 'Klar, kantig, kompetent. Wir beraten Unternehmer. Modern seit mehr als 25 Jahren.'</w:t>
      </w:r>
    </w:p>
    <w:p>
      <w:pPr>
        <w:spacing w:after="80" w:before="80"/>
      </w:pPr>
      <w:r>
        <w:rPr>
          <w:rFonts w:ascii="Arial" w:cs="Arial" w:eastAsia="Arial" w:hAnsi="Arial"/>
          <w:color w:val="333333"/>
          <w:sz w:val="20"/>
          <w:szCs w:val="20"/>
        </w:rPr>
        <w:t xml:space="preserve">CTA: 'Lernen Sie uns kennen!' — Outline-Button, weißer Text auf Gold</w:t>
      </w:r>
    </w:p>
    <w:p>
      <w:pPr>
        <w:spacing w:after="80" w:before="80"/>
      </w:pPr>
      <w:r>
        <w:rPr>
          <w:rFonts w:ascii="Arial" w:cs="Arial" w:eastAsia="Arial" w:hAnsi="Arial"/>
          <w:color w:val="333333"/>
          <w:sz w:val="20"/>
          <w:szCs w:val="20"/>
        </w:rPr>
        <w:t xml:space="preserve">Hintergrund: #EFBB20 (Gold). Fullwidth. Sehr prominent.</w:t>
      </w:r>
    </w:p>
    <w:p>
      <w:pPr>
        <w:spacing w:before="200"/>
      </w:pPr>
    </w:p>
    <w:p>
      <w:pPr>
        <w:pStyle w:val="Heading2"/>
        <w:spacing w:after="100" w:before="280"/>
      </w:pPr>
      <w:r>
        <w:rPr>
          <w:rFonts w:ascii="Arial" w:cs="Arial" w:eastAsia="Arial" w:hAnsi="Arial"/>
          <w:b/>
          <w:bCs/>
          <w:color w:val="333333"/>
          <w:sz w:val="26"/>
          <w:szCs w:val="26"/>
        </w:rPr>
        <w:t xml:space="preserve">4.3 Kompetenzen-Block mit Tab-System</w:t>
      </w:r>
    </w:p>
    <w:p>
      <w:pPr>
        <w:spacing w:after="80" w:before="80"/>
      </w:pPr>
      <w:r>
        <w:rPr>
          <w:rFonts w:ascii="Arial" w:cs="Arial" w:eastAsia="Arial" w:hAnsi="Arial"/>
          <w:color w:val="333333"/>
          <w:sz w:val="20"/>
          <w:szCs w:val="20"/>
        </w:rPr>
        <w:t xml:space="preserve">Headline: 'WAS WIR FÜR SIE TUN. MIT HERZ UND VERSTAND' — zweifarbig: normaler Text + Orange</w:t>
      </w:r>
    </w:p>
    <w:p>
      <w:pPr>
        <w:spacing w:after="80" w:before="80"/>
      </w:pPr>
      <w:r>
        <w:rPr>
          <w:rFonts w:ascii="Arial" w:cs="Arial" w:eastAsia="Arial" w:hAnsi="Arial"/>
          <w:color w:val="333333"/>
          <w:sz w:val="20"/>
          <w:szCs w:val="20"/>
        </w:rPr>
        <w:t xml:space="preserve">Drei Tabs. Jeder Tab: Beschreibungstext + Portfolio-Einträge als Bild-Grid.</w:t>
      </w:r>
    </w:p>
    <w:p>
      <w:pPr>
        <w:spacing w:before="120"/>
      </w:pPr>
    </w:p>
    <w:p>
      <w:pPr>
        <w:spacing w:after="80" w:before="200"/>
      </w:pPr>
      <w:r>
        <w:rPr>
          <w:rFonts w:ascii="Arial" w:cs="Arial" w:eastAsia="Arial" w:hAnsi="Arial"/>
          <w:b/>
          <w:bCs/>
          <w:color w:val="616161"/>
          <w:sz w:val="22"/>
          <w:szCs w:val="22"/>
        </w:rPr>
        <w:t xml:space="preserve">Tab 1: Insolvenzrecht — sanieren, strukturieren, gestalten</w:t>
      </w:r>
    </w:p>
    <w:p>
      <w:pPr>
        <w:spacing w:after="80" w:before="80"/>
      </w:pPr>
      <w:r>
        <w:rPr>
          <w:rFonts w:ascii="Arial" w:cs="Arial" w:eastAsia="Arial" w:hAnsi="Arial"/>
          <w:color w:val="333333"/>
          <w:sz w:val="20"/>
          <w:szCs w:val="20"/>
        </w:rPr>
        <w:t xml:space="preserve">Einleitungstext: 'Eine Krise ist kein normaler Betriebszustand. Sie stellt andere Anforderungen — an Geschwindigkeit, an Entscheidungen, an Nerven. Was im Tagesgeschäft funktioniert, reicht hier nicht mehr. Hinzu kommt: Die Interessen der Beteiligten laufen plötzlich auseinander. Der Unternehmer will retten, was zu retten ist. Der Arbeitnehmer denkt an seinen Arbeitsplatz. Der Geschäftsführer sorgt sich um seine persönliche Haftung. Der Gesellschafter fragt sich, was von seiner Investition noch übrig bleibt. Alle sitzen im selben Boot — aber sie rudern nicht in dieselbe Richtung. Genau hier brauchen Sie jemanden, der das gesamte Bild kennt.'</w:t>
      </w:r>
    </w:p>
    <w:p>
      <w:pPr>
        <w:spacing w:after="80" w:before="80"/>
      </w:pPr>
      <w:r>
        <w:rPr>
          <w:rFonts w:ascii="Arial" w:cs="Arial" w:eastAsia="Arial" w:hAnsi="Arial"/>
          <w:color w:val="333333"/>
          <w:sz w:val="20"/>
          <w:szCs w:val="20"/>
        </w:rPr>
        <w:t xml:space="preserve">Portfolio-Einträge:</w:t>
      </w:r>
    </w:p>
    <w:p>
      <w:pPr>
        <w:pStyle w:val="ListParagraph"/>
        <w:numPr>
          <w:ilvl w:val="1"/>
          <w:numId w:val="2"/>
        </w:numPr>
        <w:spacing w:after="50" w:before="50"/>
      </w:pPr>
      <w:r>
        <w:rPr>
          <w:rFonts w:ascii="Arial" w:cs="Arial" w:eastAsia="Arial" w:hAnsi="Arial"/>
          <w:color w:val="333333"/>
          <w:sz w:val="20"/>
          <w:szCs w:val="20"/>
        </w:rPr>
        <w:t xml:space="preserve">Gesellschafterstreit</w:t>
      </w:r>
    </w:p>
    <w:p>
      <w:pPr>
        <w:pStyle w:val="ListParagraph"/>
        <w:numPr>
          <w:ilvl w:val="1"/>
          <w:numId w:val="2"/>
        </w:numPr>
        <w:spacing w:after="50" w:before="50"/>
      </w:pPr>
      <w:r>
        <w:rPr>
          <w:rFonts w:ascii="Arial" w:cs="Arial" w:eastAsia="Arial" w:hAnsi="Arial"/>
          <w:color w:val="333333"/>
          <w:sz w:val="20"/>
          <w:szCs w:val="20"/>
        </w:rPr>
        <w:t xml:space="preserve">Beratung von Gesellschaftern in der Krise</w:t>
      </w:r>
    </w:p>
    <w:p>
      <w:pPr>
        <w:pStyle w:val="ListParagraph"/>
        <w:numPr>
          <w:ilvl w:val="1"/>
          <w:numId w:val="2"/>
        </w:numPr>
        <w:spacing w:after="50" w:before="50"/>
      </w:pPr>
      <w:r>
        <w:rPr>
          <w:rFonts w:ascii="Arial" w:cs="Arial" w:eastAsia="Arial" w:hAnsi="Arial"/>
          <w:color w:val="333333"/>
          <w:sz w:val="20"/>
          <w:szCs w:val="20"/>
        </w:rPr>
        <w:t xml:space="preserve">Geschäftsführerhaftung</w:t>
      </w:r>
    </w:p>
    <w:p>
      <w:pPr>
        <w:pStyle w:val="ListParagraph"/>
        <w:numPr>
          <w:ilvl w:val="1"/>
          <w:numId w:val="2"/>
        </w:numPr>
        <w:spacing w:after="50" w:before="50"/>
      </w:pPr>
      <w:r>
        <w:rPr>
          <w:rFonts w:ascii="Arial" w:cs="Arial" w:eastAsia="Arial" w:hAnsi="Arial"/>
          <w:color w:val="333333"/>
          <w:sz w:val="20"/>
          <w:szCs w:val="20"/>
        </w:rPr>
        <w:t xml:space="preserve">StaRUG / Außergerichtliche Sanierung</w:t>
      </w:r>
    </w:p>
    <w:p>
      <w:pPr>
        <w:pStyle w:val="ListParagraph"/>
        <w:numPr>
          <w:ilvl w:val="1"/>
          <w:numId w:val="2"/>
        </w:numPr>
        <w:spacing w:after="50" w:before="50"/>
      </w:pPr>
      <w:r>
        <w:rPr>
          <w:rFonts w:ascii="Arial" w:cs="Arial" w:eastAsia="Arial" w:hAnsi="Arial"/>
          <w:color w:val="333333"/>
          <w:sz w:val="20"/>
          <w:szCs w:val="20"/>
        </w:rPr>
        <w:t xml:space="preserve">Eigenverwaltung / Schutzschirmverfahren</w:t>
      </w:r>
    </w:p>
    <w:p>
      <w:pPr>
        <w:pStyle w:val="ListParagraph"/>
        <w:numPr>
          <w:ilvl w:val="1"/>
          <w:numId w:val="2"/>
        </w:numPr>
        <w:spacing w:after="50" w:before="50"/>
      </w:pPr>
      <w:r>
        <w:rPr>
          <w:rFonts w:ascii="Arial" w:cs="Arial" w:eastAsia="Arial" w:hAnsi="Arial"/>
          <w:color w:val="333333"/>
          <w:sz w:val="20"/>
          <w:szCs w:val="20"/>
        </w:rPr>
        <w:t xml:space="preserve">Distressed M&amp;A – Kauf in der Krise</w:t>
      </w:r>
    </w:p>
    <w:p>
      <w:pPr>
        <w:pStyle w:val="ListParagraph"/>
        <w:numPr>
          <w:ilvl w:val="1"/>
          <w:numId w:val="2"/>
        </w:numPr>
        <w:spacing w:after="50" w:before="50"/>
      </w:pPr>
      <w:r>
        <w:rPr>
          <w:rFonts w:ascii="Arial" w:cs="Arial" w:eastAsia="Arial" w:hAnsi="Arial"/>
          <w:color w:val="333333"/>
          <w:sz w:val="20"/>
          <w:szCs w:val="20"/>
        </w:rPr>
        <w:t xml:space="preserve">M&amp;A für kleine und mittelständige Unternehmen (KMU)</w:t>
      </w:r>
    </w:p>
    <w:p>
      <w:pPr>
        <w:pStyle w:val="ListParagraph"/>
        <w:numPr>
          <w:ilvl w:val="1"/>
          <w:numId w:val="2"/>
        </w:numPr>
        <w:spacing w:after="50" w:before="50"/>
      </w:pPr>
      <w:r>
        <w:rPr>
          <w:rFonts w:ascii="Arial" w:cs="Arial" w:eastAsia="Arial" w:hAnsi="Arial"/>
          <w:color w:val="333333"/>
          <w:sz w:val="20"/>
          <w:szCs w:val="20"/>
        </w:rPr>
        <w:t xml:space="preserve">Gründungsberatung – Gründerberatung</w:t>
      </w:r>
    </w:p>
    <w:p>
      <w:pPr>
        <w:spacing w:before="120"/>
      </w:pPr>
    </w:p>
    <w:p>
      <w:pPr>
        <w:spacing w:after="80" w:before="200"/>
      </w:pPr>
      <w:r>
        <w:rPr>
          <w:rFonts w:ascii="Arial" w:cs="Arial" w:eastAsia="Arial" w:hAnsi="Arial"/>
          <w:b/>
          <w:bCs/>
          <w:color w:val="616161"/>
          <w:sz w:val="22"/>
          <w:szCs w:val="22"/>
        </w:rPr>
        <w:t xml:space="preserve">Tab 2: Arbeitsrecht — Gestaltung, Führung, Haftung</w:t>
      </w:r>
    </w:p>
    <w:p>
      <w:pPr>
        <w:spacing w:after="80" w:before="80"/>
      </w:pPr>
      <w:r>
        <w:rPr>
          <w:rFonts w:ascii="Arial" w:cs="Arial" w:eastAsia="Arial" w:hAnsi="Arial"/>
          <w:color w:val="333333"/>
          <w:sz w:val="20"/>
          <w:szCs w:val="20"/>
        </w:rPr>
        <w:t xml:space="preserve">Einleitungstext: 'Arbeitsverhältnisse sind Dauerschuldverhältnisse. Sie funktionieren solange beide Seiten das wollen — und werden kompliziert, sobald eine Seite es nicht mehr tut. Kündigungen, Abfindungen, Führungskräfteverträge, Betriebsübergänge: das Arbeitsrecht schützt beide Seiten, aber es bevorzugt niemanden automatisch. Für Unternehmen bedeutet das: wer Arbeitsverhältnisse sorgfältig gestaltet, hat im Streitfall die besseren Karten. Wer wartet bis es brennt, zahlt meistens drauf.'</w:t>
      </w:r>
    </w:p>
    <w:p>
      <w:pPr>
        <w:spacing w:after="80" w:before="80"/>
      </w:pPr>
      <w:r>
        <w:rPr>
          <w:rFonts w:ascii="Arial" w:cs="Arial" w:eastAsia="Arial" w:hAnsi="Arial"/>
          <w:color w:val="333333"/>
          <w:sz w:val="20"/>
          <w:szCs w:val="20"/>
        </w:rPr>
        <w:t xml:space="preserve">Portfolio-Einträge:</w:t>
      </w:r>
    </w:p>
    <w:p>
      <w:pPr>
        <w:pStyle w:val="ListParagraph"/>
        <w:numPr>
          <w:ilvl w:val="1"/>
          <w:numId w:val="2"/>
        </w:numPr>
        <w:spacing w:after="50" w:before="50"/>
      </w:pPr>
      <w:r>
        <w:rPr>
          <w:rFonts w:ascii="Arial" w:cs="Arial" w:eastAsia="Arial" w:hAnsi="Arial"/>
          <w:color w:val="333333"/>
          <w:sz w:val="20"/>
          <w:szCs w:val="20"/>
        </w:rPr>
        <w:t xml:space="preserve">Personalplanung</w:t>
      </w:r>
    </w:p>
    <w:p>
      <w:pPr>
        <w:pStyle w:val="ListParagraph"/>
        <w:numPr>
          <w:ilvl w:val="1"/>
          <w:numId w:val="2"/>
        </w:numPr>
        <w:spacing w:after="50" w:before="50"/>
      </w:pPr>
      <w:r>
        <w:rPr>
          <w:rFonts w:ascii="Arial" w:cs="Arial" w:eastAsia="Arial" w:hAnsi="Arial"/>
          <w:color w:val="333333"/>
          <w:sz w:val="20"/>
          <w:szCs w:val="20"/>
        </w:rPr>
        <w:t xml:space="preserve">Recht der Führungskräfte</w:t>
      </w:r>
    </w:p>
    <w:p>
      <w:pPr>
        <w:pStyle w:val="ListParagraph"/>
        <w:numPr>
          <w:ilvl w:val="1"/>
          <w:numId w:val="2"/>
        </w:numPr>
        <w:spacing w:after="50" w:before="50"/>
      </w:pPr>
      <w:r>
        <w:rPr>
          <w:rFonts w:ascii="Arial" w:cs="Arial" w:eastAsia="Arial" w:hAnsi="Arial"/>
          <w:color w:val="333333"/>
          <w:sz w:val="20"/>
          <w:szCs w:val="20"/>
        </w:rPr>
        <w:t xml:space="preserve">Geschäftsführerhaftung aus Arbeitsrechtsperspektive</w:t>
      </w:r>
    </w:p>
    <w:p>
      <w:pPr>
        <w:pStyle w:val="ListParagraph"/>
        <w:numPr>
          <w:ilvl w:val="1"/>
          <w:numId w:val="2"/>
        </w:numPr>
        <w:spacing w:after="50" w:before="50"/>
      </w:pPr>
      <w:r>
        <w:rPr>
          <w:rFonts w:ascii="Arial" w:cs="Arial" w:eastAsia="Arial" w:hAnsi="Arial"/>
          <w:color w:val="333333"/>
          <w:sz w:val="20"/>
          <w:szCs w:val="20"/>
        </w:rPr>
        <w:t xml:space="preserve">Nachfolgeplanung aus Arbeitsrechtsperspektive</w:t>
      </w:r>
    </w:p>
    <w:p>
      <w:pPr>
        <w:pStyle w:val="ListParagraph"/>
        <w:numPr>
          <w:ilvl w:val="1"/>
          <w:numId w:val="2"/>
        </w:numPr>
        <w:spacing w:after="50" w:before="50"/>
      </w:pPr>
      <w:r>
        <w:rPr>
          <w:rFonts w:ascii="Arial" w:cs="Arial" w:eastAsia="Arial" w:hAnsi="Arial"/>
          <w:color w:val="333333"/>
          <w:sz w:val="20"/>
          <w:szCs w:val="20"/>
        </w:rPr>
        <w:t xml:space="preserve">Geschäftsführerhaftung</w:t>
      </w:r>
    </w:p>
    <w:p>
      <w:pPr>
        <w:pStyle w:val="ListParagraph"/>
        <w:numPr>
          <w:ilvl w:val="1"/>
          <w:numId w:val="2"/>
        </w:numPr>
        <w:spacing w:after="50" w:before="50"/>
      </w:pPr>
      <w:r>
        <w:rPr>
          <w:rFonts w:ascii="Arial" w:cs="Arial" w:eastAsia="Arial" w:hAnsi="Arial"/>
          <w:color w:val="333333"/>
          <w:sz w:val="20"/>
          <w:szCs w:val="20"/>
        </w:rPr>
        <w:t xml:space="preserve">Gründungsberatung – Gründerberatung</w:t>
      </w:r>
    </w:p>
    <w:p>
      <w:pPr>
        <w:spacing w:before="120"/>
      </w:pPr>
    </w:p>
    <w:p>
      <w:pPr>
        <w:spacing w:after="80" w:before="200"/>
      </w:pPr>
      <w:r>
        <w:rPr>
          <w:rFonts w:ascii="Arial" w:cs="Arial" w:eastAsia="Arial" w:hAnsi="Arial"/>
          <w:b/>
          <w:bCs/>
          <w:color w:val="616161"/>
          <w:sz w:val="22"/>
          <w:szCs w:val="22"/>
        </w:rPr>
        <w:t xml:space="preserve">Tab 3: Gesellschaftsrecht — Struktur &amp; Transaktion</w:t>
      </w:r>
    </w:p>
    <w:p>
      <w:pPr>
        <w:spacing w:after="80" w:before="80"/>
      </w:pPr>
      <w:r>
        <w:rPr>
          <w:rFonts w:ascii="Arial" w:cs="Arial" w:eastAsia="Arial" w:hAnsi="Arial"/>
          <w:color w:val="333333"/>
          <w:sz w:val="20"/>
          <w:szCs w:val="20"/>
        </w:rPr>
        <w:t xml:space="preserve">Einleitungstext: 'Unternehmen sind keine Zufallsprodukte. Hinter jeder GmbH, jeder AG, jeder Personengesellschaft stecken Entscheidungen — über Struktur, Verantwortung und Risiko. Wer diese Entscheidungen sorgfältig trifft, baut auf solidem Fundament. Wer sie dem Zufall überlässt, schafft Konfliktpotenzial für später.'</w:t>
      </w:r>
    </w:p>
    <w:p>
      <w:pPr>
        <w:spacing w:after="80" w:before="80"/>
      </w:pPr>
      <w:r>
        <w:rPr>
          <w:rFonts w:ascii="Arial" w:cs="Arial" w:eastAsia="Arial" w:hAnsi="Arial"/>
          <w:color w:val="333333"/>
          <w:sz w:val="20"/>
          <w:szCs w:val="20"/>
        </w:rPr>
        <w:t xml:space="preserve">Portfolio-Einträge:</w:t>
      </w:r>
    </w:p>
    <w:p>
      <w:pPr>
        <w:pStyle w:val="ListParagraph"/>
        <w:numPr>
          <w:ilvl w:val="1"/>
          <w:numId w:val="2"/>
        </w:numPr>
        <w:spacing w:after="50" w:before="50"/>
      </w:pPr>
      <w:r>
        <w:rPr>
          <w:rFonts w:ascii="Arial" w:cs="Arial" w:eastAsia="Arial" w:hAnsi="Arial"/>
          <w:color w:val="333333"/>
          <w:sz w:val="20"/>
          <w:szCs w:val="20"/>
        </w:rPr>
        <w:t xml:space="preserve">Nachfolgeplanung</w:t>
      </w:r>
    </w:p>
    <w:p>
      <w:pPr>
        <w:pStyle w:val="ListParagraph"/>
        <w:numPr>
          <w:ilvl w:val="1"/>
          <w:numId w:val="2"/>
        </w:numPr>
        <w:spacing w:after="50" w:before="50"/>
      </w:pPr>
      <w:r>
        <w:rPr>
          <w:rFonts w:ascii="Arial" w:cs="Arial" w:eastAsia="Arial" w:hAnsi="Arial"/>
          <w:color w:val="333333"/>
          <w:sz w:val="20"/>
          <w:szCs w:val="20"/>
        </w:rPr>
        <w:t xml:space="preserve">Gesellschafterstreit</w:t>
      </w:r>
    </w:p>
    <w:p>
      <w:pPr>
        <w:pStyle w:val="ListParagraph"/>
        <w:numPr>
          <w:ilvl w:val="1"/>
          <w:numId w:val="2"/>
        </w:numPr>
        <w:spacing w:after="50" w:before="50"/>
      </w:pPr>
      <w:r>
        <w:rPr>
          <w:rFonts w:ascii="Arial" w:cs="Arial" w:eastAsia="Arial" w:hAnsi="Arial"/>
          <w:color w:val="333333"/>
          <w:sz w:val="20"/>
          <w:szCs w:val="20"/>
        </w:rPr>
        <w:t xml:space="preserve">Beratung von Gesellschaftern in der Krise</w:t>
      </w:r>
    </w:p>
    <w:p>
      <w:pPr>
        <w:pStyle w:val="ListParagraph"/>
        <w:numPr>
          <w:ilvl w:val="1"/>
          <w:numId w:val="2"/>
        </w:numPr>
        <w:spacing w:after="50" w:before="50"/>
      </w:pPr>
      <w:r>
        <w:rPr>
          <w:rFonts w:ascii="Arial" w:cs="Arial" w:eastAsia="Arial" w:hAnsi="Arial"/>
          <w:color w:val="333333"/>
          <w:sz w:val="20"/>
          <w:szCs w:val="20"/>
        </w:rPr>
        <w:t xml:space="preserve">Geschäftsführerhaftung</w:t>
      </w:r>
    </w:p>
    <w:p>
      <w:pPr>
        <w:pStyle w:val="ListParagraph"/>
        <w:numPr>
          <w:ilvl w:val="1"/>
          <w:numId w:val="2"/>
        </w:numPr>
        <w:spacing w:after="50" w:before="50"/>
      </w:pPr>
      <w:r>
        <w:rPr>
          <w:rFonts w:ascii="Arial" w:cs="Arial" w:eastAsia="Arial" w:hAnsi="Arial"/>
          <w:color w:val="333333"/>
          <w:sz w:val="20"/>
          <w:szCs w:val="20"/>
        </w:rPr>
        <w:t xml:space="preserve">Distressed M&amp;A – Kauf in der Krise</w:t>
      </w:r>
    </w:p>
    <w:p>
      <w:pPr>
        <w:pStyle w:val="ListParagraph"/>
        <w:numPr>
          <w:ilvl w:val="1"/>
          <w:numId w:val="2"/>
        </w:numPr>
        <w:spacing w:after="50" w:before="50"/>
      </w:pPr>
      <w:r>
        <w:rPr>
          <w:rFonts w:ascii="Arial" w:cs="Arial" w:eastAsia="Arial" w:hAnsi="Arial"/>
          <w:color w:val="333333"/>
          <w:sz w:val="20"/>
          <w:szCs w:val="20"/>
        </w:rPr>
        <w:t xml:space="preserve">M&amp;A für kleine und mittelständige Unternehmen (KMU)</w:t>
      </w:r>
    </w:p>
    <w:p>
      <w:pPr>
        <w:pStyle w:val="ListParagraph"/>
        <w:numPr>
          <w:ilvl w:val="1"/>
          <w:numId w:val="2"/>
        </w:numPr>
        <w:spacing w:after="50" w:before="50"/>
      </w:pPr>
      <w:r>
        <w:rPr>
          <w:rFonts w:ascii="Arial" w:cs="Arial" w:eastAsia="Arial" w:hAnsi="Arial"/>
          <w:color w:val="333333"/>
          <w:sz w:val="20"/>
          <w:szCs w:val="20"/>
        </w:rPr>
        <w:t xml:space="preserve">Gründungsberatung – Gründerberatung</w:t>
      </w:r>
    </w:p>
    <w:p>
      <w:pPr>
        <w:pBdr>
          <w:bottom w:val="single" w:color="EEEEEE" w:sz="4" w:space="1"/>
        </w:pBdr>
        <w:spacing w:after="240" w:before="240"/>
      </w:pPr>
    </w:p>
    <w:p>
      <w:pPr>
        <w:pStyle w:val="Heading1"/>
        <w:spacing w:after="160" w:before="480"/>
      </w:pPr>
      <w:r>
        <w:rPr>
          <w:rFonts w:ascii="Arial" w:cs="Arial" w:eastAsia="Arial" w:hAnsi="Arial"/>
          <w:b/>
          <w:bCs/>
          <w:color w:val="FF5900"/>
          <w:sz w:val="32"/>
          <w:szCs w:val="32"/>
        </w:rPr>
        <w:t xml:space="preserve">5. Unterseiten — Texte &amp; Struktur</w:t>
      </w:r>
    </w:p>
    <w:p>
      <w:pPr>
        <w:pStyle w:val="Heading2"/>
        <w:spacing w:after="100" w:before="280"/>
      </w:pPr>
      <w:r>
        <w:rPr>
          <w:rFonts w:ascii="Arial" w:cs="Arial" w:eastAsia="Arial" w:hAnsi="Arial"/>
          <w:b/>
          <w:bCs/>
          <w:color w:val="333333"/>
          <w:sz w:val="26"/>
          <w:szCs w:val="26"/>
        </w:rPr>
        <w:t xml:space="preserve">5.1 Menschen (Teamseite)</w:t>
      </w:r>
    </w:p>
    <w:p>
      <w:pPr>
        <w:spacing w:after="80" w:before="80"/>
      </w:pPr>
      <w:r>
        <w:rPr>
          <w:rFonts w:ascii="Arial" w:cs="Arial" w:eastAsia="Arial" w:hAnsi="Arial"/>
          <w:color w:val="333333"/>
          <w:sz w:val="20"/>
          <w:szCs w:val="20"/>
        </w:rPr>
        <w:t xml:space="preserve">URL: /ueber-uns-mh-anwaelte-frankfurt-am-main/menschen/</w:t>
      </w:r>
    </w:p>
    <w:p>
      <w:pPr>
        <w:spacing w:after="80" w:before="80"/>
      </w:pPr>
      <w:r>
        <w:rPr>
          <w:rFonts w:ascii="Arial" w:cs="Arial" w:eastAsia="Arial" w:hAnsi="Arial"/>
          <w:color w:val="333333"/>
          <w:sz w:val="20"/>
          <w:szCs w:val="20"/>
        </w:rPr>
        <w:t xml:space="preserve">Layout: Zentriertes Bild-Grid, einspaltig, drei S/W-Portraits übereinander.</w:t>
      </w:r>
    </w:p>
    <w:p>
      <w:pPr>
        <w:spacing w:before="120"/>
      </w:pPr>
    </w:p>
    <w:p>
      <w:pPr>
        <w:spacing w:after="80" w:before="200"/>
      </w:pPr>
      <w:r>
        <w:rPr>
          <w:rFonts w:ascii="Arial" w:cs="Arial" w:eastAsia="Arial" w:hAnsi="Arial"/>
          <w:b/>
          <w:bCs/>
          <w:color w:val="616161"/>
          <w:sz w:val="22"/>
          <w:szCs w:val="22"/>
        </w:rPr>
        <w:t xml:space="preserve">Michael Hemmerich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Titel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Michael Hemmerich | Rechtsanwalt · Fachanwalt · Mediator · Sanierungsberater</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Schwerpunkt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Gesellschaftsrecht – Insolvenzrecht</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Seiten-Claim</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"MICHAEL HEMMERICH / Sanierung · Gesellschaftsrecht · Distressed M&amp;A – Eintracht Frankfurt"</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Bio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Er hat in einer der größten Kanzleien der Welt gelernt, wie komplexe Transaktionen funktionieren — und sich dann entschieden, das Know-how dorthin zu bringen, wo es gebraucht wird: in den Mittelstand. Bei mh anwälte berät er Unternehmer und Geschäftsführer in den Situationen, die wirklich zählen.</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Qualifikationen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Fachanwalt für Handels- und Gesellschaftsrecht / Wirtschaftsmediator / Zertifizierter Sanierungsberater (BRSI) / LL.M. Steuerrecht/Besteuerung, Universität Münster</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Ausbildung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Master of Laws (LL.M.), Universität Münster (2009–2011) / Assessor, Goethe-Universität Frankfurt (1992–2000)</w:t>
            </w:r>
          </w:p>
        </w:tc>
      </w:tr>
    </w:tbl>
    <w:p>
      <w:pPr>
        <w:spacing w:before="120"/>
      </w:pPr>
    </w:p>
    <w:p>
      <w:pPr>
        <w:spacing w:after="80" w:before="200"/>
      </w:pPr>
      <w:r>
        <w:rPr>
          <w:rFonts w:ascii="Arial" w:cs="Arial" w:eastAsia="Arial" w:hAnsi="Arial"/>
          <w:b/>
          <w:bCs/>
          <w:color w:val="616161"/>
          <w:sz w:val="22"/>
          <w:szCs w:val="22"/>
        </w:rPr>
        <w:t xml:space="preserve">Gerrit André Richter</w:t>
      </w:r>
    </w:p>
    <w:p>
      <w:pPr>
        <w:spacing w:after="80" w:before="80"/>
      </w:pPr>
      <w:r>
        <w:rPr>
          <w:rFonts w:ascii="Arial" w:cs="Arial" w:eastAsia="Arial" w:hAnsi="Arial"/>
          <w:color w:val="333333"/>
          <w:sz w:val="20"/>
          <w:szCs w:val="20"/>
        </w:rPr>
        <w:t xml:space="preserve">Rechtsanwalt · Geschäftsführer — Gesellschaftsrecht, Arbeitsrecht, Vertragsrecht. Seit 2016 bei mh anwälte, seit 2017 Geschäftsführer.</w:t>
      </w:r>
    </w:p>
    <w:p>
      <w:pPr>
        <w:spacing w:before="120"/>
      </w:pPr>
    </w:p>
    <w:p>
      <w:pPr>
        <w:spacing w:after="80" w:before="200"/>
      </w:pPr>
      <w:r>
        <w:rPr>
          <w:rFonts w:ascii="Arial" w:cs="Arial" w:eastAsia="Arial" w:hAnsi="Arial"/>
          <w:b/>
          <w:bCs/>
          <w:color w:val="616161"/>
          <w:sz w:val="22"/>
          <w:szCs w:val="22"/>
        </w:rPr>
        <w:t xml:space="preserve">Seda Uluc</w:t>
      </w:r>
    </w:p>
    <w:p>
      <w:pPr>
        <w:spacing w:after="80" w:before="80"/>
      </w:pPr>
      <w:r>
        <w:rPr>
          <w:rFonts w:ascii="Arial" w:cs="Arial" w:eastAsia="Arial" w:hAnsi="Arial"/>
          <w:color w:val="333333"/>
          <w:sz w:val="20"/>
          <w:szCs w:val="20"/>
        </w:rPr>
        <w:t xml:space="preserve">Rechtsanwältin — Insolvenzrecht. Seit 2025 bei mh anwälte. Zweites Staatsexamen 2024.</w:t>
      </w:r>
    </w:p>
    <w:p>
      <w:pPr>
        <w:spacing w:before="200"/>
      </w:pPr>
    </w:p>
    <w:p>
      <w:pPr>
        <w:pStyle w:val="Heading2"/>
        <w:spacing w:after="100" w:before="280"/>
      </w:pPr>
      <w:r>
        <w:rPr>
          <w:rFonts w:ascii="Arial" w:cs="Arial" w:eastAsia="Arial" w:hAnsi="Arial"/>
          <w:b/>
          <w:bCs/>
          <w:color w:val="333333"/>
          <w:sz w:val="26"/>
          <w:szCs w:val="26"/>
        </w:rPr>
        <w:t xml:space="preserve">5.2 Tätigkeitsschwerpunkte</w:t>
      </w:r>
    </w:p>
    <w:p>
      <w:pPr>
        <w:spacing w:after="80" w:before="80"/>
      </w:pPr>
      <w:r>
        <w:rPr>
          <w:rFonts w:ascii="Arial" w:cs="Arial" w:eastAsia="Arial" w:hAnsi="Arial"/>
          <w:color w:val="333333"/>
          <w:sz w:val="20"/>
          <w:szCs w:val="20"/>
        </w:rPr>
        <w:t xml:space="preserve">URL: /ueber-uns-mh-anwaelte-frankfurt-am-main/taetigkeitsschwerpunkte/</w:t>
      </w:r>
    </w:p>
    <w:p>
      <w:pPr>
        <w:spacing w:after="80" w:before="80"/>
      </w:pPr>
      <w:r>
        <w:rPr>
          <w:rFonts w:ascii="Arial" w:cs="Arial" w:eastAsia="Arial" w:hAnsi="Arial"/>
          <w:color w:val="333333"/>
          <w:sz w:val="20"/>
          <w:szCs w:val="20"/>
        </w:rPr>
        <w:t xml:space="preserve">Seitenheadline: 'UNSERE TÄTIGKEITSSCHWERPUNKTE' mit Goldlinie darunter.</w:t>
      </w:r>
    </w:p>
    <w:p>
      <w:pPr>
        <w:spacing w:after="80" w:before="80"/>
      </w:pPr>
      <w:r>
        <w:rPr>
          <w:rFonts w:ascii="Arial" w:cs="Arial" w:eastAsia="Arial" w:hAnsi="Arial"/>
          <w:color w:val="333333"/>
          <w:sz w:val="20"/>
          <w:szCs w:val="20"/>
        </w:rPr>
        <w:t xml:space="preserve">Gleiches Tab-System wie auf der Homepage, mit vollständigen Einleitungstexten pro Bereich.</w:t>
      </w:r>
    </w:p>
    <w:p>
      <w:pPr>
        <w:spacing w:before="200"/>
      </w:pPr>
    </w:p>
    <w:p>
      <w:pPr>
        <w:pStyle w:val="Heading2"/>
        <w:spacing w:after="100" w:before="280"/>
      </w:pPr>
      <w:r>
        <w:rPr>
          <w:rFonts w:ascii="Arial" w:cs="Arial" w:eastAsia="Arial" w:hAnsi="Arial"/>
          <w:b/>
          <w:bCs/>
          <w:color w:val="333333"/>
          <w:sz w:val="26"/>
          <w:szCs w:val="26"/>
        </w:rPr>
        <w:t xml:space="preserve">5.3 Über uns</w:t>
      </w:r>
    </w:p>
    <w:p>
      <w:pPr>
        <w:spacing w:after="80" w:before="80"/>
      </w:pPr>
      <w:r>
        <w:rPr>
          <w:rFonts w:ascii="Arial" w:cs="Arial" w:eastAsia="Arial" w:hAnsi="Arial"/>
          <w:color w:val="333333"/>
          <w:sz w:val="20"/>
          <w:szCs w:val="20"/>
        </w:rPr>
        <w:t xml:space="preserve">URL: /ueber-uns-mh-anwaelte-frankfurt-am-main/</w:t>
      </w:r>
    </w:p>
    <w:p>
      <w:pPr>
        <w:spacing w:after="80" w:before="80"/>
      </w:pPr>
      <w:r>
        <w:rPr>
          <w:rFonts w:ascii="Arial" w:cs="Arial" w:eastAsia="Arial" w:hAnsi="Arial"/>
          <w:color w:val="333333"/>
          <w:sz w:val="20"/>
          <w:szCs w:val="20"/>
        </w:rPr>
        <w:t xml:space="preserve">Seitenheadline: 'DIE KANZLEI. WARUM WIR DIE DINGE SO TUN, WIE WIR SIE TUN.'</w:t>
      </w:r>
    </w:p>
    <w:p>
      <w:pPr>
        <w:spacing w:before="120"/>
      </w:pPr>
    </w:p>
    <w:p>
      <w:pPr>
        <w:spacing w:after="80" w:before="200"/>
      </w:pPr>
      <w:r>
        <w:rPr>
          <w:rFonts w:ascii="Arial" w:cs="Arial" w:eastAsia="Arial" w:hAnsi="Arial"/>
          <w:b/>
          <w:bCs/>
          <w:color w:val="616161"/>
          <w:sz w:val="22"/>
          <w:szCs w:val="22"/>
        </w:rPr>
        <w:t xml:space="preserve">UNSER TEAM</w:t>
      </w:r>
    </w:p>
    <w:p>
      <w:pPr>
        <w:spacing w:after="80" w:before="80"/>
      </w:pPr>
      <w:r>
        <w:rPr>
          <w:rFonts w:ascii="Arial" w:cs="Arial" w:eastAsia="Arial" w:hAnsi="Arial"/>
          <w:color w:val="333333"/>
          <w:sz w:val="20"/>
          <w:szCs w:val="20"/>
        </w:rPr>
        <w:t xml:space="preserve">Sie wenden sich an uns, weil Sie eine ernste Situation haben. Was Sie dann erleben, ist ein Team, das das weiß — und entsprechend arbeitet.
Wir machen nicht alles — aber was wir machen, machen wir richtig. Insolvenzrecht und Gesellschaftsrecht auf der einen Seite, Arbeitsrecht und allgemeines Vertragsrecht auf der anderen. Klare Zuständigkeiten, keine Kompromisse bei der Expertise.
Komplettiert wird das Team durch AssistentInnen, die seit Jahren den Laden am Laufen halten, die juristische Sorgfalt mit echtem Gestaltungswillen verbindet. Junge KollegInnen führen wir, wo es passt, direkt an das Mandat. Schmieden lernt man nur in der Hitze.
Klein, aber schlagkräftig. Und immer für Sie da.</w:t>
      </w:r>
    </w:p>
    <w:p>
      <w:pPr>
        <w:spacing w:before="120"/>
      </w:pPr>
    </w:p>
    <w:p>
      <w:pPr>
        <w:spacing w:after="80" w:before="200"/>
      </w:pPr>
      <w:r>
        <w:rPr>
          <w:rFonts w:ascii="Arial" w:cs="Arial" w:eastAsia="Arial" w:hAnsi="Arial"/>
          <w:b/>
          <w:bCs/>
          <w:color w:val="616161"/>
          <w:sz w:val="22"/>
          <w:szCs w:val="22"/>
        </w:rPr>
        <w:t xml:space="preserve">WEITERBILDUNG &amp; EXPERTISE</w:t>
      </w:r>
    </w:p>
    <w:p>
      <w:pPr>
        <w:spacing w:after="80" w:before="80"/>
      </w:pPr>
      <w:r>
        <w:rPr>
          <w:rFonts w:ascii="Arial" w:cs="Arial" w:eastAsia="Arial" w:hAnsi="Arial"/>
          <w:color w:val="333333"/>
          <w:sz w:val="20"/>
          <w:szCs w:val="20"/>
        </w:rPr>
        <w:t xml:space="preserve">Das Recht entwickelt sich — durch neue Urteile, Gesetzesänderungen und die Praxis. Wir bilden uns nicht fort, weil es die Anwaltskammer verlangt, sondern weil unsere Mandanten es verdienen.
Unsere Anwälte engagieren sich über die berufsrechtlichen Pflichten hinaus: in Fachseminaren, durch Publikationen und in der laufenden Auseinandersetzung mit Rechtsprechung und Literatur. Als Referent bei Veranstaltungen für Gründer und Geschäftsführer gibt Michael Hemmerich sein Wissen seit Jahren direkt weiter — praxisnah, nicht akademisch. Bei C.H. Beck verantwortet er Muster für Prozesstexte im Gesellschaftsrecht.
Wer die Muster schreibt, nach denen andere arbeiten, weiß was er tut.</w:t>
      </w:r>
    </w:p>
    <w:p>
      <w:pPr>
        <w:spacing w:before="200"/>
      </w:pPr>
    </w:p>
    <w:p>
      <w:pPr>
        <w:pStyle w:val="Heading2"/>
        <w:spacing w:after="100" w:before="280"/>
      </w:pPr>
      <w:r>
        <w:rPr>
          <w:rFonts w:ascii="Arial" w:cs="Arial" w:eastAsia="Arial" w:hAnsi="Arial"/>
          <w:b/>
          <w:bCs/>
          <w:color w:val="333333"/>
          <w:sz w:val="26"/>
          <w:szCs w:val="26"/>
        </w:rPr>
        <w:t xml:space="preserve">5.4 Kontakt</w:t>
      </w:r>
    </w:p>
    <w:p>
      <w:pPr>
        <w:spacing w:after="80" w:before="80"/>
      </w:pPr>
      <w:r>
        <w:rPr>
          <w:rFonts w:ascii="Arial" w:cs="Arial" w:eastAsia="Arial" w:hAnsi="Arial"/>
          <w:color w:val="333333"/>
          <w:sz w:val="20"/>
          <w:szCs w:val="20"/>
        </w:rPr>
        <w:t xml:space="preserve">URL: /ueber-uns-mh-anwaelte-frankfurt-am-main/kontakt/</w:t>
      </w:r>
    </w:p>
    <w:p>
      <w:pPr>
        <w:spacing w:after="80" w:before="80"/>
      </w:pPr>
      <w:r>
        <w:rPr>
          <w:rFonts w:ascii="Arial" w:cs="Arial" w:eastAsia="Arial" w:hAnsi="Arial"/>
          <w:color w:val="333333"/>
          <w:sz w:val="20"/>
          <w:szCs w:val="20"/>
        </w:rPr>
        <w:t xml:space="preserve">Seitenheadline: 'LASSEN SIE UNS REDEN. GANZ UNVERBINDLICH!'</w:t>
      </w:r>
    </w:p>
    <w:p>
      <w:pPr>
        <w:spacing w:before="120"/>
      </w:pPr>
    </w:p>
    <w:p>
      <w:pPr>
        <w:spacing w:after="80" w:before="200"/>
      </w:pPr>
      <w:r>
        <w:rPr>
          <w:rFonts w:ascii="Arial" w:cs="Arial" w:eastAsia="Arial" w:hAnsi="Arial"/>
          <w:b/>
          <w:bCs/>
          <w:color w:val="616161"/>
          <w:sz w:val="22"/>
          <w:szCs w:val="22"/>
        </w:rPr>
        <w:t xml:space="preserve">Kontaktformular</w:t>
      </w:r>
    </w:p>
    <w:p>
      <w:pPr>
        <w:pStyle w:val="ListParagraph"/>
        <w:numPr>
          <w:ilvl w:val="0"/>
          <w:numId w:val="2"/>
        </w:numPr>
        <w:spacing w:after="50" w:before="50"/>
      </w:pPr>
      <w:r>
        <w:rPr>
          <w:rFonts w:ascii="Arial" w:cs="Arial" w:eastAsia="Arial" w:hAnsi="Arial"/>
          <w:color w:val="333333"/>
          <w:sz w:val="20"/>
          <w:szCs w:val="20"/>
        </w:rPr>
        <w:t xml:space="preserve">Pflichtfelder: Name, E-Mail, Mobilnummer</w:t>
      </w:r>
    </w:p>
    <w:p>
      <w:pPr>
        <w:pStyle w:val="ListParagraph"/>
        <w:numPr>
          <w:ilvl w:val="0"/>
          <w:numId w:val="2"/>
        </w:numPr>
        <w:spacing w:after="50" w:before="50"/>
      </w:pPr>
      <w:r>
        <w:rPr>
          <w:rFonts w:ascii="Arial" w:cs="Arial" w:eastAsia="Arial" w:hAnsi="Arial"/>
          <w:color w:val="333333"/>
          <w:sz w:val="20"/>
          <w:szCs w:val="20"/>
        </w:rPr>
        <w:t xml:space="preserve">Freitextfeld: 'Worum geht es? Schildern Sie uns mit wenigen Worten Ihre Herausforderung.'</w:t>
      </w:r>
    </w:p>
    <w:p>
      <w:pPr>
        <w:spacing w:before="120"/>
      </w:pPr>
    </w:p>
    <w:p>
      <w:pPr>
        <w:spacing w:after="80" w:before="200"/>
      </w:pPr>
      <w:r>
        <w:rPr>
          <w:rFonts w:ascii="Arial" w:cs="Arial" w:eastAsia="Arial" w:hAnsi="Arial"/>
          <w:b/>
          <w:bCs/>
          <w:color w:val="616161"/>
          <w:sz w:val="22"/>
          <w:szCs w:val="22"/>
        </w:rPr>
        <w:t xml:space="preserve">Kontaktdaten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Telefon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+49 (0) 69 5308 75-0</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Fax</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+49 (0) 69 5308 75-700</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E-Mail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mh(at)mhanwaelte.de / info@mhanwaelte.de</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Adresse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mh anwälte Rechtsanwaltsgesellschaft mbH, Schwanthalerstr. 59A, 60596 Frankfurt am Main</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Web</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www.mhanwaelte.de</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Öffnungszeiten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Ausschließlich nach telefonischer Voranmeldung und Terminvereinbarung</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ÖPNV</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U-Bahn/Straßenbahn: Schweizer Platz</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Lage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Frankfurt-Sachsenhausen, Nähe 'Äppelwoi'-Wirtschaften</w:t>
            </w:r>
          </w:p>
        </w:tc>
      </w:tr>
    </w:tbl>
    <w:p>
      <w:pPr>
        <w:spacing w:before="200"/>
      </w:pPr>
    </w:p>
    <w:p>
      <w:pPr>
        <w:pStyle w:val="Heading2"/>
        <w:spacing w:after="100" w:before="280"/>
      </w:pPr>
      <w:r>
        <w:rPr>
          <w:rFonts w:ascii="Arial" w:cs="Arial" w:eastAsia="Arial" w:hAnsi="Arial"/>
          <w:b/>
          <w:bCs/>
          <w:color w:val="333333"/>
          <w:sz w:val="26"/>
          <w:szCs w:val="26"/>
        </w:rPr>
        <w:t xml:space="preserve">5.5 News — Kategorien &amp; aktuelle Beiträge</w:t>
      </w:r>
    </w:p>
    <w:p>
      <w:pPr>
        <w:spacing w:after="80" w:before="80"/>
      </w:pPr>
      <w:r>
        <w:rPr>
          <w:rFonts w:ascii="Arial" w:cs="Arial" w:eastAsia="Arial" w:hAnsi="Arial"/>
          <w:color w:val="333333"/>
          <w:sz w:val="20"/>
          <w:szCs w:val="20"/>
        </w:rPr>
        <w:t xml:space="preserve">URL: /news/</w:t>
      </w:r>
    </w:p>
    <w:p>
      <w:pPr>
        <w:spacing w:after="80" w:before="80"/>
      </w:pPr>
      <w:r>
        <w:rPr>
          <w:rFonts w:ascii="Arial" w:cs="Arial" w:eastAsia="Arial" w:hAnsi="Arial"/>
          <w:color w:val="333333"/>
          <w:sz w:val="20"/>
          <w:szCs w:val="20"/>
        </w:rPr>
        <w:t xml:space="preserve">News-Kategorien (Footer-Sidebar):</w:t>
      </w:r>
    </w:p>
    <w:p>
      <w:pPr>
        <w:pStyle w:val="ListParagraph"/>
        <w:numPr>
          <w:ilvl w:val="0"/>
          <w:numId w:val="2"/>
        </w:numPr>
        <w:spacing w:after="50" w:before="50"/>
      </w:pPr>
      <w:r>
        <w:rPr>
          <w:rFonts w:ascii="Arial" w:cs="Arial" w:eastAsia="Arial" w:hAnsi="Arial"/>
          <w:color w:val="333333"/>
          <w:sz w:val="20"/>
          <w:szCs w:val="20"/>
        </w:rPr>
        <w:t xml:space="preserve">Eigenverwaltung &amp; Sanierung</w:t>
      </w:r>
    </w:p>
    <w:p>
      <w:pPr>
        <w:pStyle w:val="ListParagraph"/>
        <w:numPr>
          <w:ilvl w:val="0"/>
          <w:numId w:val="2"/>
        </w:numPr>
        <w:spacing w:after="50" w:before="50"/>
      </w:pPr>
      <w:r>
        <w:rPr>
          <w:rFonts w:ascii="Arial" w:cs="Arial" w:eastAsia="Arial" w:hAnsi="Arial"/>
          <w:color w:val="333333"/>
          <w:sz w:val="20"/>
          <w:szCs w:val="20"/>
        </w:rPr>
        <w:t xml:space="preserve">Haftung &amp; Strafrecht</w:t>
      </w:r>
    </w:p>
    <w:p>
      <w:pPr>
        <w:pStyle w:val="ListParagraph"/>
        <w:numPr>
          <w:ilvl w:val="0"/>
          <w:numId w:val="2"/>
        </w:numPr>
        <w:spacing w:after="50" w:before="50"/>
      </w:pPr>
      <w:r>
        <w:rPr>
          <w:rFonts w:ascii="Arial" w:cs="Arial" w:eastAsia="Arial" w:hAnsi="Arial"/>
          <w:color w:val="333333"/>
          <w:sz w:val="20"/>
          <w:szCs w:val="20"/>
        </w:rPr>
        <w:t xml:space="preserve">Insolvenzanfechtung</w:t>
      </w:r>
    </w:p>
    <w:p>
      <w:pPr>
        <w:pStyle w:val="ListParagraph"/>
        <w:numPr>
          <w:ilvl w:val="0"/>
          <w:numId w:val="2"/>
        </w:numPr>
        <w:spacing w:after="50" w:before="50"/>
      </w:pPr>
      <w:r>
        <w:rPr>
          <w:rFonts w:ascii="Arial" w:cs="Arial" w:eastAsia="Arial" w:hAnsi="Arial"/>
          <w:color w:val="333333"/>
          <w:sz w:val="20"/>
          <w:szCs w:val="20"/>
        </w:rPr>
        <w:t xml:space="preserve">Praxis &amp; Mandatsstrategie</w:t>
      </w:r>
    </w:p>
    <w:p>
      <w:pPr>
        <w:pStyle w:val="ListParagraph"/>
        <w:numPr>
          <w:ilvl w:val="0"/>
          <w:numId w:val="2"/>
        </w:numPr>
        <w:spacing w:after="50" w:before="50"/>
      </w:pPr>
      <w:r>
        <w:rPr>
          <w:rFonts w:ascii="Arial" w:cs="Arial" w:eastAsia="Arial" w:hAnsi="Arial"/>
          <w:color w:val="333333"/>
          <w:sz w:val="20"/>
          <w:szCs w:val="20"/>
        </w:rPr>
        <w:t xml:space="preserve">Vollstreckung &amp; Gläubigerrechte</w:t>
      </w:r>
    </w:p>
    <w:p>
      <w:pPr>
        <w:pStyle w:val="ListParagraph"/>
        <w:numPr>
          <w:ilvl w:val="0"/>
          <w:numId w:val="2"/>
        </w:numPr>
        <w:spacing w:after="50" w:before="50"/>
      </w:pPr>
      <w:r>
        <w:rPr>
          <w:rFonts w:ascii="Arial" w:cs="Arial" w:eastAsia="Arial" w:hAnsi="Arial"/>
          <w:color w:val="333333"/>
          <w:sz w:val="20"/>
          <w:szCs w:val="20"/>
        </w:rPr>
        <w:t xml:space="preserve">Zahlungsunfähigkeit &amp; Antragspflicht</w:t>
      </w:r>
    </w:p>
    <w:p>
      <w:pPr>
        <w:spacing w:after="80" w:before="80"/>
      </w:pPr>
      <w:r>
        <w:rPr>
          <w:rFonts w:ascii="Arial" w:cs="Arial" w:eastAsia="Arial" w:hAnsi="Arial"/>
          <w:color w:val="333333"/>
          <w:sz w:val="20"/>
          <w:szCs w:val="20"/>
        </w:rPr>
        <w:t xml:space="preserve">Aktuelle Beiträge (Stand Juni 2026):</w:t>
      </w:r>
    </w:p>
    <w:p>
      <w:pPr>
        <w:pStyle w:val="ListParagraph"/>
        <w:numPr>
          <w:ilvl w:val="0"/>
          <w:numId w:val="2"/>
        </w:numPr>
        <w:spacing w:after="50" w:before="50"/>
      </w:pPr>
      <w:r>
        <w:rPr>
          <w:rFonts w:ascii="Arial" w:cs="Arial" w:eastAsia="Arial" w:hAnsi="Arial"/>
          <w:color w:val="333333"/>
          <w:sz w:val="20"/>
          <w:szCs w:val="20"/>
        </w:rPr>
        <w:t xml:space="preserve">Was tun, wenn der Gerichtsvollzieher klingelt? Die Schritte, die jetzt zählen (19. Mai 2026)</w:t>
      </w:r>
    </w:p>
    <w:p>
      <w:pPr>
        <w:pStyle w:val="ListParagraph"/>
        <w:numPr>
          <w:ilvl w:val="0"/>
          <w:numId w:val="2"/>
        </w:numPr>
        <w:spacing w:after="50" w:before="50"/>
      </w:pPr>
      <w:r>
        <w:rPr>
          <w:rFonts w:ascii="Arial" w:cs="Arial" w:eastAsia="Arial" w:hAnsi="Arial"/>
          <w:color w:val="333333"/>
          <w:sz w:val="20"/>
          <w:szCs w:val="20"/>
        </w:rPr>
        <w:t xml:space="preserve">Sanierungsdarlehen: Wann es den Darlehensgeber schützt – und wann der Insolvenzverwalter es zurückfordert (7. April 2026)</w:t>
      </w:r>
    </w:p>
    <w:p>
      <w:pPr>
        <w:pStyle w:val="ListParagraph"/>
        <w:numPr>
          <w:ilvl w:val="0"/>
          <w:numId w:val="2"/>
        </w:numPr>
        <w:spacing w:after="50" w:before="50"/>
      </w:pPr>
      <w:r>
        <w:rPr>
          <w:rFonts w:ascii="Arial" w:cs="Arial" w:eastAsia="Arial" w:hAnsi="Arial"/>
          <w:color w:val="333333"/>
          <w:sz w:val="20"/>
          <w:szCs w:val="20"/>
        </w:rPr>
        <w:t xml:space="preserve">Vermögensstatus der GmbH: Wie man Überschuldung richtig feststellt (23. Februar 2026)</w:t>
      </w:r>
    </w:p>
    <w:p>
      <w:pPr>
        <w:pStyle w:val="ListParagraph"/>
        <w:numPr>
          <w:ilvl w:val="0"/>
          <w:numId w:val="2"/>
        </w:numPr>
        <w:spacing w:after="50" w:before="50"/>
      </w:pPr>
      <w:r>
        <w:rPr>
          <w:rFonts w:ascii="Arial" w:cs="Arial" w:eastAsia="Arial" w:hAnsi="Arial"/>
          <w:color w:val="333333"/>
          <w:sz w:val="20"/>
          <w:szCs w:val="20"/>
        </w:rPr>
        <w:t xml:space="preserve">Eigenantrag oder Fremdantrag: Wer handelt früher, hat mehr Optionen (12. Januar 2026)</w:t>
      </w:r>
    </w:p>
    <w:p>
      <w:pPr>
        <w:pStyle w:val="ListParagraph"/>
        <w:numPr>
          <w:ilvl w:val="0"/>
          <w:numId w:val="2"/>
        </w:numPr>
        <w:spacing w:after="50" w:before="50"/>
      </w:pPr>
      <w:r>
        <w:rPr>
          <w:rFonts w:ascii="Arial" w:cs="Arial" w:eastAsia="Arial" w:hAnsi="Arial"/>
          <w:color w:val="333333"/>
          <w:sz w:val="20"/>
          <w:szCs w:val="20"/>
        </w:rPr>
        <w:t xml:space="preserve">Vorläufige Insolvenzverwaltung: Was passiert zwischen Antrag und Eröffnung? (20. November 2025)</w:t>
      </w:r>
    </w:p>
    <w:p>
      <w:pPr>
        <w:pBdr>
          <w:bottom w:val="single" w:color="EEEEEE" w:sz="4" w:space="1"/>
        </w:pBdr>
        <w:spacing w:after="240" w:before="240"/>
      </w:pPr>
    </w:p>
    <w:p>
      <w:pPr>
        <w:pStyle w:val="Heading1"/>
        <w:spacing w:after="160" w:before="480"/>
      </w:pPr>
      <w:r>
        <w:rPr>
          <w:rFonts w:ascii="Arial" w:cs="Arial" w:eastAsia="Arial" w:hAnsi="Arial"/>
          <w:b/>
          <w:bCs/>
          <w:color w:val="FF5900"/>
          <w:sz w:val="32"/>
          <w:szCs w:val="32"/>
        </w:rPr>
        <w:t xml:space="preserve">6. Footer</w:t>
      </w:r>
    </w:p>
    <w:p>
      <w:pPr>
        <w:spacing w:after="80" w:before="80"/>
      </w:pPr>
      <w:r>
        <w:rPr>
          <w:rFonts w:ascii="Arial" w:cs="Arial" w:eastAsia="Arial" w:hAnsi="Arial"/>
          <w:color w:val="333333"/>
          <w:sz w:val="20"/>
          <w:szCs w:val="20"/>
        </w:rPr>
        <w:t xml:space="preserve">Hintergrund: #2C353D (dunkelblaugrau). Vier Spalten.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C353D" w:val="clear"/>
            <w:tcMar>
              <w:top w:type="dxa" w:w="80"/>
              <w:left w:type="dxa" w:w="120"/>
              <w:bottom w:type="dxa" w:w="80"/>
              <w:right w:type="dxa" w:w="120"/>
            </w:tcMar>
          </w:tcPr>
          <w:p>
            <w:r>
              <w:rPr>
                <w:rFonts w:ascii="Arial" w:cs="Arial" w:eastAsia="Arial" w:hAnsi="Arial"/>
                <w:b/>
                <w:bCs/>
                <w:color w:val="FFFFFF"/>
                <w:sz w:val="18"/>
                <w:szCs w:val="18"/>
              </w:rPr>
              <w:t xml:space="preserve">NEWS NACH THEMEN</w:t>
            </w:r>
          </w:p>
        </w:tc>
        <w:tc>
          <w:tcPr>
            <w:tcW w:type="dxa" w:w="2340"/>
            <w:tcBorders>
              <w:top w:val="single" w:color="DDDDDD" w:sz="1"/>
              <w:left w:val="single" w:color="DDDDDD" w:sz="1"/>
              <w:bottom w:val="single" w:color="DDDDDD" w:sz="1"/>
              <w:right w:val="single" w:color="DDDDDD" w:sz="1"/>
            </w:tcBorders>
            <w:shd w:fill="2C353D" w:val="clear"/>
            <w:tcMar>
              <w:top w:type="dxa" w:w="80"/>
              <w:left w:type="dxa" w:w="120"/>
              <w:bottom w:type="dxa" w:w="80"/>
              <w:right w:type="dxa" w:w="120"/>
            </w:tcMar>
          </w:tcPr>
          <w:p>
            <w:r>
              <w:rPr>
                <w:rFonts w:ascii="Arial" w:cs="Arial" w:eastAsia="Arial" w:hAnsi="Arial"/>
                <w:b/>
                <w:bCs/>
                <w:color w:val="FFFFFF"/>
                <w:sz w:val="18"/>
                <w:szCs w:val="18"/>
              </w:rPr>
              <w:t xml:space="preserve">KONTAKTDATEN</w:t>
            </w:r>
          </w:p>
        </w:tc>
        <w:tc>
          <w:tcPr>
            <w:tcW w:type="dxa" w:w="2340"/>
            <w:tcBorders>
              <w:top w:val="single" w:color="DDDDDD" w:sz="1"/>
              <w:left w:val="single" w:color="DDDDDD" w:sz="1"/>
              <w:bottom w:val="single" w:color="DDDDDD" w:sz="1"/>
              <w:right w:val="single" w:color="DDDDDD" w:sz="1"/>
            </w:tcBorders>
            <w:shd w:fill="2C353D" w:val="clear"/>
            <w:tcMar>
              <w:top w:type="dxa" w:w="80"/>
              <w:left w:type="dxa" w:w="120"/>
              <w:bottom w:type="dxa" w:w="80"/>
              <w:right w:type="dxa" w:w="120"/>
            </w:tcMar>
          </w:tcPr>
          <w:p>
            <w:r>
              <w:rPr>
                <w:rFonts w:ascii="Arial" w:cs="Arial" w:eastAsia="Arial" w:hAnsi="Arial"/>
                <w:b/>
                <w:bCs/>
                <w:color w:val="FFFFFF"/>
                <w:sz w:val="18"/>
                <w:szCs w:val="18"/>
              </w:rPr>
              <w:t xml:space="preserve">ÖFFNUNGSZEITEN</w:t>
            </w:r>
          </w:p>
        </w:tc>
        <w:tc>
          <w:tcPr>
            <w:tcW w:type="dxa" w:w="2340"/>
            <w:tcBorders>
              <w:top w:val="single" w:color="DDDDDD" w:sz="1"/>
              <w:left w:val="single" w:color="DDDDDD" w:sz="1"/>
              <w:bottom w:val="single" w:color="DDDDDD" w:sz="1"/>
              <w:right w:val="single" w:color="DDDDDD" w:sz="1"/>
            </w:tcBorders>
            <w:shd w:fill="2C353D" w:val="clear"/>
            <w:tcMar>
              <w:top w:type="dxa" w:w="80"/>
              <w:left w:type="dxa" w:w="120"/>
              <w:bottom w:type="dxa" w:w="80"/>
              <w:right w:type="dxa" w:w="120"/>
            </w:tcMar>
          </w:tcPr>
          <w:p>
            <w:r>
              <w:rPr>
                <w:rFonts w:ascii="Arial" w:cs="Arial" w:eastAsia="Arial" w:hAnsi="Arial"/>
                <w:b/>
                <w:bCs/>
                <w:color w:val="FFFFFF"/>
                <w:sz w:val="18"/>
                <w:szCs w:val="18"/>
              </w:rPr>
              <w:t xml:space="preserve">AKTUELLE VERÖFFENTLICHUNGEN</w:t>
            </w:r>
          </w:p>
        </w:tc>
      </w:tr>
      <w:tr>
        <w:tc>
          <w:tcPr>
            <w:tcW w:type="dxa" w:w="2340"/>
            <w:tcBorders>
              <w:top w:val="single" w:color="DDDDDD" w:sz="1"/>
              <w:left w:val="single" w:color="DDDDDD" w:sz="1"/>
              <w:bottom w:val="single" w:color="DDDDDD" w:sz="1"/>
              <w:right w:val="single" w:color="DDDDDD" w:sz="1"/>
            </w:tcBorders>
            <w:shd w:fill="2C353D" w:val="clear"/>
            <w:tcMar>
              <w:top w:type="dxa" w:w="80"/>
              <w:left w:type="dxa" w:w="120"/>
              <w:bottom w:type="dxa" w:w="80"/>
              <w:right w:type="dxa" w:w="120"/>
            </w:tcMar>
          </w:tcPr>
          <w:p>
            <w:pPr>
              <w:spacing w:before="40"/>
            </w:pPr>
            <w:r>
              <w:rPr>
                <w:rFonts w:ascii="Arial" w:cs="Arial" w:eastAsia="Arial" w:hAnsi="Arial"/>
                <w:color w:val="FF5900"/>
                <w:sz w:val="18"/>
                <w:szCs w:val="18"/>
              </w:rPr>
              <w:t xml:space="preserve">Eigenverwaltung &amp; Sanierung</w:t>
            </w:r>
          </w:p>
          <w:p>
            <w:pPr>
              <w:spacing w:before="40"/>
            </w:pPr>
            <w:r>
              <w:rPr>
                <w:rFonts w:ascii="Arial" w:cs="Arial" w:eastAsia="Arial" w:hAnsi="Arial"/>
                <w:color w:val="FF5900"/>
                <w:sz w:val="18"/>
                <w:szCs w:val="18"/>
              </w:rPr>
              <w:t xml:space="preserve">Haftung &amp; Strafrecht</w:t>
            </w:r>
          </w:p>
          <w:p>
            <w:pPr>
              <w:spacing w:before="40"/>
            </w:pPr>
            <w:r>
              <w:rPr>
                <w:rFonts w:ascii="Arial" w:cs="Arial" w:eastAsia="Arial" w:hAnsi="Arial"/>
                <w:color w:val="FF5900"/>
                <w:sz w:val="18"/>
                <w:szCs w:val="18"/>
              </w:rPr>
              <w:t xml:space="preserve">Insolvenzanfechtung</w:t>
            </w:r>
          </w:p>
          <w:p>
            <w:pPr>
              <w:spacing w:before="40"/>
            </w:pPr>
            <w:r>
              <w:rPr>
                <w:rFonts w:ascii="Arial" w:cs="Arial" w:eastAsia="Arial" w:hAnsi="Arial"/>
                <w:color w:val="FF5900"/>
                <w:sz w:val="18"/>
                <w:szCs w:val="18"/>
              </w:rPr>
              <w:t xml:space="preserve">Praxis &amp; Mandatsstrategie</w:t>
            </w:r>
          </w:p>
          <w:p>
            <w:pPr>
              <w:spacing w:before="40"/>
            </w:pPr>
            <w:r>
              <w:rPr>
                <w:rFonts w:ascii="Arial" w:cs="Arial" w:eastAsia="Arial" w:hAnsi="Arial"/>
                <w:color w:val="FF5900"/>
                <w:sz w:val="18"/>
                <w:szCs w:val="18"/>
              </w:rPr>
              <w:t xml:space="preserve">Vollstreckung &amp; Gläubigerrechte</w:t>
            </w:r>
          </w:p>
          <w:p>
            <w:pPr>
              <w:spacing w:before="40"/>
            </w:pPr>
            <w:r>
              <w:rPr>
                <w:rFonts w:ascii="Arial" w:cs="Arial" w:eastAsia="Arial" w:hAnsi="Arial"/>
                <w:color w:val="FF5900"/>
                <w:sz w:val="18"/>
                <w:szCs w:val="18"/>
              </w:rPr>
              <w:t xml:space="preserve">Zahlungsunfähigkeit &amp; Antragspflicht</w:t>
            </w:r>
          </w:p>
        </w:tc>
        <w:tc>
          <w:tcPr>
            <w:tcW w:type="dxa" w:w="2340"/>
            <w:tcBorders>
              <w:top w:val="single" w:color="DDDDDD" w:sz="1"/>
              <w:left w:val="single" w:color="DDDDDD" w:sz="1"/>
              <w:bottom w:val="single" w:color="DDDDDD" w:sz="1"/>
              <w:right w:val="single" w:color="DDDDDD" w:sz="1"/>
            </w:tcBorders>
            <w:shd w:fill="2C353D" w:val="clear"/>
            <w:tcMar>
              <w:top w:type="dxa" w:w="80"/>
              <w:left w:type="dxa" w:w="120"/>
              <w:bottom w:type="dxa" w:w="80"/>
              <w:right w:type="dxa" w:w="120"/>
            </w:tcMar>
          </w:tcPr>
          <w:p>
            <w:pPr>
              <w:spacing w:before="40"/>
            </w:pPr>
            <w:r>
              <w:rPr>
                <w:rFonts w:ascii="Arial" w:cs="Arial" w:eastAsia="Arial" w:hAnsi="Arial"/>
                <w:color w:val="DDDDDD"/>
                <w:sz w:val="18"/>
                <w:szCs w:val="18"/>
              </w:rPr>
              <w:t xml:space="preserve">mh anwälte Rechtsanwaltsgesellschaft mbH</w:t>
            </w:r>
          </w:p>
          <w:p>
            <w:pPr>
              <w:spacing w:before="40"/>
            </w:pPr>
            <w:r>
              <w:rPr>
                <w:rFonts w:ascii="Arial" w:cs="Arial" w:eastAsia="Arial" w:hAnsi="Arial"/>
                <w:color w:val="DDDDDD"/>
                <w:sz w:val="18"/>
                <w:szCs w:val="18"/>
              </w:rPr>
              <w:t xml:space="preserve">Schwanthalerstraße 59A</w:t>
            </w:r>
          </w:p>
          <w:p>
            <w:pPr>
              <w:spacing w:before="40"/>
            </w:pPr>
            <w:r>
              <w:rPr>
                <w:rFonts w:ascii="Arial" w:cs="Arial" w:eastAsia="Arial" w:hAnsi="Arial"/>
                <w:color w:val="DDDDDD"/>
                <w:sz w:val="18"/>
                <w:szCs w:val="18"/>
              </w:rPr>
              <w:t xml:space="preserve">60596 Frankfurt am Main</w:t>
            </w:r>
          </w:p>
          <w:p>
            <w:pPr>
              <w:spacing w:before="40"/>
            </w:pPr>
            <w:r>
              <w:rPr>
                <w:rFonts w:ascii="Arial" w:cs="Arial" w:eastAsia="Arial" w:hAnsi="Arial"/>
                <w:color w:val="DDDDDD"/>
                <w:sz w:val="18"/>
                <w:szCs w:val="18"/>
              </w:rPr>
              <w:t xml:space="preserve">+49 (0) 69 530875-0</w:t>
            </w:r>
          </w:p>
          <w:p>
            <w:pPr>
              <w:spacing w:before="40"/>
            </w:pPr>
            <w:r>
              <w:rPr>
                <w:rFonts w:ascii="Arial" w:cs="Arial" w:eastAsia="Arial" w:hAnsi="Arial"/>
                <w:color w:val="FF5900"/>
                <w:sz w:val="18"/>
                <w:szCs w:val="18"/>
              </w:rPr>
              <w:t xml:space="preserve">info@mhanwaelte.de</w:t>
            </w:r>
          </w:p>
          <w:p>
            <w:pPr>
              <w:spacing w:before="40"/>
            </w:pPr>
            <w:r>
              <w:rPr>
                <w:rFonts w:ascii="Arial" w:cs="Arial" w:eastAsia="Arial" w:hAnsi="Arial"/>
                <w:color w:val="FF5900"/>
                <w:sz w:val="18"/>
                <w:szCs w:val="18"/>
              </w:rPr>
              <w:t xml:space="preserve">www.mhanwaelte.de</w:t>
            </w:r>
          </w:p>
        </w:tc>
        <w:tc>
          <w:tcPr>
            <w:tcW w:type="dxa" w:w="2340"/>
            <w:tcBorders>
              <w:top w:val="single" w:color="DDDDDD" w:sz="1"/>
              <w:left w:val="single" w:color="DDDDDD" w:sz="1"/>
              <w:bottom w:val="single" w:color="DDDDDD" w:sz="1"/>
              <w:right w:val="single" w:color="DDDDDD" w:sz="1"/>
            </w:tcBorders>
            <w:shd w:fill="2C353D" w:val="clear"/>
            <w:tcMar>
              <w:top w:type="dxa" w:w="80"/>
              <w:left w:type="dxa" w:w="120"/>
              <w:bottom w:type="dxa" w:w="80"/>
              <w:right w:type="dxa" w:w="120"/>
            </w:tcMar>
          </w:tcPr>
          <w:p>
            <w:r>
              <w:rPr>
                <w:rFonts w:ascii="Arial" w:cs="Arial" w:eastAsia="Arial" w:hAnsi="Arial"/>
                <w:color w:val="DDDDDD"/>
                <w:sz w:val="18"/>
                <w:szCs w:val="18"/>
              </w:rPr>
              <w:t xml:space="preserve">Nur nach telefonischer Voranmeldung und Terminvereinbarung. Tel: +49 (0) 69530875-0</w:t>
            </w:r>
          </w:p>
        </w:tc>
        <w:tc>
          <w:tcPr>
            <w:tcW w:type="dxa" w:w="2340"/>
            <w:tcBorders>
              <w:top w:val="single" w:color="DDDDDD" w:sz="1"/>
              <w:left w:val="single" w:color="DDDDDD" w:sz="1"/>
              <w:bottom w:val="single" w:color="DDDDDD" w:sz="1"/>
              <w:right w:val="single" w:color="DDDDDD" w:sz="1"/>
            </w:tcBorders>
            <w:shd w:fill="2C353D" w:val="clear"/>
            <w:tcMar>
              <w:top w:type="dxa" w:w="80"/>
              <w:left w:type="dxa" w:w="120"/>
              <w:bottom w:type="dxa" w:w="80"/>
              <w:right w:type="dxa" w:w="120"/>
            </w:tcMar>
          </w:tcPr>
          <w:p>
            <w:pPr>
              <w:spacing w:before="40"/>
            </w:pPr>
            <w:r>
              <w:rPr>
                <w:rFonts w:ascii="Arial" w:cs="Arial" w:eastAsia="Arial" w:hAnsi="Arial"/>
                <w:color w:val="FF5900"/>
                <w:sz w:val="16"/>
                <w:szCs w:val="16"/>
              </w:rPr>
              <w:t xml:space="preserve">Was tun, wenn der Gerichtsvollzieher klingelt? (19.05.2026)</w:t>
            </w:r>
          </w:p>
          <w:p>
            <w:pPr>
              <w:spacing w:before="40"/>
            </w:pPr>
            <w:r>
              <w:rPr>
                <w:rFonts w:ascii="Arial" w:cs="Arial" w:eastAsia="Arial" w:hAnsi="Arial"/>
                <w:color w:val="FF5900"/>
                <w:sz w:val="16"/>
                <w:szCs w:val="16"/>
              </w:rPr>
              <w:t xml:space="preserve">Sanierungsdarlehen (07.04.2026)</w:t>
            </w:r>
          </w:p>
          <w:p>
            <w:pPr>
              <w:spacing w:before="40"/>
            </w:pPr>
            <w:r>
              <w:rPr>
                <w:rFonts w:ascii="Arial" w:cs="Arial" w:eastAsia="Arial" w:hAnsi="Arial"/>
                <w:color w:val="FF5900"/>
                <w:sz w:val="16"/>
                <w:szCs w:val="16"/>
              </w:rPr>
              <w:t xml:space="preserve">Vermögensstatus der GmbH (23.02.2026)</w:t>
            </w:r>
          </w:p>
          <w:p>
            <w:pPr>
              <w:spacing w:before="40"/>
            </w:pPr>
            <w:r>
              <w:rPr>
                <w:rFonts w:ascii="Arial" w:cs="Arial" w:eastAsia="Arial" w:hAnsi="Arial"/>
                <w:color w:val="FF5900"/>
                <w:sz w:val="16"/>
                <w:szCs w:val="16"/>
              </w:rPr>
              <w:t xml:space="preserve">Eigenantrag oder Fremdantrag (12.01.2026)</w:t>
            </w:r>
          </w:p>
          <w:p>
            <w:pPr>
              <w:spacing w:before="40"/>
            </w:pPr>
            <w:r>
              <w:rPr>
                <w:rFonts w:ascii="Arial" w:cs="Arial" w:eastAsia="Arial" w:hAnsi="Arial"/>
                <w:color w:val="FF5900"/>
                <w:sz w:val="16"/>
                <w:szCs w:val="16"/>
              </w:rPr>
              <w:t xml:space="preserve">Vorläufige Insolvenzverwaltung (20.11.2025)</w:t>
            </w:r>
          </w:p>
        </w:tc>
      </w:tr>
    </w:tbl>
    <w:p>
      <w:pPr>
        <w:spacing w:before="120"/>
      </w:pPr>
    </w:p>
    <w:p>
      <w:pPr>
        <w:spacing w:after="80" w:before="80"/>
      </w:pPr>
      <w:r>
        <w:rPr>
          <w:rFonts w:ascii="Arial" w:cs="Arial" w:eastAsia="Arial" w:hAnsi="Arial"/>
          <w:color w:val="333333"/>
          <w:sz w:val="20"/>
          <w:szCs w:val="20"/>
        </w:rPr>
        <w:t xml:space="preserve">5. Spalte (volle Breite): 'MH ANWÄLTE RECHTSANWALTSGESELLSCHAFT MBH — mh anwälte Rechtsanwaltsgesellschaft mbH ist eine mittelstandsberatende Kanzlei in Frankfurt am Main.'</w:t>
      </w:r>
    </w:p>
    <w:p>
      <w:pPr>
        <w:spacing w:after="80" w:before="80"/>
      </w:pPr>
      <w:r>
        <w:rPr>
          <w:rFonts w:ascii="Arial" w:cs="Arial" w:eastAsia="Arial" w:hAnsi="Arial"/>
          <w:color w:val="333333"/>
          <w:sz w:val="20"/>
          <w:szCs w:val="20"/>
        </w:rPr>
        <w:t xml:space="preserve">Copyright: © Copyright - mh anwälte rechtsanwaltsgesellschaft mbH - Enfold WordPress Theme by Kriesi</w:t>
      </w:r>
    </w:p>
    <w:p>
      <w:pPr>
        <w:pBdr>
          <w:bottom w:val="single" w:color="EEEEEE" w:sz="4" w:space="1"/>
        </w:pBdr>
        <w:spacing w:after="240" w:before="240"/>
      </w:pPr>
    </w:p>
    <w:p>
      <w:pPr>
        <w:pStyle w:val="Heading1"/>
        <w:spacing w:after="160" w:before="480"/>
      </w:pPr>
      <w:r>
        <w:rPr>
          <w:rFonts w:ascii="Arial" w:cs="Arial" w:eastAsia="Arial" w:hAnsi="Arial"/>
          <w:b/>
          <w:bCs/>
          <w:color w:val="FF5900"/>
          <w:sz w:val="32"/>
          <w:szCs w:val="32"/>
        </w:rPr>
        <w:t xml:space="preserve">7. Ton &amp; Sprache</w:t>
      </w:r>
    </w:p>
    <w:p>
      <w:pPr>
        <w:pStyle w:val="ListParagraph"/>
        <w:numPr>
          <w:ilvl w:val="0"/>
          <w:numId w:val="2"/>
        </w:numPr>
        <w:spacing w:after="50" w:before="50"/>
      </w:pPr>
      <w:r>
        <w:rPr>
          <w:rFonts w:ascii="Arial" w:cs="Arial" w:eastAsia="Arial" w:hAnsi="Arial"/>
          <w:color w:val="333333"/>
          <w:sz w:val="20"/>
          <w:szCs w:val="20"/>
        </w:rPr>
        <w:t xml:space="preserve">Siez-Form durchgehend</w:t>
      </w:r>
    </w:p>
    <w:p>
      <w:pPr>
        <w:pStyle w:val="ListParagraph"/>
        <w:numPr>
          <w:ilvl w:val="0"/>
          <w:numId w:val="2"/>
        </w:numPr>
        <w:spacing w:after="50" w:before="50"/>
      </w:pPr>
      <w:r>
        <w:rPr>
          <w:rFonts w:ascii="Arial" w:cs="Arial" w:eastAsia="Arial" w:hAnsi="Arial"/>
          <w:color w:val="333333"/>
          <w:sz w:val="20"/>
          <w:szCs w:val="20"/>
        </w:rPr>
        <w:t xml:space="preserve">Direkt, kantig, kompetent — nicht arrogant</w:t>
      </w:r>
    </w:p>
    <w:p>
      <w:pPr>
        <w:pStyle w:val="ListParagraph"/>
        <w:numPr>
          <w:ilvl w:val="0"/>
          <w:numId w:val="2"/>
        </w:numPr>
        <w:spacing w:after="50" w:before="50"/>
      </w:pPr>
      <w:r>
        <w:rPr>
          <w:rFonts w:ascii="Arial" w:cs="Arial" w:eastAsia="Arial" w:hAnsi="Arial"/>
          <w:color w:val="333333"/>
          <w:sz w:val="20"/>
          <w:szCs w:val="20"/>
        </w:rPr>
        <w:t xml:space="preserve">Klar und strukturiert — keine Buzzword-Häufung</w:t>
      </w:r>
    </w:p>
    <w:p>
      <w:pPr>
        <w:pStyle w:val="ListParagraph"/>
        <w:numPr>
          <w:ilvl w:val="0"/>
          <w:numId w:val="2"/>
        </w:numPr>
        <w:spacing w:after="50" w:before="50"/>
      </w:pPr>
      <w:r>
        <w:rPr>
          <w:rFonts w:ascii="Arial" w:cs="Arial" w:eastAsia="Arial" w:hAnsi="Arial"/>
          <w:color w:val="333333"/>
          <w:sz w:val="20"/>
          <w:szCs w:val="20"/>
        </w:rPr>
        <w:t xml:space="preserve">Leidenschaft und Persönlichkeit sichtbar</w:t>
      </w:r>
    </w:p>
    <w:p>
      <w:pPr>
        <w:pStyle w:val="ListParagraph"/>
        <w:numPr>
          <w:ilvl w:val="0"/>
          <w:numId w:val="2"/>
        </w:numPr>
        <w:spacing w:after="50" w:before="50"/>
      </w:pPr>
      <w:r>
        <w:rPr>
          <w:rFonts w:ascii="Arial" w:cs="Arial" w:eastAsia="Arial" w:hAnsi="Arial"/>
          <w:color w:val="333333"/>
          <w:sz w:val="20"/>
          <w:szCs w:val="20"/>
        </w:rPr>
        <w:t xml:space="preserve">Headlines: Versalien, kurze Zuspitzungen, rhetorische Aussagen</w:t>
      </w:r>
    </w:p>
    <w:p>
      <w:pPr>
        <w:pStyle w:val="ListParagraph"/>
        <w:numPr>
          <w:ilvl w:val="0"/>
          <w:numId w:val="2"/>
        </w:numPr>
        <w:spacing w:after="50" w:before="50"/>
      </w:pPr>
      <w:r>
        <w:rPr>
          <w:rFonts w:ascii="Arial" w:cs="Arial" w:eastAsia="Arial" w:hAnsi="Arial"/>
          <w:color w:val="333333"/>
          <w:sz w:val="20"/>
          <w:szCs w:val="20"/>
        </w:rPr>
        <w:t xml:space="preserve">Kein KI-Dreischritt (Behauptung. Zuspitzung. Pointe.)</w:t>
      </w:r>
    </w:p>
    <w:p>
      <w:pPr>
        <w:pStyle w:val="ListParagraph"/>
        <w:numPr>
          <w:ilvl w:val="0"/>
          <w:numId w:val="2"/>
        </w:numPr>
        <w:spacing w:after="50" w:before="50"/>
      </w:pPr>
      <w:r>
        <w:rPr>
          <w:rFonts w:ascii="Arial" w:cs="Arial" w:eastAsia="Arial" w:hAnsi="Arial"/>
          <w:color w:val="333333"/>
          <w:sz w:val="20"/>
          <w:szCs w:val="20"/>
        </w:rPr>
        <w:t xml:space="preserve">Eintracht Frankfurt als persönliches Detail von Michael Hemmerich — eingebunden</w:t>
      </w:r>
    </w:p>
    <w:p>
      <w:pPr>
        <w:pStyle w:val="ListParagraph"/>
        <w:numPr>
          <w:ilvl w:val="0"/>
          <w:numId w:val="2"/>
        </w:numPr>
        <w:spacing w:after="50" w:before="50"/>
      </w:pPr>
      <w:r>
        <w:rPr>
          <w:rFonts w:ascii="Arial" w:cs="Arial" w:eastAsia="Arial" w:hAnsi="Arial"/>
          <w:color w:val="333333"/>
          <w:sz w:val="20"/>
          <w:szCs w:val="20"/>
        </w:rPr>
        <w:t xml:space="preserve">'Klar, kantig, kompetent' als Kompaktformel für den Marken-Ton</w:t>
      </w:r>
    </w:p>
    <w:p>
      <w:pPr>
        <w:pBdr>
          <w:bottom w:val="single" w:color="EEEEEE" w:sz="4" w:space="1"/>
        </w:pBdr>
        <w:spacing w:after="240" w:before="240"/>
      </w:pPr>
    </w:p>
    <w:p>
      <w:pPr>
        <w:pStyle w:val="Heading1"/>
        <w:spacing w:after="160" w:before="480"/>
      </w:pPr>
      <w:r>
        <w:rPr>
          <w:rFonts w:ascii="Arial" w:cs="Arial" w:eastAsia="Arial" w:hAnsi="Arial"/>
          <w:b/>
          <w:bCs/>
          <w:color w:val="FF5900"/>
          <w:sz w:val="32"/>
          <w:szCs w:val="32"/>
        </w:rPr>
        <w:t xml:space="preserve">8. Technische Hinweise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Domain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.de (Haupt) — .com leitet auf .de weiter — bestätigt</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CMS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WordPress (Enfold Theme by Kriesi) — bestätigt: Copyright-Zeile</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Hosting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Raidbox</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SEO-Plugin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AIOSEO</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Redirects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Plugin: Redirection (John Godley)</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Bildformat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WebP + Lazy Load, konsequenter S/W-Filter</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Cookie-Banner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Kategorien: Unbedingt erforderlich + Performance</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LinkedIn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Direktlink im Topbar</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Öffnungszeiten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Nur nach Terminvereinbarung — kein Spontan-Besuch</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Schema.org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LocalBusiness + LegalService + Attorney empfohlen</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Mobiloptimierung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Kritisch — Enfold ist responsiv</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Glossar-Seite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'/glossare-krise-und-sanierung-arbeitsrecht-gesellschaftsrecht/' — eigene Unterseite</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Kundenstimmen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/feedback-bewertungen-unserer-kunden/ — eigene Unterseite</w:t>
            </w:r>
          </w:p>
        </w:tc>
      </w:tr>
    </w:tbl>
    <w:p>
      <w:pPr>
        <w:pBdr>
          <w:bottom w:val="single" w:color="EEEEEE" w:sz="4" w:space="1"/>
        </w:pBdr>
        <w:spacing w:after="240" w:before="240"/>
      </w:pPr>
    </w:p>
    <w:p>
      <w:pPr>
        <w:spacing w:before="240"/>
        <w:jc w:val="center"/>
      </w:pPr>
      <w:r>
        <w:rPr>
          <w:rFonts w:ascii="Arial" w:cs="Arial" w:eastAsia="Arial" w:hAnsi="Arial"/>
          <w:i/>
          <w:iCs/>
          <w:color w:val="616161"/>
          <w:sz w:val="18"/>
          <w:szCs w:val="18"/>
        </w:rPr>
        <w:t xml:space="preserve">Ende des Briefings — Live-Auslese mhanwaelte.de — Juni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FF590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2026-06-29T10:13:48.434Z</dcterms:created>
  <dcterms:modified xsi:type="dcterms:W3CDTF">2026-06-29T10:13:48.435Z</dcterms:modified>
</cp:coreProperties>
</file>

<file path=docProps/custom.xml><?xml version="1.0" encoding="utf-8"?>
<Properties xmlns="http://schemas.openxmlformats.org/officeDocument/2006/custom-properties" xmlns:vt="http://schemas.openxmlformats.org/officeDocument/2006/docPropsVTypes"/>
</file>