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2622D"/>
          <w:sz w:val="56"/>
          <w:szCs w:val="56"/>
        </w:rPr>
        <w:t xml:space="preserve">ALACENA</w:t>
      </w:r>
    </w:p>
    <w:p>
      <w:pPr>
        <w:spacing w:after="40"/>
        <w:jc w:val="center"/>
      </w:pPr>
      <w:r>
        <w:rPr>
          <w:sz w:val="30"/>
          <w:szCs w:val="30"/>
        </w:rPr>
        <w:t xml:space="preserve">Documento final del MVP</w:t>
      </w:r>
    </w:p>
    <w:p>
      <w:pPr>
        <w:spacing w:after="360"/>
        <w:jc w:val="center"/>
      </w:pPr>
      <w:r>
        <w:rPr>
          <w:i/>
          <w:iCs/>
          <w:color w:val="6B6862"/>
        </w:rPr>
        <w:t xml:space="preserve">Lista de supermercado compartida del hogar · 30 de julio de 2026</w:t>
      </w:r>
    </w:p>
    <w:p>
      <w:pPr>
        <w:pStyle w:val="Heading1"/>
        <w:spacing w:after="160" w:before="320"/>
      </w:pPr>
      <w:r>
        <w:rPr>
          <w:b/>
          <w:bCs/>
          <w:color w:val="B2622D"/>
        </w:rPr>
        <w:t xml:space="preserve">1. Resumen ejecutivo</w:t>
      </w:r>
    </w:p>
    <w:p>
      <w:pPr>
        <w:spacing w:after="120"/>
      </w:pPr>
      <w:r>
        <w:t xml:space="preserve">Alacena es una app móvil (iOS, React Native + Expo) para llevar la lista de compras de un hogar, compartida entre sus miembros. El MVP definido en el documento funcional original está implementado y funcionando de punta a punta: autenticación, creación/unión a un hogar por código de invitación, alta/edición/eliminación de artículos por categoría, marcado de comprado, buscador, "Finalizar Compra", y funcionamiento offline con sincronización automática.</w:t>
      </w:r>
    </w:p>
    <w:p>
      <w:pPr>
        <w:spacing w:after="120"/>
      </w:pPr>
      <w:r>
        <w:t xml:space="preserve">Se probó de forma manual en un iPhone físico vía Expo Go durante todo el desarrollo (incluyendo un escenario de modo avión para validar la sincronización offline). No se probó todavía el uso simultáneo desde dos cuentas/dispositivos distintos compartiendo el mismo hogar — es el próximo paso sugerido antes de decidir cómo seguir.</w:t>
      </w:r>
    </w:p>
    <w:p>
      <w:pPr>
        <w:pStyle w:val="Heading1"/>
        <w:spacing w:after="160" w:before="320"/>
      </w:pPr>
      <w:r>
        <w:rPr>
          <w:b/>
          <w:bCs/>
          <w:color w:val="B2622D"/>
        </w:rPr>
        <w:t xml:space="preserve">2. Alcance funcional implementado</w:t>
      </w:r>
    </w:p>
    <w:p>
      <w:pPr>
        <w:pStyle w:val="Heading2"/>
        <w:spacing w:after="100" w:before="220"/>
      </w:pPr>
      <w:r>
        <w:rPr>
          <w:b/>
          <w:bCs/>
        </w:rPr>
        <w:t xml:space="preserve">Cuenta y hogar</w:t>
      </w:r>
    </w:p>
    <w:p>
      <w:pPr>
        <w:pStyle w:val="ListParagraph"/>
        <w:numPr>
          <w:ilvl w:val="0"/>
          <w:numId w:val="2"/>
        </w:numPr>
        <w:spacing w:after="80"/>
      </w:pPr>
      <w:r>
        <w:rPr>
          <w:b/>
          <w:bCs/>
          <w:color w:val="56633F"/>
        </w:rPr>
        <w:t xml:space="preserve">✓ </w:t>
      </w:r>
      <w:r>
        <w:t xml:space="preserve">Registro e inicio de sesión con email y contraseña (sin Apple Sign In en el MVP)</w:t>
      </w:r>
    </w:p>
    <w:p>
      <w:pPr>
        <w:pStyle w:val="ListParagraph"/>
        <w:numPr>
          <w:ilvl w:val="0"/>
          <w:numId w:val="2"/>
        </w:numPr>
        <w:spacing w:after="80"/>
      </w:pPr>
      <w:r>
        <w:rPr>
          <w:b/>
          <w:bCs/>
          <w:color w:val="56633F"/>
        </w:rPr>
        <w:t xml:space="preserve">✓ </w:t>
      </w:r>
      <w:r>
        <w:t xml:space="preserve">Crear un hogar (genera código de invitación tipo CASA-7XQ2) o unirse a uno existente con el código</w:t>
      </w:r>
    </w:p>
    <w:p>
      <w:pPr>
        <w:pStyle w:val="ListParagraph"/>
        <w:numPr>
          <w:ilvl w:val="0"/>
          <w:numId w:val="2"/>
        </w:numPr>
        <w:spacing w:after="80"/>
      </w:pPr>
      <w:r>
        <w:rPr>
          <w:b/>
          <w:bCs/>
          <w:color w:val="56633F"/>
        </w:rPr>
        <w:t xml:space="preserve">✓ </w:t>
      </w:r>
      <w:r>
        <w:t xml:space="preserve">Un usuario pertenece a un solo hogar a la vez</w:t>
      </w:r>
    </w:p>
    <w:p>
      <w:pPr>
        <w:pStyle w:val="Heading2"/>
        <w:spacing w:after="100" w:before="220"/>
      </w:pPr>
      <w:r>
        <w:rPr>
          <w:b/>
          <w:bCs/>
        </w:rPr>
        <w:t xml:space="preserve">Lista de compras</w:t>
      </w:r>
    </w:p>
    <w:p>
      <w:pPr>
        <w:pStyle w:val="ListParagraph"/>
        <w:numPr>
          <w:ilvl w:val="0"/>
          <w:numId w:val="2"/>
        </w:numPr>
        <w:spacing w:after="80"/>
      </w:pPr>
      <w:r>
        <w:rPr>
          <w:b/>
          <w:bCs/>
          <w:color w:val="56633F"/>
        </w:rPr>
        <w:t xml:space="preserve">✓ </w:t>
      </w:r>
      <w:r>
        <w:t xml:space="preserve">Alta, edición y eliminación de artículos (nombre, marca, variedad, cantidad, unidad, categoría)</w:t>
      </w:r>
    </w:p>
    <w:p>
      <w:pPr>
        <w:pStyle w:val="ListParagraph"/>
        <w:numPr>
          <w:ilvl w:val="0"/>
          <w:numId w:val="2"/>
        </w:numPr>
        <w:spacing w:after="80"/>
      </w:pPr>
      <w:r>
        <w:rPr>
          <w:b/>
          <w:bCs/>
          <w:color w:val="56633F"/>
        </w:rPr>
        <w:t xml:space="preserve">✓ </w:t>
      </w:r>
      <w:r>
        <w:t xml:space="preserve">6 categorías fijas con color e ícono propio: Almacén, Bebidas, Higiene Personal, Frescos, Limpieza, Varios</w:t>
      </w:r>
    </w:p>
    <w:p>
      <w:pPr>
        <w:pStyle w:val="ListParagraph"/>
        <w:numPr>
          <w:ilvl w:val="0"/>
          <w:numId w:val="2"/>
        </w:numPr>
        <w:spacing w:after="80"/>
      </w:pPr>
      <w:r>
        <w:rPr>
          <w:b/>
          <w:bCs/>
          <w:color w:val="56633F"/>
        </w:rPr>
        <w:t xml:space="preserve">✓ </w:t>
      </w:r>
      <w:r>
        <w:t xml:space="preserve">Marcar/desmarcar artículo como comprado sin eliminarlo de la lista</w:t>
      </w:r>
    </w:p>
    <w:p>
      <w:pPr>
        <w:pStyle w:val="ListParagraph"/>
        <w:numPr>
          <w:ilvl w:val="0"/>
          <w:numId w:val="2"/>
        </w:numPr>
        <w:spacing w:after="80"/>
      </w:pPr>
      <w:r>
        <w:rPr>
          <w:b/>
          <w:bCs/>
          <w:color w:val="56633F"/>
        </w:rPr>
        <w:t xml:space="preserve">✓ </w:t>
      </w:r>
      <w:r>
        <w:t xml:space="preserve">Buscador por nombre o marca</w:t>
      </w:r>
    </w:p>
    <w:p>
      <w:pPr>
        <w:pStyle w:val="ListParagraph"/>
        <w:numPr>
          <w:ilvl w:val="0"/>
          <w:numId w:val="2"/>
        </w:numPr>
        <w:spacing w:after="80"/>
      </w:pPr>
      <w:r>
        <w:rPr>
          <w:b/>
          <w:bCs/>
          <w:color w:val="56633F"/>
        </w:rPr>
        <w:t xml:space="preserve">✓ </w:t>
      </w:r>
      <w:r>
        <w:t xml:space="preserve">Categorías colapsables y opción de ocultar categorías completas de la vista</w:t>
      </w:r>
    </w:p>
    <w:p>
      <w:pPr>
        <w:pStyle w:val="ListParagraph"/>
        <w:numPr>
          <w:ilvl w:val="0"/>
          <w:numId w:val="2"/>
        </w:numPr>
        <w:spacing w:after="80"/>
      </w:pPr>
      <w:r>
        <w:rPr>
          <w:b/>
          <w:bCs/>
          <w:color w:val="56633F"/>
        </w:rPr>
        <w:t xml:space="preserve">✓ </w:t>
      </w:r>
      <w:r>
        <w:t xml:space="preserve">Swipe sobre un artículo para editar o eliminar</w:t>
      </w:r>
    </w:p>
    <w:p>
      <w:pPr>
        <w:pStyle w:val="ListParagraph"/>
        <w:numPr>
          <w:ilvl w:val="0"/>
          <w:numId w:val="2"/>
        </w:numPr>
        <w:spacing w:after="80"/>
      </w:pPr>
      <w:r>
        <w:rPr>
          <w:b/>
          <w:bCs/>
          <w:color w:val="56633F"/>
        </w:rPr>
        <w:t xml:space="preserve">✓ </w:t>
      </w:r>
      <w:r>
        <w:t xml:space="preserve">Botón "Finalizar Compra": registra la fecha de última compra sin desmarcar artículos, con confirmación visual (toast)</w:t>
      </w:r>
    </w:p>
    <w:p>
      <w:pPr>
        <w:pStyle w:val="ListParagraph"/>
        <w:numPr>
          <w:ilvl w:val="0"/>
          <w:numId w:val="2"/>
        </w:numPr>
        <w:spacing w:after="80"/>
      </w:pPr>
      <w:r>
        <w:rPr>
          <w:b/>
          <w:bCs/>
          <w:color w:val="56633F"/>
        </w:rPr>
        <w:t xml:space="preserve">✓ </w:t>
      </w:r>
      <w:r>
        <w:t xml:space="preserve">Botón "Marcar todos como no comprados" (para arrancar la próxima compra)</w:t>
      </w:r>
    </w:p>
    <w:p>
      <w:pPr>
        <w:pStyle w:val="Heading2"/>
        <w:spacing w:after="100" w:before="220"/>
      </w:pPr>
      <w:r>
        <w:rPr>
          <w:b/>
          <w:bCs/>
        </w:rPr>
        <w:t xml:space="preserve">Landing / inicio</w:t>
      </w:r>
    </w:p>
    <w:p>
      <w:pPr>
        <w:pStyle w:val="ListParagraph"/>
        <w:numPr>
          <w:ilvl w:val="0"/>
          <w:numId w:val="2"/>
        </w:numPr>
        <w:spacing w:after="80"/>
      </w:pPr>
      <w:r>
        <w:rPr>
          <w:b/>
          <w:bCs/>
          <w:color w:val="56633F"/>
        </w:rPr>
        <w:t xml:space="preserve">✓ </w:t>
      </w:r>
      <w:r>
        <w:t xml:space="preserve">Avatar del hogar a elección entre 5 presets de color + inicial (sin subida de fotos reales todavía)</w:t>
      </w:r>
    </w:p>
    <w:p>
      <w:pPr>
        <w:pStyle w:val="ListParagraph"/>
        <w:numPr>
          <w:ilvl w:val="0"/>
          <w:numId w:val="2"/>
        </w:numPr>
        <w:spacing w:after="80"/>
      </w:pPr>
      <w:r>
        <w:rPr>
          <w:b/>
          <w:bCs/>
          <w:color w:val="56633F"/>
        </w:rPr>
        <w:t xml:space="preserve">✓ </w:t>
      </w:r>
      <w:r>
        <w:t xml:space="preserve">Descripción del hogar editable</w:t>
      </w:r>
    </w:p>
    <w:p>
      <w:pPr>
        <w:pStyle w:val="ListParagraph"/>
        <w:numPr>
          <w:ilvl w:val="0"/>
          <w:numId w:val="2"/>
        </w:numPr>
        <w:spacing w:after="80"/>
      </w:pPr>
      <w:r>
        <w:rPr>
          <w:b/>
          <w:bCs/>
          <w:color w:val="56633F"/>
        </w:rPr>
        <w:t xml:space="preserve">✓ </w:t>
      </w:r>
      <w:r>
        <w:t xml:space="preserve">Contador de artículos pendientes de compra y fecha de última compra</w:t>
      </w:r>
    </w:p>
    <w:p>
      <w:pPr>
        <w:pStyle w:val="ListParagraph"/>
        <w:numPr>
          <w:ilvl w:val="0"/>
          <w:numId w:val="2"/>
        </w:numPr>
        <w:spacing w:after="80"/>
      </w:pPr>
      <w:r>
        <w:rPr>
          <w:b/>
          <w:bCs/>
          <w:color w:val="56633F"/>
        </w:rPr>
        <w:t xml:space="preserve">✓ </w:t>
      </w:r>
      <w:r>
        <w:t xml:space="preserve">Cerrar sesión</w:t>
      </w:r>
    </w:p>
    <w:p>
      <w:pPr>
        <w:pStyle w:val="Heading2"/>
        <w:spacing w:after="100" w:before="220"/>
      </w:pPr>
      <w:r>
        <w:rPr>
          <w:b/>
          <w:bCs/>
        </w:rPr>
        <w:t xml:space="preserve">Offline</w:t>
      </w:r>
    </w:p>
    <w:p>
      <w:pPr>
        <w:pStyle w:val="ListParagraph"/>
        <w:numPr>
          <w:ilvl w:val="0"/>
          <w:numId w:val="2"/>
        </w:numPr>
        <w:spacing w:after="80"/>
      </w:pPr>
      <w:r>
        <w:rPr>
          <w:b/>
          <w:bCs/>
          <w:color w:val="56633F"/>
        </w:rPr>
        <w:t xml:space="preserve">✓ </w:t>
      </w:r>
      <w:r>
        <w:t xml:space="preserve">La app funciona sin conexión: ver y crear/editar artículos con normalidad</w:t>
      </w:r>
    </w:p>
    <w:p>
      <w:pPr>
        <w:pStyle w:val="ListParagraph"/>
        <w:numPr>
          <w:ilvl w:val="0"/>
          <w:numId w:val="2"/>
        </w:numPr>
        <w:spacing w:after="80"/>
      </w:pPr>
      <w:r>
        <w:rPr>
          <w:b/>
          <w:bCs/>
          <w:color w:val="56633F"/>
        </w:rPr>
        <w:t xml:space="preserve">✓ </w:t>
      </w:r>
      <w:r>
        <w:t xml:space="preserve">Los cambios se guardan localmente (SQLite en el dispositivo) y se sincronizan solos al recuperar conexión</w:t>
      </w:r>
    </w:p>
    <w:p>
      <w:pPr>
        <w:pStyle w:val="ListParagraph"/>
        <w:numPr>
          <w:ilvl w:val="0"/>
          <w:numId w:val="2"/>
        </w:numPr>
        <w:spacing w:after="80"/>
      </w:pPr>
      <w:r>
        <w:rPr>
          <w:b/>
          <w:bCs/>
          <w:color w:val="56633F"/>
        </w:rPr>
        <w:t xml:space="preserve">✓ </w:t>
      </w:r>
      <w:r>
        <w:t xml:space="preserve">Banner de "sin conexión" visible mientras no hay señal</w:t>
      </w:r>
    </w:p>
    <w:p>
      <w:pPr>
        <w:pStyle w:val="ListParagraph"/>
        <w:numPr>
          <w:ilvl w:val="0"/>
          <w:numId w:val="2"/>
        </w:numPr>
        <w:spacing w:after="80"/>
      </w:pPr>
      <w:r>
        <w:rPr>
          <w:b/>
          <w:bCs/>
          <w:color w:val="56633F"/>
        </w:rPr>
        <w:t xml:space="preserve">✓ </w:t>
      </w:r>
      <w:r>
        <w:t xml:space="preserve">Resolución de conflictos: si el mismo artículo se editó offline en dos lugares, gana la edición más reciente</w:t>
      </w:r>
    </w:p>
    <w:p>
      <w:pPr>
        <w:pStyle w:val="Heading1"/>
        <w:spacing w:after="160" w:before="320"/>
      </w:pPr>
      <w:r>
        <w:rPr>
          <w:b/>
          <w:bCs/>
          <w:color w:val="B2622D"/>
        </w:rPr>
        <w:t xml:space="preserve">3. Arquitectura técnica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E9DD" w:val="clear"/>
            <w:tcMar>
              <w:top w:type="dxa" w:w="80"/>
              <w:left w:type="dxa" w:w="120"/>
              <w:bottom w:type="dxa" w:w="80"/>
              <w:right w:type="dxa" w:w="120"/>
            </w:tcMar>
          </w:tcPr>
          <w:p>
            <w:r>
              <w:rPr>
                <w:b/>
                <w:bCs/>
              </w:rPr>
              <w:t xml:space="preserve">Área</w:t>
            </w:r>
          </w:p>
        </w:tc>
        <w:tc>
          <w:tcPr>
            <w:tcW w:type="dxa" w:w="6200"/>
            <w:tcMar>
              <w:top w:type="dxa" w:w="80"/>
              <w:left w:type="dxa" w:w="120"/>
              <w:bottom w:type="dxa" w:w="80"/>
              <w:right w:type="dxa" w:w="120"/>
            </w:tcMar>
          </w:tcPr>
          <w:p>
            <w:r>
              <w:rPr>
                <w:b/>
                <w:bCs/>
              </w:rPr>
              <w:t xml:space="preserve">Decisión</w:t>
            </w:r>
          </w:p>
        </w:tc>
      </w:tr>
      <w:tr>
        <w:tc>
          <w:tcPr>
            <w:tcW w:type="dxa" w:w="3200"/>
            <w:tcMar>
              <w:top w:type="dxa" w:w="80"/>
              <w:left w:type="dxa" w:w="120"/>
              <w:bottom w:type="dxa" w:w="80"/>
              <w:right w:type="dxa" w:w="120"/>
            </w:tcMar>
          </w:tcPr>
          <w:p>
            <w:r>
              <w:rPr>
                <w:b/>
                <w:bCs/>
              </w:rPr>
              <w:t xml:space="preserve">Frontend</w:t>
            </w:r>
          </w:p>
        </w:tc>
        <w:tc>
          <w:tcPr>
            <w:tcW w:type="dxa" w:w="6200"/>
            <w:tcMar>
              <w:top w:type="dxa" w:w="80"/>
              <w:left w:type="dxa" w:w="120"/>
              <w:bottom w:type="dxa" w:w="80"/>
              <w:right w:type="dxa" w:w="120"/>
            </w:tcMar>
          </w:tcPr>
          <w:p>
            <w:r>
              <w:rPr>
                <w:b w:val="false"/>
                <w:bCs w:val="false"/>
              </w:rPr>
              <w:t xml:space="preserve">React Native + Expo (SDK 54, managed workflow) + Expo Router</w:t>
            </w:r>
          </w:p>
        </w:tc>
      </w:tr>
      <w:tr>
        <w:tc>
          <w:tcPr>
            <w:tcW w:type="dxa" w:w="3200"/>
            <w:tcMar>
              <w:top w:type="dxa" w:w="80"/>
              <w:left w:type="dxa" w:w="120"/>
              <w:bottom w:type="dxa" w:w="80"/>
              <w:right w:type="dxa" w:w="120"/>
            </w:tcMar>
          </w:tcPr>
          <w:p>
            <w:r>
              <w:rPr>
                <w:b/>
                <w:bCs/>
              </w:rPr>
              <w:t xml:space="preserve">Backend</w:t>
            </w:r>
          </w:p>
        </w:tc>
        <w:tc>
          <w:tcPr>
            <w:tcW w:type="dxa" w:w="6200"/>
            <w:tcMar>
              <w:top w:type="dxa" w:w="80"/>
              <w:left w:type="dxa" w:w="120"/>
              <w:bottom w:type="dxa" w:w="80"/>
              <w:right w:type="dxa" w:w="120"/>
            </w:tcMar>
          </w:tcPr>
          <w:p>
            <w:r>
              <w:rPr>
                <w:b w:val="false"/>
                <w:bCs w:val="false"/>
              </w:rPr>
              <w:t xml:space="preserve">Supabase (Postgres + Auth), con Row Level Security por hogar</w:t>
            </w:r>
          </w:p>
        </w:tc>
      </w:tr>
      <w:tr>
        <w:tc>
          <w:tcPr>
            <w:tcW w:type="dxa" w:w="3200"/>
            <w:tcMar>
              <w:top w:type="dxa" w:w="80"/>
              <w:left w:type="dxa" w:w="120"/>
              <w:bottom w:type="dxa" w:w="80"/>
              <w:right w:type="dxa" w:w="120"/>
            </w:tcMar>
          </w:tcPr>
          <w:p>
            <w:r>
              <w:rPr>
                <w:b/>
                <w:bCs/>
              </w:rPr>
              <w:t xml:space="preserve">Offline</w:t>
            </w:r>
          </w:p>
        </w:tc>
        <w:tc>
          <w:tcPr>
            <w:tcW w:type="dxa" w:w="6200"/>
            <w:tcMar>
              <w:top w:type="dxa" w:w="80"/>
              <w:left w:type="dxa" w:w="120"/>
              <w:bottom w:type="dxa" w:w="80"/>
              <w:right w:type="dxa" w:w="120"/>
            </w:tcMar>
          </w:tcPr>
          <w:p>
            <w:r>
              <w:rPr>
                <w:b w:val="false"/>
                <w:bCs w:val="false"/>
              </w:rPr>
              <w:t xml:space="preserve">SQLite local (expo-sqlite) como fuente de verdad en el dispositivo + motor de sincronización propio (push/pull, last-write-wins)</w:t>
            </w:r>
          </w:p>
        </w:tc>
      </w:tr>
      <w:tr>
        <w:tc>
          <w:tcPr>
            <w:tcW w:type="dxa" w:w="3200"/>
            <w:tcMar>
              <w:top w:type="dxa" w:w="80"/>
              <w:left w:type="dxa" w:w="120"/>
              <w:bottom w:type="dxa" w:w="80"/>
              <w:right w:type="dxa" w:w="120"/>
            </w:tcMar>
          </w:tcPr>
          <w:p>
            <w:r>
              <w:rPr>
                <w:b/>
                <w:bCs/>
              </w:rPr>
              <w:t xml:space="preserve">Diseño</w:t>
            </w:r>
          </w:p>
        </w:tc>
        <w:tc>
          <w:tcPr>
            <w:tcW w:type="dxa" w:w="6200"/>
            <w:tcMar>
              <w:top w:type="dxa" w:w="80"/>
              <w:left w:type="dxa" w:w="120"/>
              <w:bottom w:type="dxa" w:w="80"/>
              <w:right w:type="dxa" w:w="120"/>
            </w:tcMar>
          </w:tcPr>
          <w:p>
            <w:r>
              <w:rPr>
                <w:b w:val="false"/>
                <w:bCs w:val="false"/>
              </w:rPr>
              <w:t xml:space="preserve">Sistema "Organic" (Caprasimo + Figtree, paleta cálida terracota/salvia), iconografía Lucide</w:t>
            </w:r>
          </w:p>
        </w:tc>
      </w:tr>
      <w:tr>
        <w:tc>
          <w:tcPr>
            <w:tcW w:type="dxa" w:w="3200"/>
            <w:tcMar>
              <w:top w:type="dxa" w:w="80"/>
              <w:left w:type="dxa" w:w="120"/>
              <w:bottom w:type="dxa" w:w="80"/>
              <w:right w:type="dxa" w:w="120"/>
            </w:tcMar>
          </w:tcPr>
          <w:p>
            <w:r>
              <w:rPr>
                <w:b/>
                <w:bCs/>
              </w:rPr>
              <w:t xml:space="preserve">Gestos / UI</w:t>
            </w:r>
          </w:p>
        </w:tc>
        <w:tc>
          <w:tcPr>
            <w:tcW w:type="dxa" w:w="6200"/>
            <w:tcMar>
              <w:top w:type="dxa" w:w="80"/>
              <w:left w:type="dxa" w:w="120"/>
              <w:bottom w:type="dxa" w:w="80"/>
              <w:right w:type="dxa" w:w="120"/>
            </w:tcMar>
          </w:tcPr>
          <w:p>
            <w:r>
              <w:rPr>
                <w:b w:val="false"/>
                <w:bCs w:val="false"/>
              </w:rPr>
              <w:t xml:space="preserve">react-native-gesture-handler + reanimated (swipe), @gorhom/bottom-sheet (formularios)</w:t>
            </w:r>
          </w:p>
        </w:tc>
      </w:tr>
      <w:tr>
        <w:tc>
          <w:tcPr>
            <w:tcW w:type="dxa" w:w="3200"/>
            <w:tcMar>
              <w:top w:type="dxa" w:w="80"/>
              <w:left w:type="dxa" w:w="120"/>
              <w:bottom w:type="dxa" w:w="80"/>
              <w:right w:type="dxa" w:w="120"/>
            </w:tcMar>
          </w:tcPr>
          <w:p>
            <w:r>
              <w:rPr>
                <w:b/>
                <w:bCs/>
              </w:rPr>
              <w:t xml:space="preserve">Repositorio</w:t>
            </w:r>
          </w:p>
        </w:tc>
        <w:tc>
          <w:tcPr>
            <w:tcW w:type="dxa" w:w="6200"/>
            <w:tcMar>
              <w:top w:type="dxa" w:w="80"/>
              <w:left w:type="dxa" w:w="120"/>
              <w:bottom w:type="dxa" w:w="80"/>
              <w:right w:type="dxa" w:w="120"/>
            </w:tcMar>
          </w:tcPr>
          <w:p>
            <w:r>
              <w:rPr>
                <w:b w:val="false"/>
                <w:bCs w:val="false"/>
              </w:rPr>
              <w:t xml:space="preserve">GitHub — github.com/mharendorf/AlacenaApp, con historial de commits por etapa (setup, auth, CRUD, offline, pulido, rediseño de Landing)</w:t>
            </w:r>
          </w:p>
        </w:tc>
      </w:tr>
    </w:tbl>
    <w:p>
      <w:pPr>
        <w:pStyle w:val="Heading1"/>
        <w:spacing w:after="160" w:before="320"/>
      </w:pPr>
      <w:r>
        <w:rPr>
          <w:b/>
          <w:bCs/>
          <w:color w:val="B2622D"/>
        </w:rPr>
        <w:t xml:space="preserve">4. Cómo se probó hasta ahora</w:t>
      </w:r>
    </w:p>
    <w:p>
      <w:pPr>
        <w:pStyle w:val="ListParagraph"/>
        <w:numPr>
          <w:ilvl w:val="0"/>
          <w:numId w:val="2"/>
        </w:numPr>
        <w:spacing w:after="80"/>
      </w:pPr>
      <w:r>
        <w:t xml:space="preserve">Dispositivo de prueba: iPhone físico del usuario, corriendo la app vía Expo Go en modo túnel (no requiere estar en la misma red Wi-Fi que la computadora de desarrollo).</w:t>
      </w:r>
    </w:p>
    <w:p>
      <w:pPr>
        <w:pStyle w:val="ListParagraph"/>
        <w:numPr>
          <w:ilvl w:val="0"/>
          <w:numId w:val="2"/>
        </w:numPr>
        <w:spacing w:after="80"/>
      </w:pPr>
      <w:r>
        <w:t xml:space="preserve">Cada función se validó manualmente a medida que se construía: alta de cuenta, creación de hogar, CRUD de artículos, offline en modo avión, swipe, toast, opciones de lista, y la Landing rediseñada.</w:t>
      </w:r>
    </w:p>
    <w:p>
      <w:pPr>
        <w:pStyle w:val="ListParagraph"/>
        <w:numPr>
          <w:ilvl w:val="0"/>
          <w:numId w:val="2"/>
        </w:numPr>
        <w:spacing w:after="80"/>
      </w:pPr>
      <w:r>
        <w:t xml:space="preserve">No probado todavía: dos cuentas distintas compartiendo el mismo hogar en simultáneo (uso real multi-dispositivo).</w:t>
      </w:r>
    </w:p>
    <w:p>
      <w:pPr>
        <w:pStyle w:val="ListParagraph"/>
        <w:numPr>
          <w:ilvl w:val="0"/>
          <w:numId w:val="2"/>
        </w:numPr>
        <w:spacing w:after="80"/>
      </w:pPr>
      <w:r>
        <w:t xml:space="preserve">No hay todavía un build "real" de la app (standalone) — todo el testing fue a través del entorno de desarrollo de Expo.</w:t>
      </w:r>
    </w:p>
    <w:p>
      <w:pPr>
        <w:pStyle w:val="Heading1"/>
        <w:spacing w:after="160" w:before="320"/>
      </w:pPr>
      <w:r>
        <w:rPr>
          <w:b/>
          <w:bCs/>
          <w:color w:val="B2622D"/>
        </w:rPr>
        <w:t xml:space="preserve">5. Lo que falta para ir más allá del MVP</w:t>
      </w:r>
    </w:p>
    <w:p>
      <w:pPr>
        <w:pStyle w:val="Heading2"/>
        <w:spacing w:after="100" w:before="220"/>
      </w:pPr>
      <w:r>
        <w:rPr>
          <w:b/>
          <w:bCs/>
        </w:rPr>
        <w:t xml:space="preserve">Para poder instalarla sin depender de Expo Go</w:t>
      </w:r>
    </w:p>
    <w:p>
      <w:pPr>
        <w:spacing w:after="120"/>
      </w:pPr>
      <w:r>
        <w:t xml:space="preserve">iOS no permite instalar apps por fuera de canales firmados por Apple (no existe un "zip e instalar" como en Android). El camino recomendado es TestFlight:</w:t>
      </w:r>
    </w:p>
    <w:p>
      <w:pPr>
        <w:pStyle w:val="ListParagraph"/>
        <w:numPr>
          <w:ilvl w:val="0"/>
          <w:numId w:val="2"/>
        </w:numPr>
        <w:spacing w:after="80"/>
      </w:pPr>
      <w:r>
        <w:t xml:space="preserve">Requiere una cuenta de Apple Developer Program (USD 99/año).</w:t>
      </w:r>
    </w:p>
    <w:p>
      <w:pPr>
        <w:pStyle w:val="ListParagraph"/>
        <w:numPr>
          <w:ilvl w:val="0"/>
          <w:numId w:val="2"/>
        </w:numPr>
        <w:spacing w:after="80"/>
      </w:pPr>
      <w:r>
        <w:t xml:space="preserve">Se compila un build real de la app con EAS Build (servicio cloud de Expo) y se sube a App Store Connect.</w:t>
      </w:r>
    </w:p>
    <w:p>
      <w:pPr>
        <w:pStyle w:val="ListParagraph"/>
        <w:numPr>
          <w:ilvl w:val="0"/>
          <w:numId w:val="2"/>
        </w:numPr>
        <w:spacing w:after="80"/>
      </w:pPr>
      <w:r>
        <w:t xml:space="preserve">Los testers (el usuario y la segunda persona) instalan la app "TestFlight" y desde ahí instalan Alacena — sin pasar por revisión pública de Apple.</w:t>
      </w:r>
    </w:p>
    <w:p>
      <w:pPr>
        <w:pStyle w:val="ListParagraph"/>
        <w:numPr>
          <w:ilvl w:val="0"/>
          <w:numId w:val="2"/>
        </w:numPr>
        <w:spacing w:after="80"/>
      </w:pPr>
      <w:r>
        <w:t xml:space="preserve">El build vence a los 90 días; para pruebas prolongadas hay que resubir uno nuevo cuando corresponda.</w:t>
      </w:r>
    </w:p>
    <w:p>
      <w:pPr>
        <w:pStyle w:val="Heading2"/>
        <w:spacing w:after="100" w:before="220"/>
      </w:pPr>
      <w:r>
        <w:rPr>
          <w:b/>
          <w:bCs/>
        </w:rPr>
        <w:t xml:space="preserve">Pendiente de decisión / no implementado en el MVP</w:t>
      </w:r>
    </w:p>
    <w:p>
      <w:pPr>
        <w:pStyle w:val="ListParagraph"/>
        <w:numPr>
          <w:ilvl w:val="0"/>
          <w:numId w:val="2"/>
        </w:numPr>
        <w:spacing w:after="80"/>
      </w:pPr>
      <w:r>
        <w:t xml:space="preserve">Prueba real con un segundo dispositivo/cuenta compartiendo el mismo hogar.</w:t>
      </w:r>
    </w:p>
    <w:p>
      <w:pPr>
        <w:pStyle w:val="ListParagraph"/>
        <w:numPr>
          <w:ilvl w:val="0"/>
          <w:numId w:val="2"/>
        </w:numPr>
        <w:spacing w:after="80"/>
      </w:pPr>
      <w:r>
        <w:t xml:space="preserve">Subida de foto real como avatar del hogar (hoy solo presets de color) — requeriría configurar Supabase Storage.</w:t>
      </w:r>
    </w:p>
    <w:p>
      <w:pPr>
        <w:pStyle w:val="ListParagraph"/>
        <w:numPr>
          <w:ilvl w:val="0"/>
          <w:numId w:val="2"/>
        </w:numPr>
        <w:spacing w:after="80"/>
      </w:pPr>
      <w:r>
        <w:t xml:space="preserve">Publicación en App Store (más allá de TestFlight) — requiere revisión de Apple, capturas de pantalla, política de privacidad, etc.</w:t>
      </w:r>
    </w:p>
    <w:p>
      <w:pPr>
        <w:pStyle w:val="ListParagraph"/>
        <w:numPr>
          <w:ilvl w:val="0"/>
          <w:numId w:val="2"/>
        </w:numPr>
        <w:spacing w:after="80"/>
      </w:pPr>
      <w:r>
        <w:t xml:space="preserve">Versión Android — el funcional lo deja explícitamente fuera de alcance del MVP.</w:t>
      </w:r>
    </w:p>
    <w:p>
      <w:pPr>
        <w:pStyle w:val="ListParagraph"/>
        <w:numPr>
          <w:ilvl w:val="0"/>
          <w:numId w:val="2"/>
        </w:numPr>
        <w:spacing w:after="80"/>
      </w:pPr>
      <w:r>
        <w:t xml:space="preserve">Fuera de alcance del MVP por decisión original: listas múltiples, notificaciones push, sincronización en tiempo real, escaneo de código de barras.</w:t>
      </w:r>
    </w:p>
    <w:p>
      <w:pPr>
        <w:pStyle w:val="Heading1"/>
        <w:spacing w:after="160" w:before="320"/>
      </w:pPr>
      <w:r>
        <w:rPr>
          <w:b/>
          <w:bCs/>
          <w:color w:val="B2622D"/>
        </w:rPr>
        <w:t xml:space="preserve">6. Costos involucrados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E9DD" w:val="clear"/>
            <w:tcMar>
              <w:top w:type="dxa" w:w="80"/>
              <w:left w:type="dxa" w:w="120"/>
              <w:bottom w:type="dxa" w:w="80"/>
              <w:right w:type="dxa" w:w="120"/>
            </w:tcMar>
          </w:tcPr>
          <w:p>
            <w:r>
              <w:rPr>
                <w:b/>
                <w:bCs/>
              </w:rPr>
              <w:t xml:space="preserve">Servicio</w:t>
            </w:r>
          </w:p>
        </w:tc>
        <w:tc>
          <w:tcPr>
            <w:tcW w:type="dxa" w:w="6200"/>
            <w:tcMar>
              <w:top w:type="dxa" w:w="80"/>
              <w:left w:type="dxa" w:w="120"/>
              <w:bottom w:type="dxa" w:w="80"/>
              <w:right w:type="dxa" w:w="120"/>
            </w:tcMar>
          </w:tcPr>
          <w:p>
            <w:r>
              <w:rPr>
                <w:b/>
                <w:bCs/>
              </w:rPr>
              <w:t xml:space="preserve">Costo</w:t>
            </w:r>
          </w:p>
        </w:tc>
      </w:tr>
      <w:tr>
        <w:tc>
          <w:tcPr>
            <w:tcW w:type="dxa" w:w="3200"/>
            <w:tcMar>
              <w:top w:type="dxa" w:w="80"/>
              <w:left w:type="dxa" w:w="120"/>
              <w:bottom w:type="dxa" w:w="80"/>
              <w:right w:type="dxa" w:w="120"/>
            </w:tcMar>
          </w:tcPr>
          <w:p>
            <w:r>
              <w:rPr>
                <w:b/>
                <w:bCs/>
              </w:rPr>
              <w:t xml:space="preserve">Supabase (backend)</w:t>
            </w:r>
          </w:p>
        </w:tc>
        <w:tc>
          <w:tcPr>
            <w:tcW w:type="dxa" w:w="6200"/>
            <w:tcMar>
              <w:top w:type="dxa" w:w="80"/>
              <w:left w:type="dxa" w:w="120"/>
              <w:bottom w:type="dxa" w:w="80"/>
              <w:right w:type="dxa" w:w="120"/>
            </w:tcMar>
          </w:tcPr>
          <w:p>
            <w:r>
              <w:rPr>
                <w:b w:val="false"/>
                <w:bCs w:val="false"/>
              </w:rPr>
              <w:t xml:space="preserve">Plan gratuito, suficiente para el uso actual</w:t>
            </w:r>
          </w:p>
        </w:tc>
      </w:tr>
      <w:tr>
        <w:tc>
          <w:tcPr>
            <w:tcW w:type="dxa" w:w="3200"/>
            <w:tcMar>
              <w:top w:type="dxa" w:w="80"/>
              <w:left w:type="dxa" w:w="120"/>
              <w:bottom w:type="dxa" w:w="80"/>
              <w:right w:type="dxa" w:w="120"/>
            </w:tcMar>
          </w:tcPr>
          <w:p>
            <w:r>
              <w:rPr>
                <w:b/>
                <w:bCs/>
              </w:rPr>
              <w:t xml:space="preserve">GitHub (repositorio)</w:t>
            </w:r>
          </w:p>
        </w:tc>
        <w:tc>
          <w:tcPr>
            <w:tcW w:type="dxa" w:w="6200"/>
            <w:tcMar>
              <w:top w:type="dxa" w:w="80"/>
              <w:left w:type="dxa" w:w="120"/>
              <w:bottom w:type="dxa" w:w="80"/>
              <w:right w:type="dxa" w:w="120"/>
            </w:tcMar>
          </w:tcPr>
          <w:p>
            <w:r>
              <w:rPr>
                <w:b w:val="false"/>
                <w:bCs w:val="false"/>
              </w:rPr>
              <w:t xml:space="preserve">Gratuito</w:t>
            </w:r>
          </w:p>
        </w:tc>
      </w:tr>
      <w:tr>
        <w:tc>
          <w:tcPr>
            <w:tcW w:type="dxa" w:w="3200"/>
            <w:tcMar>
              <w:top w:type="dxa" w:w="80"/>
              <w:left w:type="dxa" w:w="120"/>
              <w:bottom w:type="dxa" w:w="80"/>
              <w:right w:type="dxa" w:w="120"/>
            </w:tcMar>
          </w:tcPr>
          <w:p>
            <w:r>
              <w:rPr>
                <w:b/>
                <w:bCs/>
              </w:rPr>
              <w:t xml:space="preserve">Expo / EAS Build</w:t>
            </w:r>
          </w:p>
        </w:tc>
        <w:tc>
          <w:tcPr>
            <w:tcW w:type="dxa" w:w="6200"/>
            <w:tcMar>
              <w:top w:type="dxa" w:w="80"/>
              <w:left w:type="dxa" w:w="120"/>
              <w:bottom w:type="dxa" w:w="80"/>
              <w:right w:type="dxa" w:w="120"/>
            </w:tcMar>
          </w:tcPr>
          <w:p>
            <w:r>
              <w:rPr>
                <w:b w:val="false"/>
                <w:bCs w:val="false"/>
              </w:rPr>
              <w:t xml:space="preserve">Nivel gratuito disponible; puede requerir plan pago si se necesitan builds más frecuentes</w:t>
            </w:r>
          </w:p>
        </w:tc>
      </w:tr>
      <w:tr>
        <w:tc>
          <w:tcPr>
            <w:tcW w:type="dxa" w:w="3200"/>
            <w:tcMar>
              <w:top w:type="dxa" w:w="80"/>
              <w:left w:type="dxa" w:w="120"/>
              <w:bottom w:type="dxa" w:w="80"/>
              <w:right w:type="dxa" w:w="120"/>
            </w:tcMar>
          </w:tcPr>
          <w:p>
            <w:r>
              <w:rPr>
                <w:b/>
                <w:bCs/>
              </w:rPr>
              <w:t xml:space="preserve">Apple Developer Program</w:t>
            </w:r>
          </w:p>
        </w:tc>
        <w:tc>
          <w:tcPr>
            <w:tcW w:type="dxa" w:w="6200"/>
            <w:tcMar>
              <w:top w:type="dxa" w:w="80"/>
              <w:left w:type="dxa" w:w="120"/>
              <w:bottom w:type="dxa" w:w="80"/>
              <w:right w:type="dxa" w:w="120"/>
            </w:tcMar>
          </w:tcPr>
          <w:p>
            <w:r>
              <w:rPr>
                <w:b w:val="false"/>
                <w:bCs w:val="false"/>
              </w:rPr>
              <w:t xml:space="preserve">USD 99/año — necesario recién cuando se quiera distribuir por TestFlight o publicar en la App Store</w:t>
            </w:r>
          </w:p>
        </w:tc>
      </w:tr>
    </w:tbl>
    <w:p>
      <w:pPr>
        <w:pStyle w:val="Heading1"/>
        <w:spacing w:after="160" w:before="320"/>
      </w:pPr>
      <w:r>
        <w:rPr>
          <w:b/>
          <w:bCs/>
          <w:color w:val="B2622D"/>
        </w:rPr>
        <w:t xml:space="preserve">7. Próximos pasos posibles</w:t>
      </w:r>
    </w:p>
    <w:p>
      <w:pPr>
        <w:spacing w:after="120"/>
      </w:pPr>
      <w:r>
        <w:t xml:space="preserve">Estas son las líneas de trabajo abiertas, para retomar cuando se defina cómo seguir:</w:t>
      </w:r>
    </w:p>
    <w:p>
      <w:pPr>
        <w:pStyle w:val="ListParagraph"/>
        <w:numPr>
          <w:ilvl w:val="0"/>
          <w:numId w:val="2"/>
        </w:numPr>
        <w:spacing w:after="80"/>
      </w:pPr>
      <w:r>
        <w:t xml:space="preserve">Configurar TestFlight (cuenta Apple Developer + primer build con EAS) para que el usuario y otra persona puedan usar la app sin depender de Expo Go.</w:t>
      </w:r>
    </w:p>
    <w:p>
      <w:pPr>
        <w:pStyle w:val="ListParagraph"/>
        <w:numPr>
          <w:ilvl w:val="0"/>
          <w:numId w:val="2"/>
        </w:numPr>
        <w:spacing w:after="80"/>
      </w:pPr>
      <w:r>
        <w:t xml:space="preserve">Hacer la prueba de un segundo usuario uniéndose al mismo hogar y usando la lista en paralelo.</w:t>
      </w:r>
    </w:p>
    <w:p>
      <w:pPr>
        <w:pStyle w:val="ListParagraph"/>
        <w:numPr>
          <w:ilvl w:val="0"/>
          <w:numId w:val="2"/>
        </w:numPr>
        <w:spacing w:after="80"/>
      </w:pPr>
      <w:r>
        <w:t xml:space="preserve">Evaluar si vale la pena sumar subida de fotos reales para el avatar del hogar.</w:t>
      </w:r>
    </w:p>
    <w:p>
      <w:pPr>
        <w:pStyle w:val="ListParagraph"/>
        <w:numPr>
          <w:ilvl w:val="0"/>
          <w:numId w:val="2"/>
        </w:numPr>
        <w:spacing w:after="80"/>
      </w:pPr>
      <w:r>
        <w:t xml:space="preserve">Planificar el camino a publicación pública en la App Store, si se decide seguir por ahí.</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2026-08-04T12:00:19.312Z</dcterms:created>
  <dcterms:modified xsi:type="dcterms:W3CDTF">2026-08-04T12:00:19.313Z</dcterms:modified>
</cp:coreProperties>
</file>

<file path=docProps/custom.xml><?xml version="1.0" encoding="utf-8"?>
<Properties xmlns="http://schemas.openxmlformats.org/officeDocument/2006/custom-properties" xmlns:vt="http://schemas.openxmlformats.org/officeDocument/2006/docPropsVTypes"/>
</file>