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EFFE" w14:textId="69CEB138" w:rsidR="00457168" w:rsidRDefault="00457168">
      <w:r>
        <w:rPr>
          <w:noProof/>
        </w:rPr>
        <w:drawing>
          <wp:inline distT="0" distB="0" distL="0" distR="0" wp14:anchorId="3971B106" wp14:editId="534A073C">
            <wp:extent cx="5943600" cy="3183890"/>
            <wp:effectExtent l="0" t="0" r="0" b="0"/>
            <wp:docPr id="71805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8038" name="Picture 7180580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376E" w14:textId="7F7B44E2" w:rsidR="00457168" w:rsidRDefault="00457168">
      <w:r w:rsidRPr="00ED2AC4">
        <w:rPr>
          <w:rFonts w:asciiTheme="majorBidi" w:hAnsiTheme="majorBidi" w:cstheme="majorBidi"/>
          <w:b/>
          <w:bCs/>
        </w:rPr>
        <w:t xml:space="preserve">Figure 3. Publication trends and collaboration network (2000-2025). </w:t>
      </w:r>
      <w:r w:rsidRPr="00ED2AC4">
        <w:rPr>
          <w:rFonts w:asciiTheme="majorBidi" w:hAnsiTheme="majorBidi" w:cstheme="majorBidi"/>
        </w:rPr>
        <w:t>The bar graph shows the exponential research volume, with the highest number of 68 studies being conducted in the year 2025.</w:t>
      </w:r>
    </w:p>
    <w:sectPr w:rsidR="00457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68"/>
    <w:rsid w:val="00457168"/>
    <w:rsid w:val="00D2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4DB85"/>
  <w15:chartTrackingRefBased/>
  <w15:docId w15:val="{3CDD41CA-A921-47BD-B315-174F481FA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</dc:creator>
  <cp:keywords/>
  <dc:description/>
  <cp:lastModifiedBy>Muhammad Haris</cp:lastModifiedBy>
  <cp:revision>1</cp:revision>
  <dcterms:created xsi:type="dcterms:W3CDTF">2026-04-24T21:09:00Z</dcterms:created>
  <dcterms:modified xsi:type="dcterms:W3CDTF">2026-04-24T21:10:00Z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0ac80a72-2cda-499e-a496-5da452ff3a2c</vt:lpwstr>
  </property>
</Properties>
</file>