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DE8F4" w14:textId="577F9E6F" w:rsidR="00B37C97" w:rsidRPr="00C547B1" w:rsidRDefault="00A50C6A" w:rsidP="00D16E5A">
      <w:pPr>
        <w:pStyle w:val="DatabaseHeading1"/>
      </w:pPr>
      <w:r w:rsidRPr="00C547B1">
        <w:t>Research Impact Assessment Frameworks and Pathways</w:t>
      </w:r>
    </w:p>
    <w:p w14:paraId="145B3957" w14:textId="105F83DB" w:rsidR="00174DE1" w:rsidRPr="00AD4FFB" w:rsidRDefault="00174DE1" w:rsidP="006E3F10">
      <w:pPr>
        <w:pStyle w:val="Heading2-withoutNumbers"/>
      </w:pPr>
      <w:r w:rsidRPr="00AD4FFB">
        <w:t>Abstract</w:t>
      </w:r>
    </w:p>
    <w:p w14:paraId="11AA3CEA" w14:textId="77777777" w:rsidR="003B5EDD" w:rsidRDefault="003B5EDD" w:rsidP="003B5EDD">
      <w:r>
        <w:t>This dataset comprises two detailed tables derived from a comprehensive literature review, each providing insights into the classification of research types and their impact assessment frameworks. Table D1-1 highlights key focus areas, dimensions, and prominent indicators across disciplines to evaluate and enhance research relevance and effectiveness. Frameworks such as the RE-AIM Model, Payback Framework, and CSIRO Impact Evaluation are categorised by their emphasis on dimensions like health policy influence, economic impact, and stakeholder engagement, offering a guide for evidence-based decision-making and accountability.</w:t>
      </w:r>
    </w:p>
    <w:p w14:paraId="1C0FBE81" w14:textId="4AEF9714" w:rsidR="00174DE1" w:rsidRDefault="003B5EDD" w:rsidP="003B5EDD">
      <w:r>
        <w:t>Table D1-2 classifies research types based on distinctive dimensions—including disciplinary approaches, methodologies, data sources, and reasoning processes—and maps each type to potential impact pathways such as dissemination, co-creation, policy influence, and societal transformation. This classification captures how various research approaches, from interdisciplinary studies to longitudinal research, contribute uniquely to advancing knowledge and addressing societal needs. Together, these tables provide a valuable resource for researchers, funders, and policymakers, offering a structured view of how research can be effectively designed, assessed, and translated to maximise societal impact in response to contemporary challenges.</w:t>
      </w:r>
    </w:p>
    <w:p w14:paraId="797451C5" w14:textId="4B829940" w:rsidR="006E3F10" w:rsidRDefault="006E3F10" w:rsidP="006E3F10">
      <w:pPr>
        <w:pStyle w:val="Heading2-withoutNumbers"/>
      </w:pPr>
      <w:r>
        <w:t>Research impact assessment frameworks</w:t>
      </w:r>
    </w:p>
    <w:p w14:paraId="3C671DC3" w14:textId="0AB36AD2" w:rsidR="00802DDD" w:rsidRDefault="00802DDD" w:rsidP="00802DDD">
      <w:r>
        <w:t xml:space="preserve">Table </w:t>
      </w:r>
      <w:r w:rsidR="0048088A">
        <w:t>D</w:t>
      </w:r>
      <w:r>
        <w:t>1-1: Research impact assessment frameworks – focus on impact, key dimensions and prominent indicators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5606"/>
        <w:gridCol w:w="1701"/>
        <w:gridCol w:w="2268"/>
        <w:gridCol w:w="2613"/>
      </w:tblGrid>
      <w:tr w:rsidR="00802DDD" w:rsidRPr="005B0404" w14:paraId="673C11FD" w14:textId="77777777" w:rsidTr="00F55019">
        <w:trPr>
          <w:trHeight w:val="20"/>
          <w:tblHeader/>
        </w:trPr>
        <w:tc>
          <w:tcPr>
            <w:tcW w:w="0" w:type="auto"/>
            <w:shd w:val="clear" w:color="auto" w:fill="F2F2F2" w:themeFill="background1" w:themeFillShade="F2"/>
            <w:vAlign w:val="center"/>
            <w:hideMark/>
          </w:tcPr>
          <w:p w14:paraId="5AED8C8B" w14:textId="77777777" w:rsidR="00802DDD" w:rsidRPr="00B230C6" w:rsidRDefault="00802DDD" w:rsidP="00433D7D">
            <w:pPr>
              <w:pStyle w:val="Table-Center7Boldcolumnname"/>
              <w:rPr>
                <w:lang w:eastAsia="en-AU"/>
              </w:rPr>
            </w:pPr>
            <w:r w:rsidRPr="00B230C6">
              <w:rPr>
                <w:lang w:eastAsia="en-AU"/>
              </w:rPr>
              <w:t>Framework Name</w:t>
            </w:r>
          </w:p>
        </w:tc>
        <w:tc>
          <w:tcPr>
            <w:tcW w:w="5606" w:type="dxa"/>
            <w:shd w:val="clear" w:color="auto" w:fill="F2F2F2" w:themeFill="background1" w:themeFillShade="F2"/>
            <w:vAlign w:val="center"/>
            <w:hideMark/>
          </w:tcPr>
          <w:p w14:paraId="66358E01" w14:textId="77777777" w:rsidR="00802DDD" w:rsidRPr="00B230C6" w:rsidRDefault="00802DDD" w:rsidP="00433D7D">
            <w:pPr>
              <w:pStyle w:val="Table-Center7Boldcolumnname"/>
              <w:rPr>
                <w:lang w:eastAsia="en-AU"/>
              </w:rPr>
            </w:pPr>
            <w:r w:rsidRPr="00B230C6">
              <w:rPr>
                <w:lang w:eastAsia="en-AU"/>
              </w:rPr>
              <w:t>Description</w:t>
            </w:r>
          </w:p>
        </w:tc>
        <w:tc>
          <w:tcPr>
            <w:tcW w:w="1701" w:type="dxa"/>
            <w:shd w:val="clear" w:color="auto" w:fill="F2F2F2" w:themeFill="background1" w:themeFillShade="F2"/>
            <w:vAlign w:val="center"/>
            <w:hideMark/>
          </w:tcPr>
          <w:p w14:paraId="2F95B094" w14:textId="77777777" w:rsidR="00802DDD" w:rsidRPr="00B230C6" w:rsidRDefault="00802DDD" w:rsidP="00433D7D">
            <w:pPr>
              <w:pStyle w:val="Table-Center7Boldcolumnname"/>
              <w:rPr>
                <w:lang w:eastAsia="en-AU"/>
              </w:rPr>
            </w:pPr>
            <w:r w:rsidRPr="00B230C6">
              <w:rPr>
                <w:lang w:eastAsia="en-AU"/>
              </w:rPr>
              <w:t>Focus of Impact</w:t>
            </w:r>
          </w:p>
        </w:tc>
        <w:tc>
          <w:tcPr>
            <w:tcW w:w="2268" w:type="dxa"/>
            <w:shd w:val="clear" w:color="auto" w:fill="F2F2F2" w:themeFill="background1" w:themeFillShade="F2"/>
            <w:vAlign w:val="center"/>
            <w:hideMark/>
          </w:tcPr>
          <w:p w14:paraId="1CA3ED0B" w14:textId="77777777" w:rsidR="00802DDD" w:rsidRPr="00B230C6" w:rsidRDefault="00802DDD" w:rsidP="00433D7D">
            <w:pPr>
              <w:pStyle w:val="Table-Center7Boldcolumnname"/>
              <w:rPr>
                <w:lang w:eastAsia="en-AU"/>
              </w:rPr>
            </w:pPr>
            <w:r>
              <w:rPr>
                <w:lang w:eastAsia="en-AU"/>
              </w:rPr>
              <w:t xml:space="preserve">Key </w:t>
            </w:r>
            <w:r w:rsidRPr="00B230C6">
              <w:rPr>
                <w:lang w:eastAsia="en-AU"/>
              </w:rPr>
              <w:t>Dimensions</w:t>
            </w:r>
          </w:p>
        </w:tc>
        <w:tc>
          <w:tcPr>
            <w:tcW w:w="2613" w:type="dxa"/>
            <w:shd w:val="clear" w:color="auto" w:fill="F2F2F2" w:themeFill="background1" w:themeFillShade="F2"/>
            <w:vAlign w:val="center"/>
            <w:hideMark/>
          </w:tcPr>
          <w:p w14:paraId="57C97937" w14:textId="77777777" w:rsidR="00802DDD" w:rsidRPr="00B230C6" w:rsidRDefault="00802DDD" w:rsidP="00433D7D">
            <w:pPr>
              <w:pStyle w:val="Table-Center7Boldcolumnname"/>
              <w:rPr>
                <w:lang w:eastAsia="en-AU"/>
              </w:rPr>
            </w:pPr>
            <w:r w:rsidRPr="00B230C6">
              <w:rPr>
                <w:lang w:eastAsia="en-AU"/>
              </w:rPr>
              <w:t>Prominent Indicators</w:t>
            </w:r>
          </w:p>
        </w:tc>
      </w:tr>
      <w:tr w:rsidR="00802DDD" w:rsidRPr="005F44BF" w14:paraId="1D1A3237" w14:textId="77777777" w:rsidTr="00F55019">
        <w:trPr>
          <w:trHeight w:val="20"/>
        </w:trPr>
        <w:tc>
          <w:tcPr>
            <w:tcW w:w="0" w:type="auto"/>
            <w:gridSpan w:val="5"/>
            <w:shd w:val="clear" w:color="auto" w:fill="auto"/>
            <w:vAlign w:val="center"/>
          </w:tcPr>
          <w:p w14:paraId="068AFD0B" w14:textId="77777777" w:rsidR="00802DDD" w:rsidRPr="005F44BF" w:rsidRDefault="00802DDD" w:rsidP="00433D7D">
            <w:pPr>
              <w:pStyle w:val="Table-Left7"/>
              <w:rPr>
                <w:lang w:eastAsia="en-AU"/>
              </w:rPr>
            </w:pPr>
            <w:r w:rsidRPr="00B230C6">
              <w:rPr>
                <w:rFonts w:ascii="Aptos Narrow" w:hAnsi="Aptos Narrow"/>
                <w:lang w:eastAsia="en-AU"/>
              </w:rPr>
              <w:t>Health and Biomedical Research</w:t>
            </w:r>
          </w:p>
        </w:tc>
      </w:tr>
      <w:tr w:rsidR="00802DDD" w:rsidRPr="00B230C6" w14:paraId="79ABF48B" w14:textId="77777777" w:rsidTr="00F55019">
        <w:trPr>
          <w:trHeight w:val="20"/>
        </w:trPr>
        <w:tc>
          <w:tcPr>
            <w:tcW w:w="0" w:type="auto"/>
            <w:shd w:val="clear" w:color="auto" w:fill="F2F2F2" w:themeFill="background1" w:themeFillShade="F2"/>
            <w:vAlign w:val="center"/>
            <w:hideMark/>
          </w:tcPr>
          <w:p w14:paraId="110529B2" w14:textId="40DE77BF" w:rsidR="00802DDD" w:rsidRPr="00B230C6" w:rsidRDefault="00802DDD" w:rsidP="00433D7D">
            <w:pPr>
              <w:pStyle w:val="Table-Left7"/>
              <w:rPr>
                <w:lang w:eastAsia="en-AU"/>
              </w:rPr>
            </w:pPr>
            <w:r w:rsidRPr="00B230C6">
              <w:rPr>
                <w:lang w:eastAsia="en-AU"/>
              </w:rPr>
              <w:t xml:space="preserve">CETS </w:t>
            </w:r>
            <w:r w:rsidR="00D62859">
              <w:rPr>
                <w:noProof/>
                <w:lang w:eastAsia="en-AU"/>
              </w:rPr>
              <w:t>(</w:t>
            </w:r>
            <w:r w:rsidR="00D62859" w:rsidRPr="00D62859">
              <w:t>Jacob &amp; McGregor, 1997</w:t>
            </w:r>
            <w:r w:rsidR="00D62859">
              <w:rPr>
                <w:noProof/>
                <w:lang w:eastAsia="en-AU"/>
              </w:rPr>
              <w:t>)</w:t>
            </w:r>
          </w:p>
        </w:tc>
        <w:tc>
          <w:tcPr>
            <w:tcW w:w="5606" w:type="dxa"/>
            <w:shd w:val="clear" w:color="auto" w:fill="F2F2F2" w:themeFill="background1" w:themeFillShade="F2"/>
            <w:vAlign w:val="center"/>
            <w:hideMark/>
          </w:tcPr>
          <w:p w14:paraId="0E1D509B" w14:textId="77777777" w:rsidR="00802DDD" w:rsidRPr="00B230C6" w:rsidRDefault="00802DDD" w:rsidP="00433D7D">
            <w:pPr>
              <w:pStyle w:val="Table-Left7"/>
              <w:rPr>
                <w:lang w:eastAsia="en-AU"/>
              </w:rPr>
            </w:pPr>
            <w:r w:rsidRPr="00B230C6">
              <w:rPr>
                <w:lang w:eastAsia="en-AU"/>
              </w:rPr>
              <w:t xml:space="preserve">The Conseil </w:t>
            </w:r>
            <w:proofErr w:type="spellStart"/>
            <w:r w:rsidRPr="00B230C6">
              <w:rPr>
                <w:lang w:eastAsia="en-AU"/>
              </w:rPr>
              <w:t>d'évaluation</w:t>
            </w:r>
            <w:proofErr w:type="spellEnd"/>
            <w:r w:rsidRPr="00B230C6">
              <w:rPr>
                <w:lang w:eastAsia="en-AU"/>
              </w:rPr>
              <w:t xml:space="preserve"> des technologies de la santé du Québec (CETS) was established in 1988 to evaluate health technologies and advi</w:t>
            </w:r>
            <w:r>
              <w:rPr>
                <w:lang w:eastAsia="en-AU"/>
              </w:rPr>
              <w:t>s</w:t>
            </w:r>
            <w:r w:rsidRPr="00B230C6">
              <w:rPr>
                <w:lang w:eastAsia="en-AU"/>
              </w:rPr>
              <w:t>e the Minister and stakeholders in Quebec's healthcare system. Its core focus is on conducting assessments that inform the adoption of health technologies through cost-effectiveness analysis and other rigorous methodologies. This aligns with national and provincial healthcare priorities t</w:t>
            </w:r>
            <w:r>
              <w:rPr>
                <w:lang w:eastAsia="en-AU"/>
              </w:rPr>
              <w:t>o</w:t>
            </w:r>
            <w:r w:rsidRPr="00B230C6">
              <w:rPr>
                <w:lang w:eastAsia="en-AU"/>
              </w:rPr>
              <w:t xml:space="preserve"> optimi</w:t>
            </w:r>
            <w:r>
              <w:rPr>
                <w:lang w:eastAsia="en-AU"/>
              </w:rPr>
              <w:t>se</w:t>
            </w:r>
            <w:r w:rsidRPr="00B230C6">
              <w:rPr>
                <w:lang w:eastAsia="en-AU"/>
              </w:rPr>
              <w:t xml:space="preserve"> expenditures and enhanc</w:t>
            </w:r>
            <w:r>
              <w:rPr>
                <w:lang w:eastAsia="en-AU"/>
              </w:rPr>
              <w:t>e</w:t>
            </w:r>
            <w:r w:rsidRPr="00B230C6">
              <w:rPr>
                <w:lang w:eastAsia="en-AU"/>
              </w:rPr>
              <w:t xml:space="preserve"> health outcomes</w:t>
            </w:r>
            <w:r>
              <w:rPr>
                <w:lang w:eastAsia="en-AU"/>
              </w:rPr>
              <w:t>.</w:t>
            </w:r>
          </w:p>
        </w:tc>
        <w:tc>
          <w:tcPr>
            <w:tcW w:w="1701" w:type="dxa"/>
            <w:shd w:val="clear" w:color="auto" w:fill="F2F2F2" w:themeFill="background1" w:themeFillShade="F2"/>
            <w:vAlign w:val="center"/>
            <w:hideMark/>
          </w:tcPr>
          <w:p w14:paraId="15AA13F7" w14:textId="77777777" w:rsidR="00802DDD" w:rsidRPr="00B230C6" w:rsidRDefault="00802DDD" w:rsidP="00433D7D">
            <w:pPr>
              <w:pStyle w:val="Table-Left7"/>
              <w:rPr>
                <w:lang w:eastAsia="en-AU"/>
              </w:rPr>
            </w:pPr>
            <w:r w:rsidRPr="00B230C6">
              <w:rPr>
                <w:lang w:eastAsia="en-AU"/>
              </w:rPr>
              <w:t>Health policy, cost management</w:t>
            </w:r>
          </w:p>
        </w:tc>
        <w:tc>
          <w:tcPr>
            <w:tcW w:w="2268" w:type="dxa"/>
            <w:shd w:val="clear" w:color="auto" w:fill="F2F2F2" w:themeFill="background1" w:themeFillShade="F2"/>
            <w:vAlign w:val="center"/>
            <w:hideMark/>
          </w:tcPr>
          <w:p w14:paraId="38CCB369" w14:textId="77777777" w:rsidR="00802DDD" w:rsidRPr="00B230C6" w:rsidRDefault="00802DDD" w:rsidP="00433D7D">
            <w:pPr>
              <w:pStyle w:val="Table-Left7"/>
              <w:rPr>
                <w:lang w:eastAsia="en-AU"/>
              </w:rPr>
            </w:pPr>
            <w:r w:rsidRPr="00B230C6">
              <w:rPr>
                <w:lang w:eastAsia="en-AU"/>
              </w:rPr>
              <w:t>Impact on Health Policy, Impact on Health Costs</w:t>
            </w:r>
          </w:p>
        </w:tc>
        <w:tc>
          <w:tcPr>
            <w:tcW w:w="2613" w:type="dxa"/>
            <w:shd w:val="clear" w:color="auto" w:fill="F2F2F2" w:themeFill="background1" w:themeFillShade="F2"/>
            <w:vAlign w:val="center"/>
            <w:hideMark/>
          </w:tcPr>
          <w:p w14:paraId="200BA454" w14:textId="77777777" w:rsidR="00802DDD" w:rsidRPr="00B230C6" w:rsidRDefault="00802DDD" w:rsidP="00433D7D">
            <w:pPr>
              <w:pStyle w:val="Table-Left7"/>
              <w:rPr>
                <w:lang w:eastAsia="en-AU"/>
              </w:rPr>
            </w:pPr>
            <w:r w:rsidRPr="00B230C6">
              <w:rPr>
                <w:lang w:eastAsia="en-AU"/>
              </w:rPr>
              <w:t>Ministry decisions on health services, hospital rules, cost minimi</w:t>
            </w:r>
            <w:r>
              <w:rPr>
                <w:lang w:eastAsia="en-AU"/>
              </w:rPr>
              <w:t>s</w:t>
            </w:r>
            <w:r w:rsidRPr="00B230C6">
              <w:rPr>
                <w:lang w:eastAsia="en-AU"/>
              </w:rPr>
              <w:t>ation, optimi</w:t>
            </w:r>
            <w:r>
              <w:rPr>
                <w:lang w:eastAsia="en-AU"/>
              </w:rPr>
              <w:t>s</w:t>
            </w:r>
            <w:r w:rsidRPr="00B230C6">
              <w:rPr>
                <w:lang w:eastAsia="en-AU"/>
              </w:rPr>
              <w:t>ation of healthcare system</w:t>
            </w:r>
          </w:p>
        </w:tc>
      </w:tr>
      <w:tr w:rsidR="00802DDD" w:rsidRPr="00B230C6" w14:paraId="0983AFB2" w14:textId="77777777" w:rsidTr="00F55019">
        <w:trPr>
          <w:trHeight w:val="20"/>
        </w:trPr>
        <w:tc>
          <w:tcPr>
            <w:tcW w:w="0" w:type="auto"/>
            <w:shd w:val="clear" w:color="auto" w:fill="auto"/>
            <w:vAlign w:val="center"/>
            <w:hideMark/>
          </w:tcPr>
          <w:p w14:paraId="54D16404" w14:textId="29C64EEC" w:rsidR="00802DDD" w:rsidRPr="00B230C6" w:rsidRDefault="00802DDD" w:rsidP="00433D7D">
            <w:pPr>
              <w:pStyle w:val="Table-Left7"/>
              <w:rPr>
                <w:lang w:eastAsia="en-AU"/>
              </w:rPr>
            </w:pPr>
            <w:r w:rsidRPr="00B230C6">
              <w:rPr>
                <w:lang w:eastAsia="en-AU"/>
              </w:rPr>
              <w:t xml:space="preserve">RE-AIM Model </w:t>
            </w:r>
            <w:r w:rsidR="00D62859">
              <w:rPr>
                <w:noProof/>
                <w:lang w:eastAsia="en-AU"/>
              </w:rPr>
              <w:t>(</w:t>
            </w:r>
            <w:r w:rsidR="00D62859" w:rsidRPr="00D62859">
              <w:t>Glasgow et al., 1999</w:t>
            </w:r>
            <w:r w:rsidR="00D62859">
              <w:rPr>
                <w:noProof/>
                <w:lang w:eastAsia="en-AU"/>
              </w:rPr>
              <w:t>)</w:t>
            </w:r>
          </w:p>
        </w:tc>
        <w:tc>
          <w:tcPr>
            <w:tcW w:w="5606" w:type="dxa"/>
            <w:shd w:val="clear" w:color="auto" w:fill="auto"/>
            <w:vAlign w:val="center"/>
            <w:hideMark/>
          </w:tcPr>
          <w:p w14:paraId="7FF6E077" w14:textId="77777777" w:rsidR="00802DDD" w:rsidRPr="00B230C6" w:rsidRDefault="00802DDD" w:rsidP="00433D7D">
            <w:pPr>
              <w:pStyle w:val="Table-Left7"/>
              <w:rPr>
                <w:lang w:eastAsia="en-AU"/>
              </w:rPr>
            </w:pPr>
            <w:r w:rsidRPr="00B230C6">
              <w:rPr>
                <w:lang w:eastAsia="en-AU"/>
              </w:rPr>
              <w:t>The RE-AIM Model, developed in 1999, is a research impact assessment framework focusing on the impact of interventions</w:t>
            </w:r>
            <w:r>
              <w:rPr>
                <w:lang w:eastAsia="en-AU"/>
              </w:rPr>
              <w:t xml:space="preserve"> on public health</w:t>
            </w:r>
            <w:r w:rsidRPr="00B230C6">
              <w:rPr>
                <w:lang w:eastAsia="en-AU"/>
              </w:rPr>
              <w:t>. Originating from the United States, it emphasi</w:t>
            </w:r>
            <w:r>
              <w:rPr>
                <w:lang w:eastAsia="en-AU"/>
              </w:rPr>
              <w:t>s</w:t>
            </w:r>
            <w:r w:rsidRPr="00B230C6">
              <w:rPr>
                <w:lang w:eastAsia="en-AU"/>
              </w:rPr>
              <w:t>es five dimensions: Reach (who is affected), Effectiveness (the outcomes), Adoption (settings and staff willing to implement), Implementation (the fidelity of delivery), and Maintenance (long-term sustainability). This framework helps evaluate and translate research into practice by considering external validity and practical applications in diverse settings</w:t>
            </w:r>
            <w:r>
              <w:rPr>
                <w:lang w:eastAsia="en-AU"/>
              </w:rPr>
              <w:t>.</w:t>
            </w:r>
            <w:r w:rsidRPr="00B230C6">
              <w:rPr>
                <w:rFonts w:ascii="Arial" w:hAnsi="Arial" w:cs="Arial"/>
                <w:lang w:eastAsia="en-AU"/>
              </w:rPr>
              <w:t>​</w:t>
            </w:r>
          </w:p>
        </w:tc>
        <w:tc>
          <w:tcPr>
            <w:tcW w:w="1701" w:type="dxa"/>
            <w:shd w:val="clear" w:color="auto" w:fill="auto"/>
            <w:vAlign w:val="center"/>
            <w:hideMark/>
          </w:tcPr>
          <w:p w14:paraId="3D0E2E77" w14:textId="77777777" w:rsidR="00802DDD" w:rsidRPr="00B230C6" w:rsidRDefault="00802DDD" w:rsidP="00433D7D">
            <w:pPr>
              <w:pStyle w:val="Table-Left7"/>
              <w:rPr>
                <w:lang w:eastAsia="en-AU"/>
              </w:rPr>
            </w:pPr>
            <w:r w:rsidRPr="00B230C6">
              <w:rPr>
                <w:lang w:eastAsia="en-AU"/>
              </w:rPr>
              <w:t>Public health interventions, long-term sustainability</w:t>
            </w:r>
          </w:p>
        </w:tc>
        <w:tc>
          <w:tcPr>
            <w:tcW w:w="2268" w:type="dxa"/>
            <w:shd w:val="clear" w:color="auto" w:fill="auto"/>
            <w:vAlign w:val="center"/>
            <w:hideMark/>
          </w:tcPr>
          <w:p w14:paraId="6419612C" w14:textId="77777777" w:rsidR="00802DDD" w:rsidRPr="00B230C6" w:rsidRDefault="00802DDD" w:rsidP="00433D7D">
            <w:pPr>
              <w:pStyle w:val="Table-Left7"/>
              <w:rPr>
                <w:lang w:eastAsia="en-AU"/>
              </w:rPr>
            </w:pPr>
            <w:r w:rsidRPr="00B230C6">
              <w:rPr>
                <w:lang w:eastAsia="en-AU"/>
              </w:rPr>
              <w:t>Reach, Efficacy, Adoption, Implementation, Maintenance</w:t>
            </w:r>
          </w:p>
        </w:tc>
        <w:tc>
          <w:tcPr>
            <w:tcW w:w="2613" w:type="dxa"/>
            <w:shd w:val="clear" w:color="auto" w:fill="auto"/>
            <w:vAlign w:val="center"/>
            <w:hideMark/>
          </w:tcPr>
          <w:p w14:paraId="3CB1BBF0" w14:textId="77777777" w:rsidR="00802DDD" w:rsidRPr="00B230C6" w:rsidRDefault="00802DDD" w:rsidP="00433D7D">
            <w:pPr>
              <w:pStyle w:val="Table-Left7"/>
              <w:rPr>
                <w:lang w:eastAsia="en-AU"/>
              </w:rPr>
            </w:pPr>
            <w:r w:rsidRPr="00B230C6">
              <w:rPr>
                <w:lang w:eastAsia="en-AU"/>
              </w:rPr>
              <w:t>Proportion of target population, Success rate, Adoption rate, Implementation, Program sustainability</w:t>
            </w:r>
          </w:p>
        </w:tc>
      </w:tr>
      <w:tr w:rsidR="00802DDD" w:rsidRPr="00B230C6" w14:paraId="2DADD742" w14:textId="77777777" w:rsidTr="00F55019">
        <w:trPr>
          <w:trHeight w:val="20"/>
        </w:trPr>
        <w:tc>
          <w:tcPr>
            <w:tcW w:w="0" w:type="auto"/>
            <w:shd w:val="clear" w:color="auto" w:fill="F2F2F2" w:themeFill="background1" w:themeFillShade="F2"/>
            <w:vAlign w:val="center"/>
            <w:hideMark/>
          </w:tcPr>
          <w:p w14:paraId="1BF7FA69" w14:textId="1F4DE614" w:rsidR="00802DDD" w:rsidRPr="00B230C6" w:rsidRDefault="00802DDD" w:rsidP="00433D7D">
            <w:pPr>
              <w:pStyle w:val="Table-Left7"/>
              <w:rPr>
                <w:lang w:eastAsia="en-AU"/>
              </w:rPr>
            </w:pPr>
            <w:r w:rsidRPr="00B230C6">
              <w:rPr>
                <w:lang w:eastAsia="en-AU"/>
              </w:rPr>
              <w:t xml:space="preserve">The Matrix </w:t>
            </w:r>
            <w:r w:rsidR="00D62859">
              <w:rPr>
                <w:noProof/>
                <w:lang w:eastAsia="en-AU"/>
              </w:rPr>
              <w:t>(</w:t>
            </w:r>
            <w:r w:rsidR="00D62859" w:rsidRPr="00D62859">
              <w:t>Wiegers et al., 2015</w:t>
            </w:r>
            <w:r w:rsidR="00D62859">
              <w:rPr>
                <w:noProof/>
                <w:lang w:eastAsia="en-AU"/>
              </w:rPr>
              <w:t>)</w:t>
            </w:r>
          </w:p>
        </w:tc>
        <w:tc>
          <w:tcPr>
            <w:tcW w:w="5606" w:type="dxa"/>
            <w:shd w:val="clear" w:color="auto" w:fill="F2F2F2" w:themeFill="background1" w:themeFillShade="F2"/>
            <w:vAlign w:val="center"/>
            <w:hideMark/>
          </w:tcPr>
          <w:p w14:paraId="134E5135"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t>The Matrix is a metric-based evaluation system designed to assess the productivity of preclinical faculty at an academic medical centre</w:t>
            </w:r>
            <w:r>
              <w:rPr>
                <w:rFonts w:ascii="Aptos Narrow" w:hAnsi="Aptos Narrow"/>
                <w:lang w:eastAsia="en-AU"/>
              </w:rPr>
              <w:t>. It</w:t>
            </w:r>
            <w:r w:rsidRPr="00B230C6">
              <w:rPr>
                <w:rFonts w:ascii="Aptos Narrow" w:hAnsi="Aptos Narrow"/>
                <w:lang w:eastAsia="en-AU"/>
              </w:rPr>
              <w:t xml:space="preserve"> focus</w:t>
            </w:r>
            <w:r>
              <w:rPr>
                <w:rFonts w:ascii="Aptos Narrow" w:hAnsi="Aptos Narrow"/>
                <w:lang w:eastAsia="en-AU"/>
              </w:rPr>
              <w:t>es</w:t>
            </w:r>
            <w:r w:rsidRPr="00B230C6">
              <w:rPr>
                <w:rFonts w:ascii="Aptos Narrow" w:hAnsi="Aptos Narrow"/>
                <w:lang w:eastAsia="en-AU"/>
              </w:rPr>
              <w:t xml:space="preserve"> on research, education, scholarship, and </w:t>
            </w:r>
            <w:r w:rsidRPr="00B230C6">
              <w:rPr>
                <w:rFonts w:ascii="Aptos Narrow" w:hAnsi="Aptos Narrow"/>
                <w:lang w:eastAsia="en-AU"/>
              </w:rPr>
              <w:lastRenderedPageBreak/>
              <w:t>administration. Developed in 2004 in the United States, it has evolved through various iterations to enhance its relevance in measuring faculty engagement.</w:t>
            </w:r>
          </w:p>
        </w:tc>
        <w:tc>
          <w:tcPr>
            <w:tcW w:w="1701" w:type="dxa"/>
            <w:shd w:val="clear" w:color="auto" w:fill="F2F2F2" w:themeFill="background1" w:themeFillShade="F2"/>
            <w:vAlign w:val="center"/>
            <w:hideMark/>
          </w:tcPr>
          <w:p w14:paraId="3E8E2789"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lastRenderedPageBreak/>
              <w:t>Health, economy, policy influence, knowledge dissemination</w:t>
            </w:r>
          </w:p>
        </w:tc>
        <w:tc>
          <w:tcPr>
            <w:tcW w:w="2268" w:type="dxa"/>
            <w:shd w:val="clear" w:color="auto" w:fill="F2F2F2" w:themeFill="background1" w:themeFillShade="F2"/>
            <w:vAlign w:val="center"/>
            <w:hideMark/>
          </w:tcPr>
          <w:p w14:paraId="6E8F7EF8"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t xml:space="preserve">Knowledge Transfer, Economic Impact, Health and Social </w:t>
            </w:r>
            <w:r w:rsidRPr="00B230C6">
              <w:rPr>
                <w:rFonts w:ascii="Aptos Narrow" w:hAnsi="Aptos Narrow"/>
                <w:lang w:eastAsia="en-AU"/>
              </w:rPr>
              <w:lastRenderedPageBreak/>
              <w:t>Outcomes, Policy and Practice Impact, Capacity Building</w:t>
            </w:r>
          </w:p>
        </w:tc>
        <w:tc>
          <w:tcPr>
            <w:tcW w:w="2613" w:type="dxa"/>
            <w:shd w:val="clear" w:color="auto" w:fill="F2F2F2" w:themeFill="background1" w:themeFillShade="F2"/>
            <w:vAlign w:val="center"/>
            <w:hideMark/>
          </w:tcPr>
          <w:p w14:paraId="1206E5E2"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lastRenderedPageBreak/>
              <w:t>Publications, patents, training programs, policy changes, health outcomes, social engagement</w:t>
            </w:r>
          </w:p>
        </w:tc>
      </w:tr>
      <w:tr w:rsidR="00802DDD" w:rsidRPr="00B230C6" w14:paraId="5F82267D" w14:textId="77777777" w:rsidTr="00F55019">
        <w:trPr>
          <w:trHeight w:val="20"/>
        </w:trPr>
        <w:tc>
          <w:tcPr>
            <w:tcW w:w="0" w:type="auto"/>
            <w:shd w:val="clear" w:color="auto" w:fill="auto"/>
            <w:vAlign w:val="center"/>
            <w:hideMark/>
          </w:tcPr>
          <w:p w14:paraId="0127D5BF" w14:textId="792F12BE" w:rsidR="00802DDD" w:rsidRPr="00B230C6" w:rsidRDefault="00802DDD" w:rsidP="00433D7D">
            <w:pPr>
              <w:pStyle w:val="Table-Left7"/>
              <w:rPr>
                <w:lang w:eastAsia="en-AU"/>
              </w:rPr>
            </w:pPr>
            <w:r w:rsidRPr="00B230C6">
              <w:rPr>
                <w:lang w:eastAsia="en-AU"/>
              </w:rPr>
              <w:t xml:space="preserve">Canadian Institutes of Health Research (CIHR) Impact Framework </w:t>
            </w:r>
            <w:r w:rsidR="00D62859">
              <w:rPr>
                <w:noProof/>
                <w:lang w:eastAsia="en-AU"/>
              </w:rPr>
              <w:t>(</w:t>
            </w:r>
            <w:r w:rsidR="00D62859" w:rsidRPr="00D62859">
              <w:t>Bernstein et al., 2006</w:t>
            </w:r>
            <w:r w:rsidR="00D62859">
              <w:rPr>
                <w:noProof/>
                <w:lang w:eastAsia="en-AU"/>
              </w:rPr>
              <w:t>)</w:t>
            </w:r>
          </w:p>
        </w:tc>
        <w:tc>
          <w:tcPr>
            <w:tcW w:w="5606" w:type="dxa"/>
            <w:shd w:val="clear" w:color="auto" w:fill="auto"/>
            <w:vAlign w:val="center"/>
            <w:hideMark/>
          </w:tcPr>
          <w:p w14:paraId="703FC0E6" w14:textId="77777777" w:rsidR="00802DDD" w:rsidRPr="00B230C6" w:rsidRDefault="00802DDD" w:rsidP="00433D7D">
            <w:pPr>
              <w:pStyle w:val="Table-Left7"/>
              <w:rPr>
                <w:lang w:eastAsia="en-AU"/>
              </w:rPr>
            </w:pPr>
            <w:r w:rsidRPr="00B230C6">
              <w:rPr>
                <w:lang w:eastAsia="en-AU"/>
              </w:rPr>
              <w:t xml:space="preserve">The Canadian Institutes of Health Research (CIHR) Impact Framework, established in 2005, aims to measure the multifaceted impacts of health research in Canada. Developed in response to the need for </w:t>
            </w:r>
            <w:r>
              <w:rPr>
                <w:lang w:eastAsia="en-AU"/>
              </w:rPr>
              <w:t>pra</w:t>
            </w:r>
            <w:r w:rsidRPr="00B230C6">
              <w:rPr>
                <w:lang w:eastAsia="en-AU"/>
              </w:rPr>
              <w:t>cti</w:t>
            </w:r>
            <w:r>
              <w:rPr>
                <w:lang w:eastAsia="en-AU"/>
              </w:rPr>
              <w:t>cal</w:t>
            </w:r>
            <w:r w:rsidRPr="00B230C6">
              <w:rPr>
                <w:lang w:eastAsia="en-AU"/>
              </w:rPr>
              <w:t xml:space="preserve"> performance evaluation, the framework is informed by the Payback Model, which categori</w:t>
            </w:r>
            <w:r>
              <w:rPr>
                <w:lang w:eastAsia="en-AU"/>
              </w:rPr>
              <w:t>s</w:t>
            </w:r>
            <w:r w:rsidRPr="00B230C6">
              <w:rPr>
                <w:lang w:eastAsia="en-AU"/>
              </w:rPr>
              <w:t>es impact into five dimensions: knowledge production, benefits to health, economic benefits, capacity building, and policy impacts. This framework aligns with national priorities by enhancing accountability and demonstrating the value of research investments to stakeholders, supporting Canada's healthcare system and promoting effective health services</w:t>
            </w:r>
            <w:r>
              <w:rPr>
                <w:lang w:eastAsia="en-AU"/>
              </w:rPr>
              <w:t>.</w:t>
            </w:r>
            <w:r w:rsidRPr="00B230C6">
              <w:rPr>
                <w:rFonts w:ascii="Arial" w:hAnsi="Arial" w:cs="Arial"/>
                <w:lang w:eastAsia="en-AU"/>
              </w:rPr>
              <w:t>​</w:t>
            </w:r>
          </w:p>
        </w:tc>
        <w:tc>
          <w:tcPr>
            <w:tcW w:w="1701" w:type="dxa"/>
            <w:shd w:val="clear" w:color="auto" w:fill="auto"/>
            <w:vAlign w:val="center"/>
            <w:hideMark/>
          </w:tcPr>
          <w:p w14:paraId="58D82074" w14:textId="77777777" w:rsidR="00802DDD" w:rsidRPr="00B230C6" w:rsidRDefault="00802DDD" w:rsidP="00433D7D">
            <w:pPr>
              <w:pStyle w:val="Table-Left7"/>
              <w:rPr>
                <w:lang w:eastAsia="en-AU"/>
              </w:rPr>
            </w:pPr>
            <w:r w:rsidRPr="00B230C6">
              <w:rPr>
                <w:lang w:eastAsia="en-AU"/>
              </w:rPr>
              <w:t>Knowledge dissemination, health outcomes, economy</w:t>
            </w:r>
          </w:p>
        </w:tc>
        <w:tc>
          <w:tcPr>
            <w:tcW w:w="2268" w:type="dxa"/>
            <w:shd w:val="clear" w:color="auto" w:fill="auto"/>
            <w:vAlign w:val="center"/>
            <w:hideMark/>
          </w:tcPr>
          <w:p w14:paraId="7661F2E8" w14:textId="77777777" w:rsidR="00802DDD" w:rsidRPr="00B230C6" w:rsidRDefault="00802DDD" w:rsidP="00433D7D">
            <w:pPr>
              <w:pStyle w:val="Table-Left7"/>
              <w:rPr>
                <w:lang w:eastAsia="en-AU"/>
              </w:rPr>
            </w:pPr>
            <w:r w:rsidRPr="00B230C6">
              <w:rPr>
                <w:lang w:eastAsia="en-AU"/>
              </w:rPr>
              <w:t>Knowledge Production, Research Targeting, Policy Impact, Health Benefits, Economic Impacts</w:t>
            </w:r>
          </w:p>
        </w:tc>
        <w:tc>
          <w:tcPr>
            <w:tcW w:w="2613" w:type="dxa"/>
            <w:shd w:val="clear" w:color="auto" w:fill="auto"/>
            <w:vAlign w:val="center"/>
            <w:hideMark/>
          </w:tcPr>
          <w:p w14:paraId="26B09649" w14:textId="77777777" w:rsidR="00802DDD" w:rsidRPr="00B230C6" w:rsidRDefault="00802DDD" w:rsidP="00433D7D">
            <w:pPr>
              <w:pStyle w:val="Table-Left7"/>
              <w:rPr>
                <w:lang w:eastAsia="en-AU"/>
              </w:rPr>
            </w:pPr>
            <w:r w:rsidRPr="00B230C6">
              <w:rPr>
                <w:lang w:eastAsia="en-AU"/>
              </w:rPr>
              <w:t xml:space="preserve">Publications, Citation </w:t>
            </w:r>
            <w:r>
              <w:rPr>
                <w:lang w:eastAsia="en-AU"/>
              </w:rPr>
              <w:t>I</w:t>
            </w:r>
            <w:r w:rsidRPr="00B230C6">
              <w:rPr>
                <w:lang w:eastAsia="en-AU"/>
              </w:rPr>
              <w:t>mpact, Public health improvements (PYLL), Patents, Commercialization, Cost savings</w:t>
            </w:r>
          </w:p>
        </w:tc>
      </w:tr>
      <w:tr w:rsidR="00802DDD" w:rsidRPr="00B230C6" w14:paraId="717F936A" w14:textId="77777777" w:rsidTr="00F55019">
        <w:trPr>
          <w:trHeight w:val="20"/>
        </w:trPr>
        <w:tc>
          <w:tcPr>
            <w:tcW w:w="0" w:type="auto"/>
            <w:shd w:val="clear" w:color="auto" w:fill="F2F2F2" w:themeFill="background1" w:themeFillShade="F2"/>
            <w:vAlign w:val="center"/>
            <w:hideMark/>
          </w:tcPr>
          <w:p w14:paraId="1F0B7D8D" w14:textId="55A520BD" w:rsidR="00802DDD" w:rsidRPr="00B230C6" w:rsidRDefault="00802DDD" w:rsidP="00433D7D">
            <w:pPr>
              <w:pStyle w:val="Table-Left7"/>
              <w:rPr>
                <w:lang w:eastAsia="en-AU"/>
              </w:rPr>
            </w:pPr>
            <w:r w:rsidRPr="00B230C6">
              <w:rPr>
                <w:lang w:eastAsia="en-AU"/>
              </w:rPr>
              <w:t xml:space="preserve">Medical Research Logic Model </w:t>
            </w:r>
            <w:r w:rsidR="00D62859">
              <w:rPr>
                <w:noProof/>
                <w:lang w:eastAsia="en-AU"/>
              </w:rPr>
              <w:t>(</w:t>
            </w:r>
            <w:r w:rsidR="00D62859" w:rsidRPr="00D62859">
              <w:t>Weiss, 2007</w:t>
            </w:r>
            <w:r w:rsidR="00D62859">
              <w:rPr>
                <w:noProof/>
                <w:lang w:eastAsia="en-AU"/>
              </w:rPr>
              <w:t>)</w:t>
            </w:r>
          </w:p>
        </w:tc>
        <w:tc>
          <w:tcPr>
            <w:tcW w:w="5606" w:type="dxa"/>
            <w:shd w:val="clear" w:color="auto" w:fill="F2F2F2" w:themeFill="background1" w:themeFillShade="F2"/>
            <w:vAlign w:val="center"/>
            <w:hideMark/>
          </w:tcPr>
          <w:p w14:paraId="16DC5288" w14:textId="77777777" w:rsidR="00802DDD" w:rsidRPr="00B230C6" w:rsidRDefault="00802DDD" w:rsidP="00433D7D">
            <w:pPr>
              <w:pStyle w:val="Table-Left7"/>
              <w:rPr>
                <w:lang w:eastAsia="en-AU"/>
              </w:rPr>
            </w:pPr>
            <w:r w:rsidRPr="00B230C6">
              <w:rPr>
                <w:lang w:eastAsia="en-AU"/>
              </w:rPr>
              <w:t>The Medical Research Logic Model, introduced in 2007, shifts the focus of medical research assessment from outputs to outcomes, emphasi</w:t>
            </w:r>
            <w:r>
              <w:rPr>
                <w:lang w:eastAsia="en-AU"/>
              </w:rPr>
              <w:t>s</w:t>
            </w:r>
            <w:r w:rsidRPr="00B230C6">
              <w:rPr>
                <w:lang w:eastAsia="en-AU"/>
              </w:rPr>
              <w:t>ing the impact on disease prevention and treatment. Developed in the U.S., it utili</w:t>
            </w:r>
            <w:r>
              <w:rPr>
                <w:lang w:eastAsia="en-AU"/>
              </w:rPr>
              <w:t>s</w:t>
            </w:r>
            <w:r w:rsidRPr="00B230C6">
              <w:rPr>
                <w:lang w:eastAsia="en-AU"/>
              </w:rPr>
              <w:t xml:space="preserve">es a framework that includes inputs, activities, outputs, and outcomes, thereby promoting a </w:t>
            </w:r>
            <w:r>
              <w:rPr>
                <w:lang w:eastAsia="en-AU"/>
              </w:rPr>
              <w:t>mor</w:t>
            </w:r>
            <w:r w:rsidRPr="00B230C6">
              <w:rPr>
                <w:lang w:eastAsia="en-AU"/>
              </w:rPr>
              <w:t>e</w:t>
            </w:r>
            <w:r>
              <w:rPr>
                <w:lang w:eastAsia="en-AU"/>
              </w:rPr>
              <w:t xml:space="preserve"> p</w:t>
            </w:r>
            <w:r w:rsidRPr="00B230C6">
              <w:rPr>
                <w:lang w:eastAsia="en-AU"/>
              </w:rPr>
              <w:t>re</w:t>
            </w:r>
            <w:r>
              <w:rPr>
                <w:lang w:eastAsia="en-AU"/>
              </w:rPr>
              <w:t>cise</w:t>
            </w:r>
            <w:r w:rsidRPr="00B230C6">
              <w:rPr>
                <w:lang w:eastAsia="en-AU"/>
              </w:rPr>
              <w:t xml:space="preserve"> return on investment for funders. This model aims to bridge the efficacy-effectiveness gap in clinical care by encouraging researchers to assess the quantity of research </w:t>
            </w:r>
            <w:r>
              <w:rPr>
                <w:lang w:eastAsia="en-AU"/>
              </w:rPr>
              <w:t>and</w:t>
            </w:r>
            <w:r w:rsidRPr="00B230C6">
              <w:rPr>
                <w:lang w:eastAsia="en-AU"/>
              </w:rPr>
              <w:t xml:space="preserve"> its real-world impact on patient health</w:t>
            </w:r>
            <w:r>
              <w:rPr>
                <w:lang w:eastAsia="en-AU"/>
              </w:rPr>
              <w:t>.</w:t>
            </w:r>
          </w:p>
        </w:tc>
        <w:tc>
          <w:tcPr>
            <w:tcW w:w="1701" w:type="dxa"/>
            <w:shd w:val="clear" w:color="auto" w:fill="F2F2F2" w:themeFill="background1" w:themeFillShade="F2"/>
            <w:vAlign w:val="center"/>
            <w:hideMark/>
          </w:tcPr>
          <w:p w14:paraId="1D56E9C0" w14:textId="77777777" w:rsidR="00802DDD" w:rsidRPr="00B230C6" w:rsidRDefault="00802DDD" w:rsidP="00433D7D">
            <w:pPr>
              <w:pStyle w:val="Table-Left7"/>
              <w:rPr>
                <w:lang w:eastAsia="en-AU"/>
              </w:rPr>
            </w:pPr>
            <w:r w:rsidRPr="00B230C6">
              <w:rPr>
                <w:lang w:eastAsia="en-AU"/>
              </w:rPr>
              <w:t>Healthcare improvements, patient outcomes</w:t>
            </w:r>
          </w:p>
        </w:tc>
        <w:tc>
          <w:tcPr>
            <w:tcW w:w="2268" w:type="dxa"/>
            <w:shd w:val="clear" w:color="auto" w:fill="F2F2F2" w:themeFill="background1" w:themeFillShade="F2"/>
            <w:vAlign w:val="center"/>
            <w:hideMark/>
          </w:tcPr>
          <w:p w14:paraId="2A522306" w14:textId="77777777" w:rsidR="00802DDD" w:rsidRPr="00B230C6" w:rsidRDefault="00802DDD" w:rsidP="00433D7D">
            <w:pPr>
              <w:pStyle w:val="Table-Left7"/>
              <w:rPr>
                <w:lang w:eastAsia="en-AU"/>
              </w:rPr>
            </w:pPr>
            <w:r w:rsidRPr="00B230C6">
              <w:rPr>
                <w:lang w:eastAsia="en-AU"/>
              </w:rPr>
              <w:t>Initial, Intermediate, Long-term impacts</w:t>
            </w:r>
          </w:p>
        </w:tc>
        <w:tc>
          <w:tcPr>
            <w:tcW w:w="2613" w:type="dxa"/>
            <w:shd w:val="clear" w:color="auto" w:fill="F2F2F2" w:themeFill="background1" w:themeFillShade="F2"/>
            <w:vAlign w:val="center"/>
            <w:hideMark/>
          </w:tcPr>
          <w:p w14:paraId="2C166078" w14:textId="77777777" w:rsidR="00802DDD" w:rsidRPr="00B230C6" w:rsidRDefault="00802DDD" w:rsidP="00433D7D">
            <w:pPr>
              <w:pStyle w:val="Table-Left7"/>
              <w:rPr>
                <w:lang w:eastAsia="en-AU"/>
              </w:rPr>
            </w:pPr>
            <w:r w:rsidRPr="00B230C6">
              <w:rPr>
                <w:lang w:eastAsia="en-AU"/>
              </w:rPr>
              <w:t>Awareness of scientific evidence, Change in clinical practice, Improvement in patient well-being</w:t>
            </w:r>
          </w:p>
        </w:tc>
      </w:tr>
      <w:tr w:rsidR="00802DDD" w:rsidRPr="00B230C6" w14:paraId="749429F6" w14:textId="77777777" w:rsidTr="00F55019">
        <w:trPr>
          <w:trHeight w:val="20"/>
        </w:trPr>
        <w:tc>
          <w:tcPr>
            <w:tcW w:w="0" w:type="auto"/>
            <w:shd w:val="clear" w:color="auto" w:fill="auto"/>
            <w:vAlign w:val="center"/>
            <w:hideMark/>
          </w:tcPr>
          <w:p w14:paraId="46472FB6" w14:textId="25BC67C5" w:rsidR="00802DDD" w:rsidRPr="00B230C6" w:rsidRDefault="00802DDD" w:rsidP="00433D7D">
            <w:pPr>
              <w:pStyle w:val="Table-Left7"/>
              <w:rPr>
                <w:lang w:eastAsia="en-AU"/>
              </w:rPr>
            </w:pPr>
            <w:r w:rsidRPr="00B230C6">
              <w:rPr>
                <w:lang w:eastAsia="en-AU"/>
              </w:rPr>
              <w:t xml:space="preserve">Canadian Academy of Health Sciences Framework (CAHS) </w:t>
            </w:r>
            <w:r w:rsidR="00D62859">
              <w:rPr>
                <w:noProof/>
                <w:lang w:eastAsia="en-AU"/>
              </w:rPr>
              <w:t>(</w:t>
            </w:r>
            <w:r w:rsidR="00D62859" w:rsidRPr="00D62859">
              <w:t>CAHS, 2009</w:t>
            </w:r>
            <w:r w:rsidR="00D62859">
              <w:rPr>
                <w:noProof/>
                <w:lang w:eastAsia="en-AU"/>
              </w:rPr>
              <w:t>)</w:t>
            </w:r>
          </w:p>
        </w:tc>
        <w:tc>
          <w:tcPr>
            <w:tcW w:w="5606" w:type="dxa"/>
            <w:shd w:val="clear" w:color="auto" w:fill="auto"/>
            <w:vAlign w:val="center"/>
            <w:hideMark/>
          </w:tcPr>
          <w:p w14:paraId="33FE29AB" w14:textId="77777777" w:rsidR="00802DDD" w:rsidRPr="00B230C6" w:rsidRDefault="00802DDD" w:rsidP="00433D7D">
            <w:pPr>
              <w:pStyle w:val="Table-Left7"/>
              <w:rPr>
                <w:lang w:eastAsia="en-AU"/>
              </w:rPr>
            </w:pPr>
            <w:r w:rsidRPr="00B230C6">
              <w:rPr>
                <w:lang w:eastAsia="en-AU"/>
              </w:rPr>
              <w:t>The Canadian Academy of Health Sciences Framework (CAHS), published in 2009, originated in Canada. It aims to measure the returns on investment in health research by providing a structured framework with associated indicators. This framework is based on various established evaluation models, incorporating insights from health research to assess impacts across different pillars, including basic biomedical research, applied clinical research, health services, and population health. It aligns with national health priorities by emphasi</w:t>
            </w:r>
            <w:r>
              <w:rPr>
                <w:lang w:eastAsia="en-AU"/>
              </w:rPr>
              <w:t>s</w:t>
            </w:r>
            <w:r w:rsidRPr="00B230C6">
              <w:rPr>
                <w:lang w:eastAsia="en-AU"/>
              </w:rPr>
              <w:t>ing the importance of demonstrating the societal benefits of health research and informing funding decisions to enhance public health outcomes</w:t>
            </w:r>
            <w:r>
              <w:rPr>
                <w:lang w:eastAsia="en-AU"/>
              </w:rPr>
              <w:t>.</w:t>
            </w:r>
            <w:r w:rsidRPr="00B230C6">
              <w:rPr>
                <w:rFonts w:ascii="Arial" w:hAnsi="Arial" w:cs="Arial"/>
                <w:lang w:eastAsia="en-AU"/>
              </w:rPr>
              <w:t>​</w:t>
            </w:r>
          </w:p>
        </w:tc>
        <w:tc>
          <w:tcPr>
            <w:tcW w:w="1701" w:type="dxa"/>
            <w:shd w:val="clear" w:color="auto" w:fill="auto"/>
            <w:vAlign w:val="center"/>
            <w:hideMark/>
          </w:tcPr>
          <w:p w14:paraId="389142B7" w14:textId="77777777" w:rsidR="00802DDD" w:rsidRPr="00B230C6" w:rsidRDefault="00802DDD" w:rsidP="00433D7D">
            <w:pPr>
              <w:pStyle w:val="Table-Left7"/>
              <w:rPr>
                <w:lang w:eastAsia="en-AU"/>
              </w:rPr>
            </w:pPr>
            <w:r w:rsidRPr="00B230C6">
              <w:rPr>
                <w:lang w:eastAsia="en-AU"/>
              </w:rPr>
              <w:t>Health outcomes, knowledge generation, policy</w:t>
            </w:r>
          </w:p>
        </w:tc>
        <w:tc>
          <w:tcPr>
            <w:tcW w:w="2268" w:type="dxa"/>
            <w:shd w:val="clear" w:color="auto" w:fill="auto"/>
            <w:vAlign w:val="center"/>
            <w:hideMark/>
          </w:tcPr>
          <w:p w14:paraId="37B925CC" w14:textId="77777777" w:rsidR="00802DDD" w:rsidRPr="00B230C6" w:rsidRDefault="00802DDD" w:rsidP="00433D7D">
            <w:pPr>
              <w:pStyle w:val="Table-Left7"/>
              <w:rPr>
                <w:lang w:eastAsia="en-AU"/>
              </w:rPr>
            </w:pPr>
            <w:r w:rsidRPr="00B230C6">
              <w:rPr>
                <w:lang w:eastAsia="en-AU"/>
              </w:rPr>
              <w:t>Advancing Knowledge, Capacity Building, Decision Making, Health Impacts, Health System Indicators, Economic and Social Impacts</w:t>
            </w:r>
          </w:p>
        </w:tc>
        <w:tc>
          <w:tcPr>
            <w:tcW w:w="2613" w:type="dxa"/>
            <w:shd w:val="clear" w:color="auto" w:fill="auto"/>
            <w:vAlign w:val="center"/>
            <w:hideMark/>
          </w:tcPr>
          <w:p w14:paraId="54EBC93E" w14:textId="77777777" w:rsidR="00802DDD" w:rsidRPr="00B230C6" w:rsidRDefault="00802DDD" w:rsidP="00433D7D">
            <w:pPr>
              <w:pStyle w:val="Table-Left7"/>
              <w:rPr>
                <w:lang w:eastAsia="en-AU"/>
              </w:rPr>
            </w:pPr>
            <w:r w:rsidRPr="00B230C6">
              <w:rPr>
                <w:lang w:eastAsia="en-AU"/>
              </w:rPr>
              <w:t>Relative citation impact, funding levels, research use in healthcare, morbidity/mortality data, QALYs, PROMs, commerciali</w:t>
            </w:r>
            <w:r>
              <w:rPr>
                <w:lang w:eastAsia="en-AU"/>
              </w:rPr>
              <w:t>s</w:t>
            </w:r>
            <w:r w:rsidRPr="00B230C6">
              <w:rPr>
                <w:lang w:eastAsia="en-AU"/>
              </w:rPr>
              <w:t>ation, social benefits</w:t>
            </w:r>
          </w:p>
        </w:tc>
      </w:tr>
      <w:tr w:rsidR="00802DDD" w:rsidRPr="00B230C6" w14:paraId="7271623E" w14:textId="77777777" w:rsidTr="00F55019">
        <w:trPr>
          <w:trHeight w:val="20"/>
        </w:trPr>
        <w:tc>
          <w:tcPr>
            <w:tcW w:w="0" w:type="auto"/>
            <w:shd w:val="clear" w:color="auto" w:fill="F2F2F2" w:themeFill="background1" w:themeFillShade="F2"/>
            <w:vAlign w:val="center"/>
            <w:hideMark/>
          </w:tcPr>
          <w:p w14:paraId="731AA56B" w14:textId="43CDF259" w:rsidR="00802DDD" w:rsidRPr="00B230C6" w:rsidRDefault="00802DDD" w:rsidP="00433D7D">
            <w:pPr>
              <w:pStyle w:val="Table-Left7"/>
              <w:rPr>
                <w:lang w:eastAsia="en-AU"/>
              </w:rPr>
            </w:pPr>
            <w:r w:rsidRPr="00B230C6">
              <w:rPr>
                <w:lang w:eastAsia="en-AU"/>
              </w:rPr>
              <w:t xml:space="preserve">The </w:t>
            </w:r>
            <w:proofErr w:type="spellStart"/>
            <w:r w:rsidRPr="00B230C6">
              <w:rPr>
                <w:lang w:eastAsia="en-AU"/>
              </w:rPr>
              <w:t>Wellcome</w:t>
            </w:r>
            <w:proofErr w:type="spellEnd"/>
            <w:r w:rsidRPr="00B230C6">
              <w:rPr>
                <w:lang w:eastAsia="en-AU"/>
              </w:rPr>
              <w:t xml:space="preserve"> Trust’s Assessment Framework </w:t>
            </w:r>
            <w:r w:rsidR="00D62859">
              <w:rPr>
                <w:noProof/>
                <w:lang w:eastAsia="en-AU"/>
              </w:rPr>
              <w:t>(</w:t>
            </w:r>
            <w:proofErr w:type="spellStart"/>
            <w:r w:rsidR="00D62859" w:rsidRPr="00D62859">
              <w:t>Wellcome</w:t>
            </w:r>
            <w:proofErr w:type="spellEnd"/>
            <w:r w:rsidR="00D62859" w:rsidRPr="00D62859">
              <w:t xml:space="preserve"> Trust, 2009</w:t>
            </w:r>
            <w:r w:rsidR="00D62859">
              <w:rPr>
                <w:noProof/>
                <w:lang w:eastAsia="en-AU"/>
              </w:rPr>
              <w:t>)</w:t>
            </w:r>
          </w:p>
        </w:tc>
        <w:tc>
          <w:tcPr>
            <w:tcW w:w="5606" w:type="dxa"/>
            <w:shd w:val="clear" w:color="auto" w:fill="F2F2F2" w:themeFill="background1" w:themeFillShade="F2"/>
            <w:vAlign w:val="center"/>
            <w:hideMark/>
          </w:tcPr>
          <w:p w14:paraId="6048FF2B" w14:textId="77777777" w:rsidR="00802DDD" w:rsidRPr="00B230C6" w:rsidRDefault="00802DDD" w:rsidP="00433D7D">
            <w:pPr>
              <w:pStyle w:val="Table-Left7"/>
              <w:rPr>
                <w:lang w:eastAsia="en-AU"/>
              </w:rPr>
            </w:pPr>
            <w:r w:rsidRPr="00B230C6">
              <w:rPr>
                <w:lang w:eastAsia="en-AU"/>
              </w:rPr>
              <w:t xml:space="preserve">The </w:t>
            </w:r>
            <w:proofErr w:type="spellStart"/>
            <w:r w:rsidRPr="00B230C6">
              <w:rPr>
                <w:lang w:eastAsia="en-AU"/>
              </w:rPr>
              <w:t>Wellcome</w:t>
            </w:r>
            <w:proofErr w:type="spellEnd"/>
            <w:r w:rsidRPr="00B230C6">
              <w:rPr>
                <w:lang w:eastAsia="en-AU"/>
              </w:rPr>
              <w:t xml:space="preserve"> Trust’s Assessment Framework, established in 2009 in the UK, measures the impact of </w:t>
            </w:r>
            <w:proofErr w:type="spellStart"/>
            <w:r w:rsidRPr="00B230C6">
              <w:rPr>
                <w:lang w:eastAsia="en-AU"/>
              </w:rPr>
              <w:t>Wellcome</w:t>
            </w:r>
            <w:proofErr w:type="spellEnd"/>
            <w:r w:rsidRPr="00B230C6">
              <w:rPr>
                <w:lang w:eastAsia="en-AU"/>
              </w:rPr>
              <w:t>-funded research through various strategic indicators. Drawing on models like the Payback Framework, it emphasi</w:t>
            </w:r>
            <w:r>
              <w:rPr>
                <w:lang w:eastAsia="en-AU"/>
              </w:rPr>
              <w:t>s</w:t>
            </w:r>
            <w:r w:rsidRPr="00B230C6">
              <w:rPr>
                <w:lang w:eastAsia="en-AU"/>
              </w:rPr>
              <w:t>es the contributions of research to health outcomes and policy influence. This framework aligns with national health priorities by promoting evidence-based practices and maximi</w:t>
            </w:r>
            <w:r>
              <w:rPr>
                <w:lang w:eastAsia="en-AU"/>
              </w:rPr>
              <w:t>s</w:t>
            </w:r>
            <w:r w:rsidRPr="00B230C6">
              <w:rPr>
                <w:lang w:eastAsia="en-AU"/>
              </w:rPr>
              <w:t>ing the impact of funded projects</w:t>
            </w:r>
            <w:r>
              <w:rPr>
                <w:lang w:eastAsia="en-AU"/>
              </w:rPr>
              <w:t>.</w:t>
            </w:r>
          </w:p>
        </w:tc>
        <w:tc>
          <w:tcPr>
            <w:tcW w:w="1701" w:type="dxa"/>
            <w:shd w:val="clear" w:color="auto" w:fill="F2F2F2" w:themeFill="background1" w:themeFillShade="F2"/>
            <w:vAlign w:val="center"/>
            <w:hideMark/>
          </w:tcPr>
          <w:p w14:paraId="6B71F3DA" w14:textId="77777777" w:rsidR="00802DDD" w:rsidRPr="00B230C6" w:rsidRDefault="00802DDD" w:rsidP="00433D7D">
            <w:pPr>
              <w:pStyle w:val="Table-Left7"/>
              <w:rPr>
                <w:lang w:eastAsia="en-AU"/>
              </w:rPr>
            </w:pPr>
            <w:r w:rsidRPr="00B230C6">
              <w:rPr>
                <w:lang w:eastAsia="en-AU"/>
              </w:rPr>
              <w:t>Knowledge generation, health outcomes, policy</w:t>
            </w:r>
          </w:p>
        </w:tc>
        <w:tc>
          <w:tcPr>
            <w:tcW w:w="2268" w:type="dxa"/>
            <w:shd w:val="clear" w:color="auto" w:fill="F2F2F2" w:themeFill="background1" w:themeFillShade="F2"/>
            <w:vAlign w:val="center"/>
            <w:hideMark/>
          </w:tcPr>
          <w:p w14:paraId="0DA4ED3B" w14:textId="77777777" w:rsidR="00802DDD" w:rsidRPr="00B230C6" w:rsidRDefault="00802DDD" w:rsidP="00433D7D">
            <w:pPr>
              <w:pStyle w:val="Table-Left7"/>
              <w:rPr>
                <w:lang w:eastAsia="en-AU"/>
              </w:rPr>
            </w:pPr>
            <w:r w:rsidRPr="00B230C6">
              <w:rPr>
                <w:lang w:eastAsia="en-AU"/>
              </w:rPr>
              <w:t>Knowledge Generation, Researcher Development, Health Impact, Technology Development, Policy Development</w:t>
            </w:r>
          </w:p>
        </w:tc>
        <w:tc>
          <w:tcPr>
            <w:tcW w:w="2613" w:type="dxa"/>
            <w:shd w:val="clear" w:color="auto" w:fill="F2F2F2" w:themeFill="background1" w:themeFillShade="F2"/>
            <w:vAlign w:val="center"/>
            <w:hideMark/>
          </w:tcPr>
          <w:p w14:paraId="0B2DADCE" w14:textId="77777777" w:rsidR="00802DDD" w:rsidRPr="00B230C6" w:rsidRDefault="00802DDD" w:rsidP="00433D7D">
            <w:pPr>
              <w:pStyle w:val="Table-Left7"/>
              <w:rPr>
                <w:lang w:eastAsia="en-AU"/>
              </w:rPr>
            </w:pPr>
            <w:r w:rsidRPr="00B230C6">
              <w:rPr>
                <w:lang w:eastAsia="en-AU"/>
              </w:rPr>
              <w:t>Publications, citations, RBI, awards, fellowships, patents, policy impact, capacity-building, media coverage</w:t>
            </w:r>
          </w:p>
        </w:tc>
      </w:tr>
      <w:tr w:rsidR="00802DDD" w:rsidRPr="00B230C6" w14:paraId="0730EE11" w14:textId="77777777" w:rsidTr="00F55019">
        <w:trPr>
          <w:trHeight w:val="20"/>
        </w:trPr>
        <w:tc>
          <w:tcPr>
            <w:tcW w:w="0" w:type="auto"/>
            <w:shd w:val="clear" w:color="auto" w:fill="auto"/>
            <w:vAlign w:val="center"/>
            <w:hideMark/>
          </w:tcPr>
          <w:p w14:paraId="02D2DD63" w14:textId="62D45CDC" w:rsidR="00802DDD" w:rsidRPr="00B230C6" w:rsidRDefault="00802DDD" w:rsidP="00433D7D">
            <w:pPr>
              <w:pStyle w:val="Table-Left7"/>
              <w:rPr>
                <w:lang w:eastAsia="en-AU"/>
              </w:rPr>
            </w:pPr>
            <w:r w:rsidRPr="00B230C6">
              <w:rPr>
                <w:lang w:eastAsia="en-AU"/>
              </w:rPr>
              <w:t xml:space="preserve">The Becker Model </w:t>
            </w:r>
            <w:r w:rsidR="00D62859">
              <w:rPr>
                <w:noProof/>
                <w:lang w:eastAsia="en-AU"/>
              </w:rPr>
              <w:t>(</w:t>
            </w:r>
            <w:r w:rsidR="00D62859" w:rsidRPr="00D62859">
              <w:t>Sarli et al., 2010</w:t>
            </w:r>
            <w:r w:rsidR="00D62859">
              <w:rPr>
                <w:noProof/>
                <w:lang w:eastAsia="en-AU"/>
              </w:rPr>
              <w:t>)</w:t>
            </w:r>
          </w:p>
        </w:tc>
        <w:tc>
          <w:tcPr>
            <w:tcW w:w="5606" w:type="dxa"/>
            <w:shd w:val="clear" w:color="auto" w:fill="auto"/>
            <w:vAlign w:val="center"/>
            <w:hideMark/>
          </w:tcPr>
          <w:p w14:paraId="6E83D1FD" w14:textId="77777777" w:rsidR="00802DDD" w:rsidRPr="00B230C6" w:rsidRDefault="00802DDD" w:rsidP="00433D7D">
            <w:pPr>
              <w:pStyle w:val="Table-Left7"/>
              <w:rPr>
                <w:lang w:eastAsia="en-AU"/>
              </w:rPr>
            </w:pPr>
            <w:r w:rsidRPr="00B230C6">
              <w:rPr>
                <w:lang w:eastAsia="en-AU"/>
              </w:rPr>
              <w:t>The Becker Model, established in 2009 by the Becker Medical Library at Washington University, expands on traditional citation analysis by assessing research impact through various indicators beyond citation counts. It features a logic framework that includes stages such as research output, knowledge transfer, clinical implementation, and community benefit, enabling the documentation and quantification of research outcomes. This model supports national research priorities by emphasi</w:t>
            </w:r>
            <w:r>
              <w:rPr>
                <w:lang w:eastAsia="en-AU"/>
              </w:rPr>
              <w:t>s</w:t>
            </w:r>
            <w:r w:rsidRPr="00B230C6">
              <w:rPr>
                <w:lang w:eastAsia="en-AU"/>
              </w:rPr>
              <w:t>ing the translation of scientific findings into practical health applications and serves as a resource for researchers and librarians to enhance the visibility of their work</w:t>
            </w:r>
            <w:r>
              <w:rPr>
                <w:lang w:eastAsia="en-AU"/>
              </w:rPr>
              <w:t>.</w:t>
            </w:r>
            <w:r w:rsidRPr="00B230C6">
              <w:rPr>
                <w:rFonts w:ascii="Arial" w:hAnsi="Arial" w:cs="Arial"/>
                <w:lang w:eastAsia="en-AU"/>
              </w:rPr>
              <w:t>​</w:t>
            </w:r>
          </w:p>
        </w:tc>
        <w:tc>
          <w:tcPr>
            <w:tcW w:w="1701" w:type="dxa"/>
            <w:shd w:val="clear" w:color="auto" w:fill="auto"/>
            <w:vAlign w:val="center"/>
            <w:hideMark/>
          </w:tcPr>
          <w:p w14:paraId="521BCB80" w14:textId="77777777" w:rsidR="00802DDD" w:rsidRPr="00B230C6" w:rsidRDefault="00802DDD" w:rsidP="00433D7D">
            <w:pPr>
              <w:pStyle w:val="Table-Left7"/>
              <w:rPr>
                <w:lang w:eastAsia="en-AU"/>
              </w:rPr>
            </w:pPr>
            <w:r w:rsidRPr="00B230C6">
              <w:rPr>
                <w:lang w:eastAsia="en-AU"/>
              </w:rPr>
              <w:t>Biomedical research, clinical implementation</w:t>
            </w:r>
          </w:p>
        </w:tc>
        <w:tc>
          <w:tcPr>
            <w:tcW w:w="2268" w:type="dxa"/>
            <w:shd w:val="clear" w:color="auto" w:fill="auto"/>
            <w:vAlign w:val="center"/>
            <w:hideMark/>
          </w:tcPr>
          <w:p w14:paraId="0F5AD055" w14:textId="77777777" w:rsidR="00802DDD" w:rsidRPr="00B230C6" w:rsidRDefault="00802DDD" w:rsidP="00433D7D">
            <w:pPr>
              <w:pStyle w:val="Table-Left7"/>
              <w:rPr>
                <w:lang w:eastAsia="en-AU"/>
              </w:rPr>
            </w:pPr>
            <w:r w:rsidRPr="00B230C6">
              <w:rPr>
                <w:lang w:eastAsia="en-AU"/>
              </w:rPr>
              <w:t>Research Output, Knowledge Transfer, Clinical Implementation, Community Benefit</w:t>
            </w:r>
          </w:p>
        </w:tc>
        <w:tc>
          <w:tcPr>
            <w:tcW w:w="2613" w:type="dxa"/>
            <w:shd w:val="clear" w:color="auto" w:fill="auto"/>
            <w:vAlign w:val="center"/>
            <w:hideMark/>
          </w:tcPr>
          <w:p w14:paraId="29F716C3" w14:textId="77777777" w:rsidR="00802DDD" w:rsidRPr="00B230C6" w:rsidRDefault="00802DDD" w:rsidP="00433D7D">
            <w:pPr>
              <w:pStyle w:val="Table-Left7"/>
              <w:rPr>
                <w:lang w:eastAsia="en-AU"/>
              </w:rPr>
            </w:pPr>
            <w:r w:rsidRPr="00B230C6">
              <w:rPr>
                <w:lang w:eastAsia="en-AU"/>
              </w:rPr>
              <w:t>Biological materials, Patents, Medical devices, Clinical guidelines, Health care outcomes, Quality of life</w:t>
            </w:r>
          </w:p>
        </w:tc>
      </w:tr>
      <w:tr w:rsidR="00802DDD" w:rsidRPr="00B230C6" w14:paraId="736A9214" w14:textId="77777777" w:rsidTr="00F55019">
        <w:trPr>
          <w:trHeight w:val="20"/>
        </w:trPr>
        <w:tc>
          <w:tcPr>
            <w:tcW w:w="0" w:type="auto"/>
            <w:shd w:val="clear" w:color="auto" w:fill="F2F2F2" w:themeFill="background1" w:themeFillShade="F2"/>
            <w:vAlign w:val="center"/>
            <w:hideMark/>
          </w:tcPr>
          <w:p w14:paraId="7B29B0A1" w14:textId="4A154FE7" w:rsidR="00802DDD" w:rsidRPr="00B230C6" w:rsidRDefault="00802DDD" w:rsidP="00433D7D">
            <w:pPr>
              <w:pStyle w:val="Table-Left7"/>
              <w:rPr>
                <w:lang w:eastAsia="en-AU"/>
              </w:rPr>
            </w:pPr>
            <w:r w:rsidRPr="00B230C6">
              <w:rPr>
                <w:lang w:eastAsia="en-AU"/>
              </w:rPr>
              <w:t xml:space="preserve">NIOSH Logic Models </w:t>
            </w:r>
            <w:r w:rsidR="00D62859">
              <w:rPr>
                <w:noProof/>
                <w:lang w:eastAsia="en-AU"/>
              </w:rPr>
              <w:t>(</w:t>
            </w:r>
            <w:r w:rsidR="00D62859" w:rsidRPr="00D62859">
              <w:t>Williams et al., 2009</w:t>
            </w:r>
            <w:r w:rsidR="00D62859">
              <w:rPr>
                <w:noProof/>
                <w:lang w:eastAsia="en-AU"/>
              </w:rPr>
              <w:t>)</w:t>
            </w:r>
          </w:p>
        </w:tc>
        <w:tc>
          <w:tcPr>
            <w:tcW w:w="5606" w:type="dxa"/>
            <w:shd w:val="clear" w:color="auto" w:fill="F2F2F2" w:themeFill="background1" w:themeFillShade="F2"/>
            <w:vAlign w:val="center"/>
            <w:hideMark/>
          </w:tcPr>
          <w:p w14:paraId="096A0202" w14:textId="77777777" w:rsidR="00802DDD" w:rsidRPr="00B230C6" w:rsidRDefault="00802DDD" w:rsidP="00433D7D">
            <w:pPr>
              <w:pStyle w:val="Table-Left7"/>
              <w:rPr>
                <w:lang w:eastAsia="en-AU"/>
              </w:rPr>
            </w:pPr>
            <w:r w:rsidRPr="00B230C6">
              <w:rPr>
                <w:lang w:eastAsia="en-AU"/>
              </w:rPr>
              <w:t>The Medical Research Logic Model, introduced in 2007, shifts the focus of medical research assessment from outputs to outcomes, emphasi</w:t>
            </w:r>
            <w:r>
              <w:rPr>
                <w:lang w:eastAsia="en-AU"/>
              </w:rPr>
              <w:t>s</w:t>
            </w:r>
            <w:r w:rsidRPr="00B230C6">
              <w:rPr>
                <w:lang w:eastAsia="en-AU"/>
              </w:rPr>
              <w:t>ing the impact on disease prevention and treatment. Developed in the U.S., it utili</w:t>
            </w:r>
            <w:r>
              <w:rPr>
                <w:lang w:eastAsia="en-AU"/>
              </w:rPr>
              <w:t>s</w:t>
            </w:r>
            <w:r w:rsidRPr="00B230C6">
              <w:rPr>
                <w:lang w:eastAsia="en-AU"/>
              </w:rPr>
              <w:t xml:space="preserve">es a framework that includes inputs, activities, outputs, and outcomes, thereby promoting a </w:t>
            </w:r>
            <w:r>
              <w:rPr>
                <w:lang w:eastAsia="en-AU"/>
              </w:rPr>
              <w:t>mor</w:t>
            </w:r>
            <w:r w:rsidRPr="00B230C6">
              <w:rPr>
                <w:lang w:eastAsia="en-AU"/>
              </w:rPr>
              <w:t>e</w:t>
            </w:r>
            <w:r>
              <w:rPr>
                <w:lang w:eastAsia="en-AU"/>
              </w:rPr>
              <w:t xml:space="preserve"> p</w:t>
            </w:r>
            <w:r w:rsidRPr="00B230C6">
              <w:rPr>
                <w:lang w:eastAsia="en-AU"/>
              </w:rPr>
              <w:t>re</w:t>
            </w:r>
            <w:r>
              <w:rPr>
                <w:lang w:eastAsia="en-AU"/>
              </w:rPr>
              <w:t>cise</w:t>
            </w:r>
            <w:r w:rsidRPr="00B230C6">
              <w:rPr>
                <w:lang w:eastAsia="en-AU"/>
              </w:rPr>
              <w:t xml:space="preserve"> return on investment for funders. This model aims to bridge the efficacy-effectiveness gap in clinical care by encouraging researchers to assess the quantity of research </w:t>
            </w:r>
            <w:r>
              <w:rPr>
                <w:lang w:eastAsia="en-AU"/>
              </w:rPr>
              <w:t>and</w:t>
            </w:r>
            <w:r w:rsidRPr="00B230C6">
              <w:rPr>
                <w:lang w:eastAsia="en-AU"/>
              </w:rPr>
              <w:t xml:space="preserve"> its real-world impact on patient health</w:t>
            </w:r>
            <w:r>
              <w:rPr>
                <w:lang w:eastAsia="en-AU"/>
              </w:rPr>
              <w:t>.</w:t>
            </w:r>
          </w:p>
        </w:tc>
        <w:tc>
          <w:tcPr>
            <w:tcW w:w="1701" w:type="dxa"/>
            <w:shd w:val="clear" w:color="auto" w:fill="F2F2F2" w:themeFill="background1" w:themeFillShade="F2"/>
            <w:vAlign w:val="center"/>
            <w:hideMark/>
          </w:tcPr>
          <w:p w14:paraId="42DBC165" w14:textId="77777777" w:rsidR="00802DDD" w:rsidRPr="00B230C6" w:rsidRDefault="00802DDD" w:rsidP="00433D7D">
            <w:pPr>
              <w:pStyle w:val="Table-Left7"/>
              <w:rPr>
                <w:lang w:eastAsia="en-AU"/>
              </w:rPr>
            </w:pPr>
            <w:r w:rsidRPr="00B230C6">
              <w:rPr>
                <w:lang w:eastAsia="en-AU"/>
              </w:rPr>
              <w:t>Workplace safety, health hazard reduction</w:t>
            </w:r>
          </w:p>
        </w:tc>
        <w:tc>
          <w:tcPr>
            <w:tcW w:w="2268" w:type="dxa"/>
            <w:shd w:val="clear" w:color="auto" w:fill="F2F2F2" w:themeFill="background1" w:themeFillShade="F2"/>
            <w:vAlign w:val="center"/>
            <w:hideMark/>
          </w:tcPr>
          <w:p w14:paraId="03972227" w14:textId="77777777" w:rsidR="00802DDD" w:rsidRPr="00B230C6" w:rsidRDefault="00802DDD" w:rsidP="00433D7D">
            <w:pPr>
              <w:pStyle w:val="Table-Left7"/>
              <w:rPr>
                <w:lang w:eastAsia="en-AU"/>
              </w:rPr>
            </w:pPr>
            <w:r w:rsidRPr="00B230C6">
              <w:rPr>
                <w:lang w:eastAsia="en-AU"/>
              </w:rPr>
              <w:t>Construction Program, Mining Program, Health Hazard Evaluation Program, Personal Protective Technology Program, Overall NIOSH Program</w:t>
            </w:r>
          </w:p>
        </w:tc>
        <w:tc>
          <w:tcPr>
            <w:tcW w:w="2613" w:type="dxa"/>
            <w:shd w:val="clear" w:color="auto" w:fill="F2F2F2" w:themeFill="background1" w:themeFillShade="F2"/>
            <w:vAlign w:val="center"/>
            <w:hideMark/>
          </w:tcPr>
          <w:p w14:paraId="5805D934" w14:textId="77777777" w:rsidR="00802DDD" w:rsidRPr="00B230C6" w:rsidRDefault="00802DDD" w:rsidP="00433D7D">
            <w:pPr>
              <w:pStyle w:val="Table-Left7"/>
              <w:rPr>
                <w:lang w:eastAsia="en-AU"/>
              </w:rPr>
            </w:pPr>
            <w:r w:rsidRPr="00B230C6">
              <w:rPr>
                <w:lang w:eastAsia="en-AU"/>
              </w:rPr>
              <w:t xml:space="preserve">Peer-reviewed articles, Safety guidelines, Workplace policies, </w:t>
            </w:r>
            <w:proofErr w:type="gramStart"/>
            <w:r w:rsidRPr="00B230C6">
              <w:rPr>
                <w:lang w:eastAsia="en-AU"/>
              </w:rPr>
              <w:t>Best</w:t>
            </w:r>
            <w:proofErr w:type="gramEnd"/>
            <w:r w:rsidRPr="00B230C6">
              <w:rPr>
                <w:lang w:eastAsia="en-AU"/>
              </w:rPr>
              <w:t xml:space="preserve"> practices, Technology adoption, Standards &amp; </w:t>
            </w:r>
            <w:r>
              <w:rPr>
                <w:lang w:eastAsia="en-AU"/>
              </w:rPr>
              <w:t>R</w:t>
            </w:r>
            <w:r w:rsidRPr="00B230C6">
              <w:rPr>
                <w:lang w:eastAsia="en-AU"/>
              </w:rPr>
              <w:t>egulations</w:t>
            </w:r>
          </w:p>
        </w:tc>
      </w:tr>
      <w:tr w:rsidR="00802DDD" w:rsidRPr="00B230C6" w14:paraId="7E40A512" w14:textId="77777777" w:rsidTr="00F55019">
        <w:trPr>
          <w:trHeight w:val="20"/>
        </w:trPr>
        <w:tc>
          <w:tcPr>
            <w:tcW w:w="0" w:type="auto"/>
            <w:shd w:val="clear" w:color="auto" w:fill="auto"/>
            <w:vAlign w:val="center"/>
            <w:hideMark/>
          </w:tcPr>
          <w:p w14:paraId="5A730293" w14:textId="3CF1BC9F" w:rsidR="00802DDD" w:rsidRPr="00B230C6" w:rsidRDefault="00802DDD" w:rsidP="00433D7D">
            <w:pPr>
              <w:pStyle w:val="Table-Left7"/>
              <w:rPr>
                <w:lang w:eastAsia="en-AU"/>
              </w:rPr>
            </w:pPr>
            <w:r w:rsidRPr="00B230C6">
              <w:rPr>
                <w:lang w:eastAsia="en-AU"/>
              </w:rPr>
              <w:t xml:space="preserve">Societal Quality Score (Leiden University Medical Centre) </w:t>
            </w:r>
            <w:r w:rsidR="00D62859">
              <w:rPr>
                <w:noProof/>
                <w:lang w:eastAsia="en-AU"/>
              </w:rPr>
              <w:t>(</w:t>
            </w:r>
            <w:r w:rsidR="00D62859" w:rsidRPr="00D62859">
              <w:t>Mostert et al., 2010</w:t>
            </w:r>
            <w:r w:rsidR="00D62859">
              <w:rPr>
                <w:noProof/>
                <w:lang w:eastAsia="en-AU"/>
              </w:rPr>
              <w:t>)</w:t>
            </w:r>
          </w:p>
        </w:tc>
        <w:tc>
          <w:tcPr>
            <w:tcW w:w="5606" w:type="dxa"/>
            <w:shd w:val="clear" w:color="auto" w:fill="auto"/>
            <w:vAlign w:val="center"/>
            <w:hideMark/>
          </w:tcPr>
          <w:p w14:paraId="09369E3E" w14:textId="77777777" w:rsidR="00802DDD" w:rsidRPr="00B230C6" w:rsidRDefault="00802DDD" w:rsidP="00433D7D">
            <w:pPr>
              <w:pStyle w:val="Table-Left7"/>
              <w:rPr>
                <w:lang w:eastAsia="en-AU"/>
              </w:rPr>
            </w:pPr>
            <w:r w:rsidRPr="00B230C6">
              <w:rPr>
                <w:lang w:eastAsia="en-AU"/>
              </w:rPr>
              <w:t>The Societal Quality Score from the Leiden University Medical Centre (LUMC), introduced in 2010, assesses the societal impact of health research alongside scientific metrics. It evaluates outreach to stakeholders, including the public and healthcare professionals, using a four-step process with indicators for knowledge production and use.</w:t>
            </w:r>
          </w:p>
        </w:tc>
        <w:tc>
          <w:tcPr>
            <w:tcW w:w="1701" w:type="dxa"/>
            <w:shd w:val="clear" w:color="auto" w:fill="auto"/>
            <w:vAlign w:val="center"/>
            <w:hideMark/>
          </w:tcPr>
          <w:p w14:paraId="0F616607" w14:textId="77777777" w:rsidR="00802DDD" w:rsidRPr="00B230C6" w:rsidRDefault="00802DDD" w:rsidP="00433D7D">
            <w:pPr>
              <w:pStyle w:val="Table-Left7"/>
              <w:rPr>
                <w:lang w:eastAsia="en-AU"/>
              </w:rPr>
            </w:pPr>
            <w:r w:rsidRPr="00B230C6">
              <w:rPr>
                <w:lang w:eastAsia="en-AU"/>
              </w:rPr>
              <w:t>Knowledge dissemination, stakeholder engagement, economic gains</w:t>
            </w:r>
          </w:p>
        </w:tc>
        <w:tc>
          <w:tcPr>
            <w:tcW w:w="2268" w:type="dxa"/>
            <w:shd w:val="clear" w:color="auto" w:fill="auto"/>
            <w:vAlign w:val="center"/>
            <w:hideMark/>
          </w:tcPr>
          <w:p w14:paraId="2693C22F" w14:textId="77777777" w:rsidR="00802DDD" w:rsidRPr="00B230C6" w:rsidRDefault="00802DDD" w:rsidP="00433D7D">
            <w:pPr>
              <w:pStyle w:val="Table-Left7"/>
              <w:rPr>
                <w:lang w:eastAsia="en-AU"/>
              </w:rPr>
            </w:pPr>
            <w:r w:rsidRPr="00B230C6">
              <w:rPr>
                <w:lang w:eastAsia="en-AU"/>
              </w:rPr>
              <w:t>Knowledge Production, Knowledge Exchange, Knowledge Use, Earning Capacity</w:t>
            </w:r>
          </w:p>
        </w:tc>
        <w:tc>
          <w:tcPr>
            <w:tcW w:w="2613" w:type="dxa"/>
            <w:shd w:val="clear" w:color="auto" w:fill="auto"/>
            <w:vAlign w:val="center"/>
            <w:hideMark/>
          </w:tcPr>
          <w:p w14:paraId="0D8D3BED" w14:textId="77777777" w:rsidR="00802DDD" w:rsidRPr="00B230C6" w:rsidRDefault="00802DDD" w:rsidP="00433D7D">
            <w:pPr>
              <w:pStyle w:val="Table-Left7"/>
              <w:rPr>
                <w:lang w:eastAsia="en-AU"/>
              </w:rPr>
            </w:pPr>
            <w:r w:rsidRPr="00B230C6">
              <w:rPr>
                <w:lang w:eastAsia="en-AU"/>
              </w:rPr>
              <w:t>Contributions to media, patents, speeches for companies, use of medical protocols, charity funding, indirect funding, contract funding</w:t>
            </w:r>
          </w:p>
        </w:tc>
      </w:tr>
      <w:tr w:rsidR="00802DDD" w:rsidRPr="00B230C6" w14:paraId="257C6840" w14:textId="77777777" w:rsidTr="00F55019">
        <w:trPr>
          <w:trHeight w:val="20"/>
        </w:trPr>
        <w:tc>
          <w:tcPr>
            <w:tcW w:w="0" w:type="auto"/>
            <w:shd w:val="clear" w:color="auto" w:fill="F2F2F2" w:themeFill="background1" w:themeFillShade="F2"/>
            <w:vAlign w:val="center"/>
            <w:hideMark/>
          </w:tcPr>
          <w:p w14:paraId="1109A9AA" w14:textId="77777777" w:rsidR="00802DDD" w:rsidRPr="00B230C6" w:rsidRDefault="00802DDD" w:rsidP="00433D7D">
            <w:pPr>
              <w:pStyle w:val="Table-Left7"/>
              <w:rPr>
                <w:lang w:eastAsia="en-AU"/>
              </w:rPr>
            </w:pPr>
            <w:r w:rsidRPr="00B230C6">
              <w:rPr>
                <w:lang w:eastAsia="en-AU"/>
              </w:rPr>
              <w:t>Institute for Translational Health Sciences (ITHS) Kellogg Logic Model - WHO Health Services Assessment Model</w:t>
            </w:r>
          </w:p>
        </w:tc>
        <w:tc>
          <w:tcPr>
            <w:tcW w:w="5606" w:type="dxa"/>
            <w:shd w:val="clear" w:color="auto" w:fill="F2F2F2" w:themeFill="background1" w:themeFillShade="F2"/>
            <w:vAlign w:val="center"/>
            <w:hideMark/>
          </w:tcPr>
          <w:p w14:paraId="3ABE97A1"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t xml:space="preserve">The Institute for Translational Health Sciences (ITHS) combines the Kellogg Logic Model with the World Health Organization's (WHO) Health Services Assessment Model to enhance evaluations of translational research funded by the Clinical and Translational Science Award (CTSA) program. Established in 2007 in the USA, this hybrid framework incorporates value-based indicators focusing on relevance, process, impact, equity, sustainability, adequacy, efficiency, and </w:t>
            </w:r>
            <w:r w:rsidRPr="00B230C6">
              <w:rPr>
                <w:rFonts w:ascii="Aptos Narrow" w:hAnsi="Aptos Narrow"/>
                <w:lang w:eastAsia="en-AU"/>
              </w:rPr>
              <w:lastRenderedPageBreak/>
              <w:t>effectiveness. It aligns with national priorities for improving public health through collaborative research initiatives</w:t>
            </w:r>
            <w:r>
              <w:rPr>
                <w:rFonts w:ascii="Aptos Narrow" w:hAnsi="Aptos Narrow"/>
                <w:lang w:eastAsia="en-AU"/>
              </w:rPr>
              <w:t>.</w:t>
            </w:r>
            <w:r w:rsidRPr="00B230C6">
              <w:rPr>
                <w:rFonts w:ascii="Arial" w:hAnsi="Arial" w:cs="Arial"/>
                <w:lang w:eastAsia="en-AU"/>
              </w:rPr>
              <w:t>​</w:t>
            </w:r>
          </w:p>
        </w:tc>
        <w:tc>
          <w:tcPr>
            <w:tcW w:w="1701" w:type="dxa"/>
            <w:shd w:val="clear" w:color="auto" w:fill="F2F2F2" w:themeFill="background1" w:themeFillShade="F2"/>
            <w:vAlign w:val="center"/>
            <w:hideMark/>
          </w:tcPr>
          <w:p w14:paraId="3CCBD028"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lastRenderedPageBreak/>
              <w:t>Health service improvements, capacity building, translational research</w:t>
            </w:r>
          </w:p>
        </w:tc>
        <w:tc>
          <w:tcPr>
            <w:tcW w:w="2268" w:type="dxa"/>
            <w:shd w:val="clear" w:color="auto" w:fill="F2F2F2" w:themeFill="background1" w:themeFillShade="F2"/>
            <w:vAlign w:val="center"/>
            <w:hideMark/>
          </w:tcPr>
          <w:p w14:paraId="71FD721C"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t>Inputs, Activities, Outputs, Outcomes/Impacts</w:t>
            </w:r>
          </w:p>
        </w:tc>
        <w:tc>
          <w:tcPr>
            <w:tcW w:w="2613" w:type="dxa"/>
            <w:shd w:val="clear" w:color="auto" w:fill="F2F2F2" w:themeFill="background1" w:themeFillShade="F2"/>
            <w:vAlign w:val="center"/>
            <w:hideMark/>
          </w:tcPr>
          <w:p w14:paraId="230F8560"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t xml:space="preserve">Relevance: The degree to which services meet translational research needs. Efficiency: How well the research processes are streamlined. Adequacy: The extent to which services are suitable for achieving positive health impacts. </w:t>
            </w:r>
            <w:r w:rsidRPr="00B230C6">
              <w:rPr>
                <w:rFonts w:ascii="Aptos Narrow" w:hAnsi="Aptos Narrow"/>
                <w:lang w:eastAsia="en-AU"/>
              </w:rPr>
              <w:lastRenderedPageBreak/>
              <w:t>Effectiveness: The ability of the services to improve research outcomes. Equity: Access to resources for diverse cultural groups. Impact: The influence of research on population health. Sustainability: Long-term viability of resources and services</w:t>
            </w:r>
          </w:p>
        </w:tc>
      </w:tr>
      <w:tr w:rsidR="00802DDD" w:rsidRPr="00B230C6" w14:paraId="17AD41E4" w14:textId="77777777" w:rsidTr="00F55019">
        <w:trPr>
          <w:trHeight w:val="20"/>
        </w:trPr>
        <w:tc>
          <w:tcPr>
            <w:tcW w:w="0" w:type="auto"/>
            <w:shd w:val="clear" w:color="auto" w:fill="auto"/>
            <w:vAlign w:val="center"/>
            <w:hideMark/>
          </w:tcPr>
          <w:p w14:paraId="30B837D1" w14:textId="5515727F" w:rsidR="00802DDD" w:rsidRPr="00B230C6" w:rsidRDefault="00802DDD" w:rsidP="00433D7D">
            <w:pPr>
              <w:pStyle w:val="Table-Left7"/>
              <w:rPr>
                <w:lang w:eastAsia="en-AU"/>
              </w:rPr>
            </w:pPr>
            <w:r w:rsidRPr="00B230C6">
              <w:rPr>
                <w:lang w:eastAsia="en-AU"/>
              </w:rPr>
              <w:lastRenderedPageBreak/>
              <w:t xml:space="preserve">Payback Framework </w:t>
            </w:r>
            <w:r w:rsidR="00D62859">
              <w:rPr>
                <w:noProof/>
                <w:lang w:eastAsia="en-AU"/>
              </w:rPr>
              <w:t>(</w:t>
            </w:r>
            <w:r w:rsidR="00D62859" w:rsidRPr="00D62859">
              <w:t>Donovan &amp; Hanney, 2011</w:t>
            </w:r>
            <w:r w:rsidR="00D62859">
              <w:rPr>
                <w:noProof/>
                <w:lang w:eastAsia="en-AU"/>
              </w:rPr>
              <w:t>)</w:t>
            </w:r>
          </w:p>
        </w:tc>
        <w:tc>
          <w:tcPr>
            <w:tcW w:w="5606" w:type="dxa"/>
            <w:shd w:val="clear" w:color="auto" w:fill="auto"/>
            <w:vAlign w:val="center"/>
            <w:hideMark/>
          </w:tcPr>
          <w:p w14:paraId="26421B3A" w14:textId="77777777" w:rsidR="00802DDD" w:rsidRPr="00B230C6" w:rsidRDefault="00802DDD" w:rsidP="00433D7D">
            <w:pPr>
              <w:pStyle w:val="Table-Left7"/>
              <w:rPr>
                <w:lang w:eastAsia="en-AU"/>
              </w:rPr>
            </w:pPr>
            <w:r w:rsidRPr="00B230C6">
              <w:rPr>
                <w:lang w:eastAsia="en-AU"/>
              </w:rPr>
              <w:t xml:space="preserve">First published in 2011 in the UK, the Payback Framework </w:t>
            </w:r>
            <w:r>
              <w:rPr>
                <w:lang w:eastAsia="en-AU"/>
              </w:rPr>
              <w:t>u</w:t>
            </w:r>
            <w:r w:rsidRPr="00B230C6">
              <w:rPr>
                <w:lang w:eastAsia="en-AU"/>
              </w:rPr>
              <w:t>s</w:t>
            </w:r>
            <w:r>
              <w:rPr>
                <w:lang w:eastAsia="en-AU"/>
              </w:rPr>
              <w:t>e</w:t>
            </w:r>
            <w:r w:rsidRPr="00B230C6">
              <w:rPr>
                <w:lang w:eastAsia="en-AU"/>
              </w:rPr>
              <w:t>s</w:t>
            </w:r>
            <w:r>
              <w:rPr>
                <w:lang w:eastAsia="en-AU"/>
              </w:rPr>
              <w:t xml:space="preserve"> a logic mod</w:t>
            </w:r>
            <w:r w:rsidRPr="00B230C6">
              <w:rPr>
                <w:lang w:eastAsia="en-AU"/>
              </w:rPr>
              <w:t>e</w:t>
            </w:r>
            <w:r>
              <w:rPr>
                <w:lang w:eastAsia="en-AU"/>
              </w:rPr>
              <w:t>l to a</w:t>
            </w:r>
            <w:r w:rsidRPr="00B230C6">
              <w:rPr>
                <w:lang w:eastAsia="en-AU"/>
              </w:rPr>
              <w:t>sse</w:t>
            </w:r>
            <w:r>
              <w:rPr>
                <w:lang w:eastAsia="en-AU"/>
              </w:rPr>
              <w:t>s</w:t>
            </w:r>
            <w:r w:rsidRPr="00B230C6">
              <w:rPr>
                <w:lang w:eastAsia="en-AU"/>
              </w:rPr>
              <w:t xml:space="preserve">s </w:t>
            </w:r>
            <w:r>
              <w:rPr>
                <w:lang w:eastAsia="en-AU"/>
              </w:rPr>
              <w:t>the impact of health services research</w:t>
            </w:r>
            <w:r w:rsidRPr="00B230C6">
              <w:rPr>
                <w:lang w:eastAsia="en-AU"/>
              </w:rPr>
              <w:t>. It categori</w:t>
            </w:r>
            <w:r>
              <w:rPr>
                <w:lang w:eastAsia="en-AU"/>
              </w:rPr>
              <w:t>s</w:t>
            </w:r>
            <w:r w:rsidRPr="00B230C6">
              <w:rPr>
                <w:lang w:eastAsia="en-AU"/>
              </w:rPr>
              <w:t xml:space="preserve">es </w:t>
            </w:r>
            <w:r>
              <w:rPr>
                <w:lang w:eastAsia="en-AU"/>
              </w:rPr>
              <w:t xml:space="preserve">research </w:t>
            </w:r>
            <w:r w:rsidRPr="00B230C6">
              <w:rPr>
                <w:lang w:eastAsia="en-AU"/>
              </w:rPr>
              <w:t>benefits, emphasi</w:t>
            </w:r>
            <w:r>
              <w:rPr>
                <w:lang w:eastAsia="en-AU"/>
              </w:rPr>
              <w:t>s</w:t>
            </w:r>
            <w:r w:rsidRPr="00B230C6">
              <w:rPr>
                <w:lang w:eastAsia="en-AU"/>
              </w:rPr>
              <w:t>ing academic outputs like knowledge production and broader societal impacts. The framework facilitates data collection and analysis to capture relevant information and align with national priorities, demonstrating the value of health research to policymakers and stakeholders</w:t>
            </w:r>
            <w:r>
              <w:rPr>
                <w:lang w:eastAsia="en-AU"/>
              </w:rPr>
              <w:t>.</w:t>
            </w:r>
            <w:r w:rsidRPr="00B230C6">
              <w:rPr>
                <w:rFonts w:ascii="Arial" w:hAnsi="Arial" w:cs="Arial"/>
                <w:lang w:eastAsia="en-AU"/>
              </w:rPr>
              <w:t>​</w:t>
            </w:r>
          </w:p>
        </w:tc>
        <w:tc>
          <w:tcPr>
            <w:tcW w:w="1701" w:type="dxa"/>
            <w:shd w:val="clear" w:color="auto" w:fill="auto"/>
            <w:vAlign w:val="center"/>
            <w:hideMark/>
          </w:tcPr>
          <w:p w14:paraId="511B52CA" w14:textId="77777777" w:rsidR="00802DDD" w:rsidRPr="00B230C6" w:rsidRDefault="00802DDD" w:rsidP="00433D7D">
            <w:pPr>
              <w:pStyle w:val="Table-Left7"/>
              <w:rPr>
                <w:lang w:eastAsia="en-AU"/>
              </w:rPr>
            </w:pPr>
            <w:r w:rsidRPr="00B230C6">
              <w:rPr>
                <w:lang w:eastAsia="en-AU"/>
              </w:rPr>
              <w:t>Knowledge dissemination, health, economy</w:t>
            </w:r>
          </w:p>
        </w:tc>
        <w:tc>
          <w:tcPr>
            <w:tcW w:w="2268" w:type="dxa"/>
            <w:shd w:val="clear" w:color="auto" w:fill="auto"/>
            <w:vAlign w:val="center"/>
            <w:hideMark/>
          </w:tcPr>
          <w:p w14:paraId="2043FD9B" w14:textId="77777777" w:rsidR="00802DDD" w:rsidRPr="00B230C6" w:rsidRDefault="00802DDD" w:rsidP="00433D7D">
            <w:pPr>
              <w:pStyle w:val="Table-Left7"/>
              <w:rPr>
                <w:lang w:eastAsia="en-AU"/>
              </w:rPr>
            </w:pPr>
            <w:r w:rsidRPr="00B230C6">
              <w:rPr>
                <w:lang w:eastAsia="en-AU"/>
              </w:rPr>
              <w:t>Knowledge, Future Research, Policy/Product Development, Health/Health Sector Benefits, Economic Benefits</w:t>
            </w:r>
          </w:p>
        </w:tc>
        <w:tc>
          <w:tcPr>
            <w:tcW w:w="2613" w:type="dxa"/>
            <w:shd w:val="clear" w:color="auto" w:fill="auto"/>
            <w:vAlign w:val="center"/>
            <w:hideMark/>
          </w:tcPr>
          <w:p w14:paraId="6B64DE33" w14:textId="77777777" w:rsidR="00802DDD" w:rsidRPr="00B230C6" w:rsidRDefault="00802DDD" w:rsidP="00433D7D">
            <w:pPr>
              <w:pStyle w:val="Table-Left7"/>
              <w:rPr>
                <w:lang w:eastAsia="en-AU"/>
              </w:rPr>
            </w:pPr>
            <w:r w:rsidRPr="00B230C6">
              <w:rPr>
                <w:lang w:eastAsia="en-AU"/>
              </w:rPr>
              <w:t>Journal articles, development of research skills, political decisions, pharmaceutical products, cost reduction, commercial exploitation</w:t>
            </w:r>
          </w:p>
        </w:tc>
      </w:tr>
      <w:tr w:rsidR="00802DDD" w:rsidRPr="00B230C6" w14:paraId="1ABD3EF4" w14:textId="77777777" w:rsidTr="00F55019">
        <w:trPr>
          <w:trHeight w:val="20"/>
        </w:trPr>
        <w:tc>
          <w:tcPr>
            <w:tcW w:w="0" w:type="auto"/>
            <w:shd w:val="clear" w:color="auto" w:fill="F2F2F2" w:themeFill="background1" w:themeFillShade="F2"/>
            <w:vAlign w:val="center"/>
            <w:hideMark/>
          </w:tcPr>
          <w:p w14:paraId="6CC588F0" w14:textId="275D8BAD" w:rsidR="00802DDD" w:rsidRPr="00B230C6" w:rsidRDefault="00802DDD" w:rsidP="00433D7D">
            <w:pPr>
              <w:pStyle w:val="Table-Left7"/>
              <w:rPr>
                <w:lang w:eastAsia="en-AU"/>
              </w:rPr>
            </w:pPr>
            <w:r w:rsidRPr="00B230C6">
              <w:rPr>
                <w:lang w:eastAsia="en-AU"/>
              </w:rPr>
              <w:t xml:space="preserve">Monetary Value Approach </w:t>
            </w:r>
            <w:r w:rsidR="00D62859">
              <w:rPr>
                <w:noProof/>
                <w:lang w:eastAsia="en-AU"/>
              </w:rPr>
              <w:t>(</w:t>
            </w:r>
            <w:r w:rsidR="00D62859" w:rsidRPr="00D62859">
              <w:t>Deloitte Access Economics, 2011</w:t>
            </w:r>
            <w:r w:rsidR="00D62859">
              <w:rPr>
                <w:noProof/>
                <w:lang w:eastAsia="en-AU"/>
              </w:rPr>
              <w:t>)</w:t>
            </w:r>
          </w:p>
        </w:tc>
        <w:tc>
          <w:tcPr>
            <w:tcW w:w="5606" w:type="dxa"/>
            <w:shd w:val="clear" w:color="auto" w:fill="F2F2F2" w:themeFill="background1" w:themeFillShade="F2"/>
            <w:vAlign w:val="center"/>
            <w:hideMark/>
          </w:tcPr>
          <w:p w14:paraId="71235978" w14:textId="77777777" w:rsidR="00802DDD" w:rsidRPr="00B230C6" w:rsidRDefault="00802DDD" w:rsidP="00433D7D">
            <w:pPr>
              <w:pStyle w:val="Table-Left7"/>
              <w:rPr>
                <w:lang w:eastAsia="en-AU"/>
              </w:rPr>
            </w:pPr>
            <w:r w:rsidRPr="00B230C6">
              <w:rPr>
                <w:lang w:eastAsia="en-AU"/>
              </w:rPr>
              <w:t>The Monetary Value Approach assesses the economic benefits of NHMRC-funded health research and development in Australia. Published in 2011, the report evaluates investments made from 2000 to 2010, concentrating on cardiovascular disease, cancer, SIDS, asthma, and muscular dystrophy. It employs net benefits and ROI</w:t>
            </w:r>
            <w:r>
              <w:rPr>
                <w:lang w:eastAsia="en-AU"/>
              </w:rPr>
              <w:t xml:space="preserve"> metrics</w:t>
            </w:r>
            <w:r w:rsidRPr="00B230C6">
              <w:rPr>
                <w:lang w:eastAsia="en-AU"/>
              </w:rPr>
              <w:t>, demonstrating NHMRC R&amp;D's potential to alleviate disease burden and lower future healthcare costs. The findings support national healthcare priorities, underscoring the role of R&amp;D in enhancing health outcomes and reducing expenditures</w:t>
            </w:r>
            <w:r>
              <w:rPr>
                <w:lang w:eastAsia="en-AU"/>
              </w:rPr>
              <w:t>.</w:t>
            </w:r>
            <w:r w:rsidRPr="00B230C6">
              <w:rPr>
                <w:rFonts w:ascii="Arial" w:hAnsi="Arial" w:cs="Arial"/>
                <w:lang w:eastAsia="en-AU"/>
              </w:rPr>
              <w:t>​</w:t>
            </w:r>
          </w:p>
        </w:tc>
        <w:tc>
          <w:tcPr>
            <w:tcW w:w="1701" w:type="dxa"/>
            <w:shd w:val="clear" w:color="auto" w:fill="F2F2F2" w:themeFill="background1" w:themeFillShade="F2"/>
            <w:vAlign w:val="center"/>
            <w:hideMark/>
          </w:tcPr>
          <w:p w14:paraId="742C3B37" w14:textId="77777777" w:rsidR="00802DDD" w:rsidRPr="00B230C6" w:rsidRDefault="00802DDD" w:rsidP="00433D7D">
            <w:pPr>
              <w:pStyle w:val="Table-Left7"/>
              <w:rPr>
                <w:lang w:eastAsia="en-AU"/>
              </w:rPr>
            </w:pPr>
            <w:r w:rsidRPr="00B230C6">
              <w:rPr>
                <w:lang w:eastAsia="en-AU"/>
              </w:rPr>
              <w:t>Economic impact, health system efficiency</w:t>
            </w:r>
          </w:p>
        </w:tc>
        <w:tc>
          <w:tcPr>
            <w:tcW w:w="2268" w:type="dxa"/>
            <w:shd w:val="clear" w:color="auto" w:fill="F2F2F2" w:themeFill="background1" w:themeFillShade="F2"/>
            <w:vAlign w:val="center"/>
            <w:hideMark/>
          </w:tcPr>
          <w:p w14:paraId="5FE8991A" w14:textId="77777777" w:rsidR="00802DDD" w:rsidRPr="00B230C6" w:rsidRDefault="00802DDD" w:rsidP="00433D7D">
            <w:pPr>
              <w:pStyle w:val="Table-Left7"/>
              <w:rPr>
                <w:lang w:eastAsia="en-AU"/>
              </w:rPr>
            </w:pPr>
            <w:r w:rsidRPr="00B230C6">
              <w:rPr>
                <w:lang w:eastAsia="en-AU"/>
              </w:rPr>
              <w:t>Well-being Gains, Avoided Health Costs, Productivity, Commercialization of R&amp;D</w:t>
            </w:r>
          </w:p>
        </w:tc>
        <w:tc>
          <w:tcPr>
            <w:tcW w:w="2613" w:type="dxa"/>
            <w:shd w:val="clear" w:color="auto" w:fill="F2F2F2" w:themeFill="background1" w:themeFillShade="F2"/>
            <w:vAlign w:val="center"/>
            <w:hideMark/>
          </w:tcPr>
          <w:p w14:paraId="7946587A" w14:textId="77777777" w:rsidR="00802DDD" w:rsidRPr="00B230C6" w:rsidRDefault="00802DDD" w:rsidP="00433D7D">
            <w:pPr>
              <w:pStyle w:val="Table-Left7"/>
              <w:rPr>
                <w:lang w:eastAsia="en-AU"/>
              </w:rPr>
            </w:pPr>
            <w:r w:rsidRPr="00B230C6">
              <w:rPr>
                <w:lang w:eastAsia="en-AU"/>
              </w:rPr>
              <w:t>DALYs, value of a statistical life (VSL), avoided health costs, productivity gains, commerciali</w:t>
            </w:r>
            <w:r>
              <w:rPr>
                <w:lang w:eastAsia="en-AU"/>
              </w:rPr>
              <w:t>s</w:t>
            </w:r>
            <w:r w:rsidRPr="00B230C6">
              <w:rPr>
                <w:lang w:eastAsia="en-AU"/>
              </w:rPr>
              <w:t>ation benefit/cost ratio, ROI</w:t>
            </w:r>
          </w:p>
        </w:tc>
      </w:tr>
      <w:tr w:rsidR="00802DDD" w:rsidRPr="00B230C6" w14:paraId="5271F7FA" w14:textId="77777777" w:rsidTr="00F55019">
        <w:trPr>
          <w:trHeight w:val="20"/>
        </w:trPr>
        <w:tc>
          <w:tcPr>
            <w:tcW w:w="0" w:type="auto"/>
            <w:shd w:val="clear" w:color="auto" w:fill="auto"/>
            <w:vAlign w:val="center"/>
            <w:hideMark/>
          </w:tcPr>
          <w:p w14:paraId="6924C937" w14:textId="379D96C4" w:rsidR="00802DDD" w:rsidRPr="00B230C6" w:rsidRDefault="00802DDD" w:rsidP="00433D7D">
            <w:pPr>
              <w:pStyle w:val="Table-Left7"/>
              <w:rPr>
                <w:lang w:eastAsia="en-AU"/>
              </w:rPr>
            </w:pPr>
            <w:r w:rsidRPr="00B230C6">
              <w:rPr>
                <w:lang w:eastAsia="en-AU"/>
              </w:rPr>
              <w:t xml:space="preserve">Banzi’s Research Impact Model </w:t>
            </w:r>
            <w:r w:rsidR="00D62859">
              <w:rPr>
                <w:noProof/>
                <w:lang w:eastAsia="en-AU"/>
              </w:rPr>
              <w:t>(</w:t>
            </w:r>
            <w:r w:rsidR="00D62859" w:rsidRPr="00D62859">
              <w:t>Banzi et al., 2011</w:t>
            </w:r>
            <w:r w:rsidR="00D62859">
              <w:rPr>
                <w:noProof/>
                <w:lang w:eastAsia="en-AU"/>
              </w:rPr>
              <w:t>)</w:t>
            </w:r>
          </w:p>
        </w:tc>
        <w:tc>
          <w:tcPr>
            <w:tcW w:w="5606" w:type="dxa"/>
            <w:shd w:val="clear" w:color="auto" w:fill="auto"/>
            <w:vAlign w:val="center"/>
            <w:hideMark/>
          </w:tcPr>
          <w:p w14:paraId="4348341F" w14:textId="77777777" w:rsidR="00802DDD" w:rsidRPr="00B230C6" w:rsidRDefault="00802DDD" w:rsidP="00433D7D">
            <w:pPr>
              <w:pStyle w:val="Table-Left7"/>
              <w:rPr>
                <w:lang w:eastAsia="en-AU"/>
              </w:rPr>
            </w:pPr>
            <w:r w:rsidRPr="00B230C6">
              <w:rPr>
                <w:lang w:eastAsia="en-AU"/>
              </w:rPr>
              <w:t>Banzi’s Research Impact Model, published in 2011 in Italy, provides a comprehensive framework for assessing the impact of health research. It integrates concepts from various foundational models, including the Payback Framework and Logic Models, to evaluate impacts across multiple dimensions, such as policy influence and societal benefit. The model aligns with national health priorities by emphasi</w:t>
            </w:r>
            <w:r>
              <w:rPr>
                <w:lang w:eastAsia="en-AU"/>
              </w:rPr>
              <w:t>s</w:t>
            </w:r>
            <w:r w:rsidRPr="00B230C6">
              <w:rPr>
                <w:lang w:eastAsia="en-AU"/>
              </w:rPr>
              <w:t>ing evidence-based decision-making and promoting research funding and outcomes</w:t>
            </w:r>
            <w:r>
              <w:rPr>
                <w:lang w:eastAsia="en-AU"/>
              </w:rPr>
              <w:t xml:space="preserve"> accountability.</w:t>
            </w:r>
          </w:p>
        </w:tc>
        <w:tc>
          <w:tcPr>
            <w:tcW w:w="1701" w:type="dxa"/>
            <w:shd w:val="clear" w:color="auto" w:fill="auto"/>
            <w:vAlign w:val="center"/>
            <w:hideMark/>
          </w:tcPr>
          <w:p w14:paraId="44046DBE" w14:textId="77777777" w:rsidR="00802DDD" w:rsidRPr="00B230C6" w:rsidRDefault="00802DDD" w:rsidP="00433D7D">
            <w:pPr>
              <w:pStyle w:val="Table-Left7"/>
              <w:rPr>
                <w:lang w:eastAsia="en-AU"/>
              </w:rPr>
            </w:pPr>
            <w:r w:rsidRPr="00B230C6">
              <w:rPr>
                <w:lang w:eastAsia="en-AU"/>
              </w:rPr>
              <w:t>Knowledge, health outcomes, economic, social</w:t>
            </w:r>
          </w:p>
        </w:tc>
        <w:tc>
          <w:tcPr>
            <w:tcW w:w="2268" w:type="dxa"/>
            <w:shd w:val="clear" w:color="auto" w:fill="auto"/>
            <w:vAlign w:val="center"/>
            <w:hideMark/>
          </w:tcPr>
          <w:p w14:paraId="78F2DBC0" w14:textId="77777777" w:rsidR="00802DDD" w:rsidRPr="00B230C6" w:rsidRDefault="00802DDD" w:rsidP="00433D7D">
            <w:pPr>
              <w:pStyle w:val="Table-Left7"/>
              <w:rPr>
                <w:lang w:eastAsia="en-AU"/>
              </w:rPr>
            </w:pPr>
            <w:r w:rsidRPr="00B230C6">
              <w:rPr>
                <w:lang w:eastAsia="en-AU"/>
              </w:rPr>
              <w:t>Advancing Knowledge, Capacity Building, Policy/Product Development, Health/Sector Benefits, Economic Benefits</w:t>
            </w:r>
          </w:p>
        </w:tc>
        <w:tc>
          <w:tcPr>
            <w:tcW w:w="2613" w:type="dxa"/>
            <w:shd w:val="clear" w:color="auto" w:fill="auto"/>
            <w:vAlign w:val="center"/>
            <w:hideMark/>
          </w:tcPr>
          <w:p w14:paraId="17E54AC4" w14:textId="77777777" w:rsidR="00802DDD" w:rsidRPr="00B230C6" w:rsidRDefault="00802DDD" w:rsidP="00433D7D">
            <w:pPr>
              <w:pStyle w:val="Table-Left7"/>
              <w:rPr>
                <w:lang w:eastAsia="en-AU"/>
              </w:rPr>
            </w:pPr>
            <w:r w:rsidRPr="00B230C6">
              <w:rPr>
                <w:lang w:eastAsia="en-AU"/>
              </w:rPr>
              <w:t>Peer-reviewed publications, patents, epidemiologic data, QALYs, social benefits, product sales, spin-off companies</w:t>
            </w:r>
          </w:p>
        </w:tc>
      </w:tr>
      <w:tr w:rsidR="00802DDD" w:rsidRPr="00B230C6" w14:paraId="4104A43D" w14:textId="77777777" w:rsidTr="00F55019">
        <w:trPr>
          <w:trHeight w:val="20"/>
        </w:trPr>
        <w:tc>
          <w:tcPr>
            <w:tcW w:w="0" w:type="auto"/>
            <w:shd w:val="clear" w:color="auto" w:fill="F2F2F2" w:themeFill="background1" w:themeFillShade="F2"/>
            <w:vAlign w:val="center"/>
            <w:hideMark/>
          </w:tcPr>
          <w:p w14:paraId="79430330" w14:textId="10294A3A" w:rsidR="00802DDD" w:rsidRPr="00B230C6" w:rsidRDefault="00802DDD" w:rsidP="00433D7D">
            <w:pPr>
              <w:pStyle w:val="Table-Left7"/>
              <w:rPr>
                <w:lang w:eastAsia="en-AU"/>
              </w:rPr>
            </w:pPr>
            <w:r w:rsidRPr="00B230C6">
              <w:rPr>
                <w:lang w:eastAsia="en-AU"/>
              </w:rPr>
              <w:t xml:space="preserve">Research Performance Evaluation Framework </w:t>
            </w:r>
            <w:r w:rsidR="00D62859">
              <w:rPr>
                <w:noProof/>
                <w:lang w:eastAsia="en-AU"/>
              </w:rPr>
              <w:t>(</w:t>
            </w:r>
            <w:proofErr w:type="spellStart"/>
            <w:r w:rsidR="00D62859" w:rsidRPr="00D62859">
              <w:t>Schapper</w:t>
            </w:r>
            <w:proofErr w:type="spellEnd"/>
            <w:r w:rsidR="00D62859" w:rsidRPr="00D62859">
              <w:t xml:space="preserve"> et al., 2012</w:t>
            </w:r>
            <w:r w:rsidR="00D62859">
              <w:rPr>
                <w:noProof/>
                <w:lang w:eastAsia="en-AU"/>
              </w:rPr>
              <w:t>)</w:t>
            </w:r>
          </w:p>
        </w:tc>
        <w:tc>
          <w:tcPr>
            <w:tcW w:w="5606" w:type="dxa"/>
            <w:shd w:val="clear" w:color="auto" w:fill="F2F2F2" w:themeFill="background1" w:themeFillShade="F2"/>
            <w:vAlign w:val="center"/>
            <w:hideMark/>
          </w:tcPr>
          <w:p w14:paraId="1ADE52AF" w14:textId="77777777" w:rsidR="00802DDD" w:rsidRPr="00B230C6" w:rsidRDefault="00802DDD" w:rsidP="00433D7D">
            <w:pPr>
              <w:pStyle w:val="Table-Left7"/>
              <w:rPr>
                <w:lang w:eastAsia="en-AU"/>
              </w:rPr>
            </w:pPr>
            <w:r w:rsidRPr="00B230C6">
              <w:rPr>
                <w:lang w:eastAsia="en-AU"/>
              </w:rPr>
              <w:t>The Research Performance Evaluation Framework, developed at the Murdoch Children's Research Institute and introduced in 2011, assesses research performance in medical research. It evaluates the social and economic impacts of health research funding through eight indicators that cover knowledge creation, research inputs, and various outcomes. This Australian framework supports strategic planning and internal funding distribution, aligning with national health research priorities to ensure accountability and promote research excellence</w:t>
            </w:r>
            <w:r>
              <w:rPr>
                <w:lang w:eastAsia="en-AU"/>
              </w:rPr>
              <w:t>.</w:t>
            </w:r>
          </w:p>
        </w:tc>
        <w:tc>
          <w:tcPr>
            <w:tcW w:w="1701" w:type="dxa"/>
            <w:shd w:val="clear" w:color="auto" w:fill="F2F2F2" w:themeFill="background1" w:themeFillShade="F2"/>
            <w:vAlign w:val="center"/>
            <w:hideMark/>
          </w:tcPr>
          <w:p w14:paraId="5E16BBFE" w14:textId="77777777" w:rsidR="00802DDD" w:rsidRPr="00B230C6" w:rsidRDefault="00802DDD" w:rsidP="00433D7D">
            <w:pPr>
              <w:pStyle w:val="Table-Left7"/>
              <w:rPr>
                <w:lang w:eastAsia="en-AU"/>
              </w:rPr>
            </w:pPr>
            <w:r w:rsidRPr="00B230C6">
              <w:rPr>
                <w:lang w:eastAsia="en-AU"/>
              </w:rPr>
              <w:t>Knowledge creation, commerciali</w:t>
            </w:r>
            <w:r>
              <w:rPr>
                <w:lang w:eastAsia="en-AU"/>
              </w:rPr>
              <w:t>s</w:t>
            </w:r>
            <w:r w:rsidRPr="00B230C6">
              <w:rPr>
                <w:lang w:eastAsia="en-AU"/>
              </w:rPr>
              <w:t>ation, public health</w:t>
            </w:r>
          </w:p>
        </w:tc>
        <w:tc>
          <w:tcPr>
            <w:tcW w:w="2268" w:type="dxa"/>
            <w:shd w:val="clear" w:color="auto" w:fill="F2F2F2" w:themeFill="background1" w:themeFillShade="F2"/>
            <w:vAlign w:val="center"/>
            <w:hideMark/>
          </w:tcPr>
          <w:p w14:paraId="2936F6DC" w14:textId="77777777" w:rsidR="00802DDD" w:rsidRPr="00B230C6" w:rsidRDefault="00802DDD" w:rsidP="00433D7D">
            <w:pPr>
              <w:pStyle w:val="Table-Left7"/>
              <w:rPr>
                <w:lang w:eastAsia="en-AU"/>
              </w:rPr>
            </w:pPr>
            <w:r w:rsidRPr="00B230C6">
              <w:rPr>
                <w:lang w:eastAsia="en-AU"/>
              </w:rPr>
              <w:t>Knowledge Creation, Research Inputs, Commercial, Clinical &amp; Public Health Outcomes</w:t>
            </w:r>
          </w:p>
        </w:tc>
        <w:tc>
          <w:tcPr>
            <w:tcW w:w="2613" w:type="dxa"/>
            <w:shd w:val="clear" w:color="auto" w:fill="F2F2F2" w:themeFill="background1" w:themeFillShade="F2"/>
            <w:vAlign w:val="center"/>
            <w:hideMark/>
          </w:tcPr>
          <w:p w14:paraId="3CA92BDD" w14:textId="77777777" w:rsidR="00802DDD" w:rsidRPr="00B230C6" w:rsidRDefault="00802DDD" w:rsidP="00433D7D">
            <w:pPr>
              <w:pStyle w:val="Table-Left7"/>
              <w:rPr>
                <w:lang w:eastAsia="en-AU"/>
              </w:rPr>
            </w:pPr>
            <w:r w:rsidRPr="00B230C6">
              <w:rPr>
                <w:lang w:eastAsia="en-AU"/>
              </w:rPr>
              <w:t>Peer-reviewed publications, funding, research students, patents, commercialisation, adoption and implementation of research findings</w:t>
            </w:r>
          </w:p>
        </w:tc>
      </w:tr>
      <w:tr w:rsidR="00802DDD" w:rsidRPr="00B230C6" w14:paraId="66DF3C64" w14:textId="77777777" w:rsidTr="00F55019">
        <w:trPr>
          <w:trHeight w:val="20"/>
        </w:trPr>
        <w:tc>
          <w:tcPr>
            <w:tcW w:w="0" w:type="auto"/>
            <w:shd w:val="clear" w:color="auto" w:fill="auto"/>
            <w:vAlign w:val="center"/>
            <w:hideMark/>
          </w:tcPr>
          <w:p w14:paraId="6A1D81AA" w14:textId="11335F80" w:rsidR="00802DDD" w:rsidRPr="00B230C6" w:rsidRDefault="00802DDD" w:rsidP="00433D7D">
            <w:pPr>
              <w:pStyle w:val="Table-Left7"/>
              <w:rPr>
                <w:lang w:eastAsia="en-AU"/>
              </w:rPr>
            </w:pPr>
            <w:r w:rsidRPr="00B230C6">
              <w:rPr>
                <w:lang w:eastAsia="en-AU"/>
              </w:rPr>
              <w:t xml:space="preserve">Translational Research Organizations Performance Model </w:t>
            </w:r>
            <w:r w:rsidR="00D62859">
              <w:rPr>
                <w:noProof/>
                <w:lang w:eastAsia="en-AU"/>
              </w:rPr>
              <w:t>(</w:t>
            </w:r>
            <w:r w:rsidR="00D62859" w:rsidRPr="00D62859">
              <w:t>Pozen &amp; Kline, 2011</w:t>
            </w:r>
            <w:r w:rsidR="00D62859">
              <w:rPr>
                <w:noProof/>
                <w:lang w:eastAsia="en-AU"/>
              </w:rPr>
              <w:t>)</w:t>
            </w:r>
          </w:p>
        </w:tc>
        <w:tc>
          <w:tcPr>
            <w:tcW w:w="5606" w:type="dxa"/>
            <w:shd w:val="clear" w:color="auto" w:fill="auto"/>
            <w:vAlign w:val="center"/>
            <w:hideMark/>
          </w:tcPr>
          <w:p w14:paraId="090437DE" w14:textId="77777777" w:rsidR="00802DDD" w:rsidRPr="00B230C6" w:rsidRDefault="00802DDD" w:rsidP="00433D7D">
            <w:pPr>
              <w:pStyle w:val="Table-Left7"/>
              <w:rPr>
                <w:lang w:eastAsia="en-AU"/>
              </w:rPr>
            </w:pPr>
            <w:r w:rsidRPr="00B230C6">
              <w:rPr>
                <w:lang w:eastAsia="en-AU"/>
              </w:rPr>
              <w:t>The Translational Research Organizations (TRO) Performance Model, proposed by Robert Pozen and Heather Kline in 2011, offers a framework for assessing the effectiveness of TROs in enhancing the clinical impact of scientific discoveries. Based in the USA, this model emphasi</w:t>
            </w:r>
            <w:r>
              <w:rPr>
                <w:lang w:eastAsia="en-AU"/>
              </w:rPr>
              <w:t>s</w:t>
            </w:r>
            <w:r w:rsidRPr="00B230C6">
              <w:rPr>
                <w:lang w:eastAsia="en-AU"/>
              </w:rPr>
              <w:t>es seven key dimensions: funding, talent, creation, validation, dissemination, external uptake, and collaboration. It encourages organi</w:t>
            </w:r>
            <w:r>
              <w:rPr>
                <w:lang w:eastAsia="en-AU"/>
              </w:rPr>
              <w:t>s</w:t>
            </w:r>
            <w:r w:rsidRPr="00B230C6">
              <w:rPr>
                <w:lang w:eastAsia="en-AU"/>
              </w:rPr>
              <w:t xml:space="preserve">ations to establish specific goals and develop Key Performance Indicators (KPIs) to track progress, facilitating accountability and strategic alignment while addressing the unique challenges of translational research. This model aligns with national priorities for improving healthcare outcomes </w:t>
            </w:r>
            <w:r>
              <w:rPr>
                <w:lang w:eastAsia="en-AU"/>
              </w:rPr>
              <w:t>by</w:t>
            </w:r>
            <w:r w:rsidRPr="00B230C6">
              <w:rPr>
                <w:lang w:eastAsia="en-AU"/>
              </w:rPr>
              <w:t xml:space="preserve"> efficient</w:t>
            </w:r>
            <w:r>
              <w:rPr>
                <w:lang w:eastAsia="en-AU"/>
              </w:rPr>
              <w:t>ly</w:t>
            </w:r>
            <w:r w:rsidRPr="00B230C6">
              <w:rPr>
                <w:lang w:eastAsia="en-AU"/>
              </w:rPr>
              <w:t xml:space="preserve"> translatin</w:t>
            </w:r>
            <w:r>
              <w:rPr>
                <w:lang w:eastAsia="en-AU"/>
              </w:rPr>
              <w:t>g</w:t>
            </w:r>
            <w:r w:rsidRPr="00B230C6">
              <w:rPr>
                <w:lang w:eastAsia="en-AU"/>
              </w:rPr>
              <w:t xml:space="preserve"> research into practice.</w:t>
            </w:r>
          </w:p>
        </w:tc>
        <w:tc>
          <w:tcPr>
            <w:tcW w:w="1701" w:type="dxa"/>
            <w:shd w:val="clear" w:color="auto" w:fill="auto"/>
            <w:vAlign w:val="center"/>
            <w:hideMark/>
          </w:tcPr>
          <w:p w14:paraId="01E002B7" w14:textId="77777777" w:rsidR="00802DDD" w:rsidRPr="00B230C6" w:rsidRDefault="00802DDD" w:rsidP="00433D7D">
            <w:pPr>
              <w:pStyle w:val="Table-Left7"/>
              <w:rPr>
                <w:lang w:eastAsia="en-AU"/>
              </w:rPr>
            </w:pPr>
            <w:r w:rsidRPr="00B230C6">
              <w:rPr>
                <w:lang w:eastAsia="en-AU"/>
              </w:rPr>
              <w:t>Research funding, validation, collaboration</w:t>
            </w:r>
          </w:p>
        </w:tc>
        <w:tc>
          <w:tcPr>
            <w:tcW w:w="2268" w:type="dxa"/>
            <w:shd w:val="clear" w:color="auto" w:fill="auto"/>
            <w:vAlign w:val="center"/>
            <w:hideMark/>
          </w:tcPr>
          <w:p w14:paraId="09D4C967" w14:textId="77777777" w:rsidR="00802DDD" w:rsidRPr="00B230C6" w:rsidRDefault="00802DDD" w:rsidP="00433D7D">
            <w:pPr>
              <w:pStyle w:val="Table-Left7"/>
              <w:rPr>
                <w:lang w:eastAsia="en-AU"/>
              </w:rPr>
            </w:pPr>
            <w:r w:rsidRPr="00B230C6">
              <w:rPr>
                <w:lang w:eastAsia="en-AU"/>
              </w:rPr>
              <w:t>Funding KPIs, Talent KPIs, Creation KPIs, Validation KPIs, Dissemination KPIs, Uptake KPIs, Collaboration KPIs</w:t>
            </w:r>
          </w:p>
        </w:tc>
        <w:tc>
          <w:tcPr>
            <w:tcW w:w="2613" w:type="dxa"/>
            <w:shd w:val="clear" w:color="auto" w:fill="auto"/>
            <w:vAlign w:val="center"/>
            <w:hideMark/>
          </w:tcPr>
          <w:p w14:paraId="433F1A42" w14:textId="77777777" w:rsidR="00802DDD" w:rsidRPr="00B230C6" w:rsidRDefault="00802DDD" w:rsidP="00433D7D">
            <w:pPr>
              <w:pStyle w:val="Table-Left7"/>
              <w:rPr>
                <w:lang w:eastAsia="en-AU"/>
              </w:rPr>
            </w:pPr>
            <w:r w:rsidRPr="00B230C6">
              <w:rPr>
                <w:lang w:eastAsia="en-AU"/>
              </w:rPr>
              <w:t>Grant dollars secured, Peer-reviewed publications, Citations, Licensing agreements, Patents, Spinoffs, Partnerships, Co-authorship</w:t>
            </w:r>
          </w:p>
        </w:tc>
      </w:tr>
      <w:tr w:rsidR="00802DDD" w:rsidRPr="00B230C6" w14:paraId="6D22ACA5" w14:textId="77777777" w:rsidTr="00F55019">
        <w:trPr>
          <w:trHeight w:val="20"/>
        </w:trPr>
        <w:tc>
          <w:tcPr>
            <w:tcW w:w="0" w:type="auto"/>
            <w:shd w:val="clear" w:color="auto" w:fill="F2F2F2" w:themeFill="background1" w:themeFillShade="F2"/>
            <w:vAlign w:val="center"/>
            <w:hideMark/>
          </w:tcPr>
          <w:p w14:paraId="1D1CC4DD" w14:textId="13FEE25D" w:rsidR="00802DDD" w:rsidRPr="00B230C6" w:rsidRDefault="00802DDD" w:rsidP="00433D7D">
            <w:pPr>
              <w:pStyle w:val="Table-Left7"/>
              <w:rPr>
                <w:lang w:eastAsia="en-AU"/>
              </w:rPr>
            </w:pPr>
            <w:r w:rsidRPr="00B230C6">
              <w:rPr>
                <w:lang w:eastAsia="en-AU"/>
              </w:rPr>
              <w:t xml:space="preserve">Health Services Research Impact Framework </w:t>
            </w:r>
            <w:r w:rsidR="00D62859">
              <w:rPr>
                <w:noProof/>
                <w:lang w:eastAsia="en-AU"/>
              </w:rPr>
              <w:t>(</w:t>
            </w:r>
            <w:proofErr w:type="spellStart"/>
            <w:r w:rsidR="00D62859" w:rsidRPr="00D62859">
              <w:t>Buykx</w:t>
            </w:r>
            <w:proofErr w:type="spellEnd"/>
            <w:r w:rsidR="00D62859" w:rsidRPr="00D62859">
              <w:t xml:space="preserve"> et al., 2012</w:t>
            </w:r>
            <w:r w:rsidR="00D62859">
              <w:rPr>
                <w:noProof/>
                <w:lang w:eastAsia="en-AU"/>
              </w:rPr>
              <w:t>)</w:t>
            </w:r>
          </w:p>
        </w:tc>
        <w:tc>
          <w:tcPr>
            <w:tcW w:w="5606" w:type="dxa"/>
            <w:shd w:val="clear" w:color="auto" w:fill="F2F2F2" w:themeFill="background1" w:themeFillShade="F2"/>
            <w:vAlign w:val="center"/>
            <w:hideMark/>
          </w:tcPr>
          <w:p w14:paraId="73B9016A" w14:textId="77777777" w:rsidR="00802DDD" w:rsidRPr="00B230C6" w:rsidRDefault="00802DDD" w:rsidP="00433D7D">
            <w:pPr>
              <w:pStyle w:val="Table-Left7"/>
              <w:rPr>
                <w:lang w:eastAsia="en-AU"/>
              </w:rPr>
            </w:pPr>
            <w:r w:rsidRPr="00B230C6">
              <w:rPr>
                <w:lang w:eastAsia="en-AU"/>
              </w:rPr>
              <w:t>The Health Services Research Impact Framework, developed in 2012 in Australia, provides a structured approach to measuring the impact of primary healthcare research. This framework integrates elements from existing models, emphasi</w:t>
            </w:r>
            <w:r>
              <w:rPr>
                <w:lang w:eastAsia="en-AU"/>
              </w:rPr>
              <w:t>s</w:t>
            </w:r>
            <w:r w:rsidRPr="00B230C6">
              <w:rPr>
                <w:lang w:eastAsia="en-AU"/>
              </w:rPr>
              <w:t>ing the dissemination (producer push) and uptake (user pull) of research findings. It categori</w:t>
            </w:r>
            <w:r>
              <w:rPr>
                <w:lang w:eastAsia="en-AU"/>
              </w:rPr>
              <w:t>s</w:t>
            </w:r>
            <w:r w:rsidRPr="00B230C6">
              <w:rPr>
                <w:lang w:eastAsia="en-AU"/>
              </w:rPr>
              <w:t xml:space="preserve">es impacts into four main areas: research-related, policy, service, and societal impacts, ensuring a comprehensive evaluation of how research influences various stakeholders, including policymakers and the </w:t>
            </w:r>
            <w:proofErr w:type="gramStart"/>
            <w:r w:rsidRPr="00B230C6">
              <w:rPr>
                <w:lang w:eastAsia="en-AU"/>
              </w:rPr>
              <w:t>general public</w:t>
            </w:r>
            <w:proofErr w:type="gramEnd"/>
            <w:r w:rsidRPr="00B230C6">
              <w:rPr>
                <w:lang w:eastAsia="en-AU"/>
              </w:rPr>
              <w:t>. The framework aligns with national priorities to enhance the relevance of research to health policy and practice, ensuring accountability in funding and promoting evidence-based decision-making</w:t>
            </w:r>
            <w:r>
              <w:rPr>
                <w:lang w:eastAsia="en-AU"/>
              </w:rPr>
              <w:t>.</w:t>
            </w:r>
            <w:r w:rsidRPr="00B230C6">
              <w:rPr>
                <w:rFonts w:ascii="Arial" w:hAnsi="Arial" w:cs="Arial"/>
                <w:lang w:eastAsia="en-AU"/>
              </w:rPr>
              <w:t>​</w:t>
            </w:r>
          </w:p>
        </w:tc>
        <w:tc>
          <w:tcPr>
            <w:tcW w:w="1701" w:type="dxa"/>
            <w:shd w:val="clear" w:color="auto" w:fill="F2F2F2" w:themeFill="background1" w:themeFillShade="F2"/>
            <w:vAlign w:val="center"/>
            <w:hideMark/>
          </w:tcPr>
          <w:p w14:paraId="1B782304" w14:textId="77777777" w:rsidR="00802DDD" w:rsidRPr="00B230C6" w:rsidRDefault="00802DDD" w:rsidP="00433D7D">
            <w:pPr>
              <w:pStyle w:val="Table-Left7"/>
              <w:rPr>
                <w:lang w:eastAsia="en-AU"/>
              </w:rPr>
            </w:pPr>
            <w:r w:rsidRPr="00B230C6">
              <w:rPr>
                <w:lang w:eastAsia="en-AU"/>
              </w:rPr>
              <w:t>Knowledge, policy, services, societal impact</w:t>
            </w:r>
          </w:p>
        </w:tc>
        <w:tc>
          <w:tcPr>
            <w:tcW w:w="2268" w:type="dxa"/>
            <w:shd w:val="clear" w:color="auto" w:fill="F2F2F2" w:themeFill="background1" w:themeFillShade="F2"/>
            <w:vAlign w:val="center"/>
            <w:hideMark/>
          </w:tcPr>
          <w:p w14:paraId="6AE40C52" w14:textId="77777777" w:rsidR="00802DDD" w:rsidRPr="00B230C6" w:rsidRDefault="00802DDD" w:rsidP="00433D7D">
            <w:pPr>
              <w:pStyle w:val="Table-Left7"/>
              <w:rPr>
                <w:lang w:eastAsia="en-AU"/>
              </w:rPr>
            </w:pPr>
            <w:r w:rsidRPr="00B230C6">
              <w:rPr>
                <w:lang w:eastAsia="en-AU"/>
              </w:rPr>
              <w:t>Advancing Knowledge, Policy Impact, Service Impact, Societal Impact</w:t>
            </w:r>
          </w:p>
        </w:tc>
        <w:tc>
          <w:tcPr>
            <w:tcW w:w="2613" w:type="dxa"/>
            <w:shd w:val="clear" w:color="auto" w:fill="F2F2F2" w:themeFill="background1" w:themeFillShade="F2"/>
            <w:vAlign w:val="center"/>
            <w:hideMark/>
          </w:tcPr>
          <w:p w14:paraId="49B984A6" w14:textId="77777777" w:rsidR="00802DDD" w:rsidRPr="00B230C6" w:rsidRDefault="00802DDD" w:rsidP="00433D7D">
            <w:pPr>
              <w:pStyle w:val="Table-Left7"/>
              <w:rPr>
                <w:lang w:eastAsia="en-AU"/>
              </w:rPr>
            </w:pPr>
            <w:r w:rsidRPr="00B230C6">
              <w:rPr>
                <w:lang w:eastAsia="en-AU"/>
              </w:rPr>
              <w:t>Peer-reviewed publications, Clinical guidelines, Capacity building, Policy briefs, Validated research adoption, Health outcomes</w:t>
            </w:r>
          </w:p>
        </w:tc>
      </w:tr>
      <w:tr w:rsidR="00802DDD" w:rsidRPr="00B230C6" w14:paraId="668FC581" w14:textId="77777777" w:rsidTr="00F55019">
        <w:trPr>
          <w:trHeight w:val="20"/>
        </w:trPr>
        <w:tc>
          <w:tcPr>
            <w:tcW w:w="0" w:type="auto"/>
            <w:shd w:val="clear" w:color="auto" w:fill="auto"/>
            <w:vAlign w:val="center"/>
            <w:hideMark/>
          </w:tcPr>
          <w:p w14:paraId="664615B3" w14:textId="06F7C891" w:rsidR="00802DDD" w:rsidRPr="00B230C6" w:rsidRDefault="00802DDD" w:rsidP="00433D7D">
            <w:pPr>
              <w:pStyle w:val="Table-Left7"/>
              <w:rPr>
                <w:lang w:eastAsia="en-AU"/>
              </w:rPr>
            </w:pPr>
            <w:r w:rsidRPr="00B230C6">
              <w:rPr>
                <w:lang w:eastAsia="en-AU"/>
              </w:rPr>
              <w:t xml:space="preserve">Translational Research Impact Scale </w:t>
            </w:r>
            <w:r w:rsidR="00D62859">
              <w:rPr>
                <w:noProof/>
                <w:lang w:eastAsia="en-AU"/>
              </w:rPr>
              <w:t>(</w:t>
            </w:r>
            <w:r w:rsidR="00D62859" w:rsidRPr="00D62859">
              <w:t>Dembe et al., 2014</w:t>
            </w:r>
            <w:r w:rsidR="00D62859">
              <w:rPr>
                <w:noProof/>
                <w:lang w:eastAsia="en-AU"/>
              </w:rPr>
              <w:t>)</w:t>
            </w:r>
          </w:p>
        </w:tc>
        <w:tc>
          <w:tcPr>
            <w:tcW w:w="5606" w:type="dxa"/>
            <w:shd w:val="clear" w:color="auto" w:fill="auto"/>
            <w:vAlign w:val="center"/>
            <w:hideMark/>
          </w:tcPr>
          <w:p w14:paraId="29BB5343" w14:textId="77777777" w:rsidR="00802DDD" w:rsidRPr="00B230C6" w:rsidRDefault="00802DDD" w:rsidP="00433D7D">
            <w:pPr>
              <w:pStyle w:val="Table-Left7"/>
              <w:rPr>
                <w:lang w:eastAsia="en-AU"/>
              </w:rPr>
            </w:pPr>
            <w:r>
              <w:rPr>
                <w:lang w:eastAsia="en-AU"/>
              </w:rPr>
              <w:t>T</w:t>
            </w:r>
            <w:r w:rsidRPr="00B230C6">
              <w:rPr>
                <w:lang w:eastAsia="en-AU"/>
              </w:rPr>
              <w:t>he Translational Research Impact Scale (TRIS) was published in 2014 in the United States. This framework provides a systematic approach to assess</w:t>
            </w:r>
            <w:r>
              <w:rPr>
                <w:lang w:eastAsia="en-AU"/>
              </w:rPr>
              <w:t>ing</w:t>
            </w:r>
            <w:r w:rsidRPr="00B230C6">
              <w:rPr>
                <w:lang w:eastAsia="en-AU"/>
              </w:rPr>
              <w:t xml:space="preserve"> the impact of translational research through a set of 72 indicators organi</w:t>
            </w:r>
            <w:r>
              <w:rPr>
                <w:lang w:eastAsia="en-AU"/>
              </w:rPr>
              <w:t>s</w:t>
            </w:r>
            <w:r w:rsidRPr="00B230C6">
              <w:rPr>
                <w:lang w:eastAsia="en-AU"/>
              </w:rPr>
              <w:t>ed into three primary domains: research-related impacts, translational impacts, and societal impacts. It aims to bridge the gap between research findings and their practical applications, aligning with national health priorities to enhance health outcomes and the effectiveness of research investments</w:t>
            </w:r>
            <w:r>
              <w:rPr>
                <w:lang w:eastAsia="en-AU"/>
              </w:rPr>
              <w:t>.</w:t>
            </w:r>
          </w:p>
        </w:tc>
        <w:tc>
          <w:tcPr>
            <w:tcW w:w="1701" w:type="dxa"/>
            <w:shd w:val="clear" w:color="auto" w:fill="auto"/>
            <w:vAlign w:val="center"/>
            <w:hideMark/>
          </w:tcPr>
          <w:p w14:paraId="12760603" w14:textId="77777777" w:rsidR="00802DDD" w:rsidRPr="00B230C6" w:rsidRDefault="00802DDD" w:rsidP="00433D7D">
            <w:pPr>
              <w:pStyle w:val="Table-Left7"/>
              <w:rPr>
                <w:lang w:eastAsia="en-AU"/>
              </w:rPr>
            </w:pPr>
            <w:r w:rsidRPr="00B230C6">
              <w:rPr>
                <w:lang w:eastAsia="en-AU"/>
              </w:rPr>
              <w:t>Research quality, clinical practice, societal impact</w:t>
            </w:r>
          </w:p>
        </w:tc>
        <w:tc>
          <w:tcPr>
            <w:tcW w:w="2268" w:type="dxa"/>
            <w:shd w:val="clear" w:color="auto" w:fill="auto"/>
            <w:vAlign w:val="center"/>
            <w:hideMark/>
          </w:tcPr>
          <w:p w14:paraId="54D15E4E" w14:textId="77777777" w:rsidR="00802DDD" w:rsidRPr="00B230C6" w:rsidRDefault="00802DDD" w:rsidP="00433D7D">
            <w:pPr>
              <w:pStyle w:val="Table-Left7"/>
              <w:rPr>
                <w:lang w:eastAsia="en-AU"/>
              </w:rPr>
            </w:pPr>
            <w:r w:rsidRPr="00B230C6">
              <w:rPr>
                <w:lang w:eastAsia="en-AU"/>
              </w:rPr>
              <w:t>Research Impacts, Translational Impacts, Societal Impacts</w:t>
            </w:r>
          </w:p>
        </w:tc>
        <w:tc>
          <w:tcPr>
            <w:tcW w:w="2613" w:type="dxa"/>
            <w:shd w:val="clear" w:color="auto" w:fill="auto"/>
            <w:vAlign w:val="center"/>
            <w:hideMark/>
          </w:tcPr>
          <w:p w14:paraId="7F1BBF88" w14:textId="77777777" w:rsidR="00802DDD" w:rsidRPr="00B230C6" w:rsidRDefault="00802DDD" w:rsidP="00433D7D">
            <w:pPr>
              <w:pStyle w:val="Table-Left7"/>
              <w:rPr>
                <w:lang w:eastAsia="en-AU"/>
              </w:rPr>
            </w:pPr>
            <w:r w:rsidRPr="00B230C6">
              <w:rPr>
                <w:lang w:eastAsia="en-AU"/>
              </w:rPr>
              <w:t>Research networks, IRB processes, grant submissions, patents, clinical guidelines, health care improvement, job growth, policy changes</w:t>
            </w:r>
          </w:p>
        </w:tc>
      </w:tr>
      <w:tr w:rsidR="00802DDD" w:rsidRPr="00B230C6" w14:paraId="0207403E" w14:textId="77777777" w:rsidTr="00F55019">
        <w:trPr>
          <w:trHeight w:val="20"/>
        </w:trPr>
        <w:tc>
          <w:tcPr>
            <w:tcW w:w="0" w:type="auto"/>
            <w:shd w:val="clear" w:color="auto" w:fill="F2F2F2" w:themeFill="background1" w:themeFillShade="F2"/>
            <w:vAlign w:val="center"/>
            <w:hideMark/>
          </w:tcPr>
          <w:p w14:paraId="3498E4DE" w14:textId="76A5754B" w:rsidR="00802DDD" w:rsidRPr="00B230C6" w:rsidRDefault="00802DDD" w:rsidP="00433D7D">
            <w:pPr>
              <w:pStyle w:val="Table-Left7"/>
              <w:rPr>
                <w:lang w:eastAsia="en-AU"/>
              </w:rPr>
            </w:pPr>
            <w:r w:rsidRPr="00B230C6">
              <w:rPr>
                <w:lang w:eastAsia="en-AU"/>
              </w:rPr>
              <w:lastRenderedPageBreak/>
              <w:t xml:space="preserve">Hunter Medical Research Institute Framework </w:t>
            </w:r>
            <w:r w:rsidR="00D62859">
              <w:rPr>
                <w:noProof/>
                <w:lang w:eastAsia="en-AU"/>
              </w:rPr>
              <w:t>(</w:t>
            </w:r>
            <w:r w:rsidR="00D62859" w:rsidRPr="00D62859">
              <w:t>Searles et al., 2016</w:t>
            </w:r>
            <w:r w:rsidR="00D62859">
              <w:rPr>
                <w:noProof/>
                <w:lang w:eastAsia="en-AU"/>
              </w:rPr>
              <w:t>)</w:t>
            </w:r>
          </w:p>
        </w:tc>
        <w:tc>
          <w:tcPr>
            <w:tcW w:w="5606" w:type="dxa"/>
            <w:shd w:val="clear" w:color="auto" w:fill="F2F2F2" w:themeFill="background1" w:themeFillShade="F2"/>
            <w:vAlign w:val="center"/>
            <w:hideMark/>
          </w:tcPr>
          <w:p w14:paraId="6890EDEA" w14:textId="77777777" w:rsidR="00802DDD" w:rsidRPr="00B230C6" w:rsidRDefault="00802DDD" w:rsidP="00433D7D">
            <w:pPr>
              <w:pStyle w:val="Table-Left7"/>
              <w:rPr>
                <w:lang w:eastAsia="en-AU"/>
              </w:rPr>
            </w:pPr>
            <w:r w:rsidRPr="00B230C6">
              <w:rPr>
                <w:lang w:eastAsia="en-AU"/>
              </w:rPr>
              <w:t xml:space="preserve">The Hunter Medical Research Institute (HMRI) Framework, known as FAIT (Framework </w:t>
            </w:r>
            <w:proofErr w:type="gramStart"/>
            <w:r w:rsidRPr="00B230C6">
              <w:rPr>
                <w:lang w:eastAsia="en-AU"/>
              </w:rPr>
              <w:t>To</w:t>
            </w:r>
            <w:proofErr w:type="gramEnd"/>
            <w:r w:rsidRPr="00B230C6">
              <w:rPr>
                <w:lang w:eastAsia="en-AU"/>
              </w:rPr>
              <w:t xml:space="preserve"> Assess the Impact from Translational Health Research), was developed in 2016 in Australia to measure and encourage research translation and impact </w:t>
            </w:r>
            <w:r>
              <w:rPr>
                <w:lang w:eastAsia="en-AU"/>
              </w:rPr>
              <w:t>o</w:t>
            </w:r>
            <w:r w:rsidRPr="00B230C6">
              <w:rPr>
                <w:lang w:eastAsia="en-AU"/>
              </w:rPr>
              <w:t>n health research. This conceptual framework integrates elements from existing models, including a modified program logic model, the Payback Framework, and Social Return on Investment (SROI). It emphasi</w:t>
            </w:r>
            <w:r>
              <w:rPr>
                <w:lang w:eastAsia="en-AU"/>
              </w:rPr>
              <w:t>s</w:t>
            </w:r>
            <w:r w:rsidRPr="00B230C6">
              <w:rPr>
                <w:lang w:eastAsia="en-AU"/>
              </w:rPr>
              <w:t>es that research translation is essential for achieving research impact and incorporates performance monitoring to guide researchers</w:t>
            </w:r>
            <w:r>
              <w:rPr>
                <w:lang w:eastAsia="en-AU"/>
              </w:rPr>
              <w:t>'</w:t>
            </w:r>
            <w:r w:rsidRPr="00B230C6">
              <w:rPr>
                <w:lang w:eastAsia="en-AU"/>
              </w:rPr>
              <w:t xml:space="preserve"> translation efforts. The FAIT framework aligns with national priorities for improving healthcare outcomes and ensuring accountability for public research funding</w:t>
            </w:r>
            <w:r>
              <w:rPr>
                <w:lang w:eastAsia="en-AU"/>
              </w:rPr>
              <w:t>.</w:t>
            </w:r>
            <w:r w:rsidRPr="00B230C6">
              <w:rPr>
                <w:rFonts w:ascii="Arial" w:hAnsi="Arial" w:cs="Arial"/>
                <w:lang w:eastAsia="en-AU"/>
              </w:rPr>
              <w:t>​</w:t>
            </w:r>
          </w:p>
        </w:tc>
        <w:tc>
          <w:tcPr>
            <w:tcW w:w="1701" w:type="dxa"/>
            <w:shd w:val="clear" w:color="auto" w:fill="F2F2F2" w:themeFill="background1" w:themeFillShade="F2"/>
            <w:vAlign w:val="center"/>
            <w:hideMark/>
          </w:tcPr>
          <w:p w14:paraId="1B041EF9" w14:textId="77777777" w:rsidR="00802DDD" w:rsidRPr="00B230C6" w:rsidRDefault="00802DDD" w:rsidP="00433D7D">
            <w:pPr>
              <w:pStyle w:val="Table-Left7"/>
              <w:rPr>
                <w:lang w:eastAsia="en-AU"/>
              </w:rPr>
            </w:pPr>
            <w:r w:rsidRPr="00B230C6">
              <w:rPr>
                <w:lang w:eastAsia="en-AU"/>
              </w:rPr>
              <w:t>Health outcomes, policy influence, economic impact</w:t>
            </w:r>
          </w:p>
        </w:tc>
        <w:tc>
          <w:tcPr>
            <w:tcW w:w="2268" w:type="dxa"/>
            <w:shd w:val="clear" w:color="auto" w:fill="F2F2F2" w:themeFill="background1" w:themeFillShade="F2"/>
            <w:vAlign w:val="center"/>
            <w:hideMark/>
          </w:tcPr>
          <w:p w14:paraId="0824FEB1" w14:textId="77777777" w:rsidR="00802DDD" w:rsidRPr="00B230C6" w:rsidRDefault="00802DDD" w:rsidP="00433D7D">
            <w:pPr>
              <w:pStyle w:val="Table-Left7"/>
              <w:rPr>
                <w:lang w:eastAsia="en-AU"/>
              </w:rPr>
            </w:pPr>
            <w:r w:rsidRPr="00B230C6">
              <w:rPr>
                <w:lang w:eastAsia="en-AU"/>
              </w:rPr>
              <w:t>Advance Knowledge, Clinical Implementation, Community Benefit, Legislation, Economic Impact, SROI, Case Studies</w:t>
            </w:r>
          </w:p>
        </w:tc>
        <w:tc>
          <w:tcPr>
            <w:tcW w:w="2613" w:type="dxa"/>
            <w:shd w:val="clear" w:color="auto" w:fill="F2F2F2" w:themeFill="background1" w:themeFillShade="F2"/>
            <w:vAlign w:val="center"/>
            <w:hideMark/>
          </w:tcPr>
          <w:p w14:paraId="0E4B83AD" w14:textId="77777777" w:rsidR="00802DDD" w:rsidRPr="00B230C6" w:rsidRDefault="00802DDD" w:rsidP="00433D7D">
            <w:pPr>
              <w:pStyle w:val="Table-Left7"/>
              <w:rPr>
                <w:lang w:eastAsia="en-AU"/>
              </w:rPr>
            </w:pPr>
            <w:r w:rsidRPr="00B230C6">
              <w:rPr>
                <w:lang w:eastAsia="en-AU"/>
              </w:rPr>
              <w:t>PhD completions, Clinical guidelines, Quality of life (QoL) improvement, Policy citations, Cost avoided, SROI ratio</w:t>
            </w:r>
          </w:p>
        </w:tc>
      </w:tr>
      <w:tr w:rsidR="00802DDD" w:rsidRPr="00B230C6" w14:paraId="4C0FB02F" w14:textId="77777777" w:rsidTr="00F55019">
        <w:trPr>
          <w:trHeight w:val="20"/>
        </w:trPr>
        <w:tc>
          <w:tcPr>
            <w:tcW w:w="0" w:type="auto"/>
            <w:shd w:val="clear" w:color="auto" w:fill="auto"/>
            <w:vAlign w:val="bottom"/>
          </w:tcPr>
          <w:p w14:paraId="6B384D6F" w14:textId="55B33488" w:rsidR="00802DDD" w:rsidRPr="00B230C6" w:rsidRDefault="00802DDD" w:rsidP="00433D7D">
            <w:pPr>
              <w:pStyle w:val="Table-Left7"/>
              <w:rPr>
                <w:lang w:eastAsia="en-AU"/>
              </w:rPr>
            </w:pPr>
            <w:r w:rsidRPr="00CF6B93">
              <w:rPr>
                <w:rFonts w:ascii="Aptos Narrow" w:hAnsi="Aptos Narrow"/>
                <w:lang w:eastAsia="en-AU"/>
              </w:rPr>
              <w:t xml:space="preserve">Research Impact Assessment Framework </w:t>
            </w:r>
            <w:r w:rsidR="00D62859">
              <w:rPr>
                <w:rFonts w:ascii="Aptos Narrow" w:hAnsi="Aptos Narrow"/>
                <w:noProof/>
                <w:lang w:eastAsia="en-AU"/>
              </w:rPr>
              <w:t>(</w:t>
            </w:r>
            <w:r w:rsidR="00D62859" w:rsidRPr="00D62859">
              <w:t>Ward et al., 2023</w:t>
            </w:r>
            <w:r w:rsidR="00D62859">
              <w:rPr>
                <w:rFonts w:ascii="Aptos Narrow" w:hAnsi="Aptos Narrow"/>
                <w:noProof/>
                <w:lang w:eastAsia="en-AU"/>
              </w:rPr>
              <w:t>)</w:t>
            </w:r>
          </w:p>
        </w:tc>
        <w:tc>
          <w:tcPr>
            <w:tcW w:w="5606" w:type="dxa"/>
            <w:shd w:val="clear" w:color="auto" w:fill="auto"/>
            <w:vAlign w:val="center"/>
          </w:tcPr>
          <w:p w14:paraId="69FF7D08" w14:textId="77777777" w:rsidR="00802DDD" w:rsidRPr="00B230C6" w:rsidRDefault="00802DDD" w:rsidP="00433D7D">
            <w:pPr>
              <w:pStyle w:val="Table-Left7"/>
              <w:rPr>
                <w:lang w:eastAsia="en-AU"/>
              </w:rPr>
            </w:pPr>
            <w:r>
              <w:rPr>
                <w:rFonts w:ascii="Aptos Narrow" w:hAnsi="Aptos Narrow"/>
                <w:lang w:eastAsia="en-AU"/>
              </w:rPr>
              <w:t>T</w:t>
            </w:r>
            <w:r w:rsidRPr="00CF6B93">
              <w:rPr>
                <w:rFonts w:ascii="Aptos Narrow" w:hAnsi="Aptos Narrow"/>
                <w:lang w:eastAsia="en-AU"/>
              </w:rPr>
              <w:t xml:space="preserve">he Research Impact Assessment Framework for </w:t>
            </w:r>
            <w:r>
              <w:rPr>
                <w:rFonts w:ascii="Aptos Narrow" w:hAnsi="Aptos Narrow"/>
                <w:lang w:eastAsia="en-AU"/>
              </w:rPr>
              <w:t>H</w:t>
            </w:r>
            <w:r w:rsidRPr="00CF6B93">
              <w:rPr>
                <w:rFonts w:ascii="Aptos Narrow" w:hAnsi="Aptos Narrow"/>
                <w:lang w:eastAsia="en-AU"/>
              </w:rPr>
              <w:t xml:space="preserve">ealth and </w:t>
            </w:r>
            <w:r>
              <w:rPr>
                <w:rFonts w:ascii="Aptos Narrow" w:hAnsi="Aptos Narrow"/>
                <w:lang w:eastAsia="en-AU"/>
              </w:rPr>
              <w:t>M</w:t>
            </w:r>
            <w:r w:rsidRPr="00CF6B93">
              <w:rPr>
                <w:rFonts w:ascii="Aptos Narrow" w:hAnsi="Aptos Narrow"/>
                <w:lang w:eastAsia="en-AU"/>
              </w:rPr>
              <w:t xml:space="preserve">edical </w:t>
            </w:r>
            <w:r>
              <w:rPr>
                <w:rFonts w:ascii="Aptos Narrow" w:hAnsi="Aptos Narrow"/>
                <w:lang w:eastAsia="en-AU"/>
              </w:rPr>
              <w:t>R</w:t>
            </w:r>
            <w:r w:rsidRPr="00CF6B93">
              <w:rPr>
                <w:rFonts w:ascii="Aptos Narrow" w:hAnsi="Aptos Narrow"/>
                <w:lang w:eastAsia="en-AU"/>
              </w:rPr>
              <w:t>esearch was first published in 2019 and originate</w:t>
            </w:r>
            <w:r>
              <w:rPr>
                <w:rFonts w:ascii="Aptos Narrow" w:hAnsi="Aptos Narrow"/>
                <w:lang w:eastAsia="en-AU"/>
              </w:rPr>
              <w:t>d</w:t>
            </w:r>
            <w:r w:rsidRPr="00CF6B93">
              <w:rPr>
                <w:rFonts w:ascii="Aptos Narrow" w:hAnsi="Aptos Narrow"/>
                <w:lang w:eastAsia="en-AU"/>
              </w:rPr>
              <w:t xml:space="preserve"> </w:t>
            </w:r>
            <w:r>
              <w:rPr>
                <w:rFonts w:ascii="Aptos Narrow" w:hAnsi="Aptos Narrow"/>
                <w:lang w:eastAsia="en-AU"/>
              </w:rPr>
              <w:t>in</w:t>
            </w:r>
            <w:r w:rsidRPr="00CF6B93">
              <w:rPr>
                <w:rFonts w:ascii="Aptos Narrow" w:hAnsi="Aptos Narrow"/>
                <w:lang w:eastAsia="en-AU"/>
              </w:rPr>
              <w:t xml:space="preserve"> Australia. This framework integrates various foundational models, primarily leveraging the logic model approach to </w:t>
            </w:r>
            <w:r>
              <w:rPr>
                <w:rFonts w:ascii="Aptos Narrow" w:hAnsi="Aptos Narrow"/>
                <w:lang w:eastAsia="en-AU"/>
              </w:rPr>
              <w:t xml:space="preserve">effectively </w:t>
            </w:r>
            <w:r w:rsidRPr="00CF6B93">
              <w:rPr>
                <w:rFonts w:ascii="Aptos Narrow" w:hAnsi="Aptos Narrow"/>
                <w:lang w:eastAsia="en-AU"/>
              </w:rPr>
              <w:t>map research inputs, outputs, and outcomes. It aligns with national health priorities by emphasi</w:t>
            </w:r>
            <w:r>
              <w:rPr>
                <w:rFonts w:ascii="Aptos Narrow" w:hAnsi="Aptos Narrow"/>
                <w:lang w:eastAsia="en-AU"/>
              </w:rPr>
              <w:t>s</w:t>
            </w:r>
            <w:r w:rsidRPr="00CF6B93">
              <w:rPr>
                <w:rFonts w:ascii="Aptos Narrow" w:hAnsi="Aptos Narrow"/>
                <w:lang w:eastAsia="en-AU"/>
              </w:rPr>
              <w:t>ing the translation of research into health policy and practice, ensuring that health and medical research contribute significantly to improving health outcomes and informing healthcare systems. The framework also aims to enhance stakeholder engagement, demonstrating accountability and value for public investment in research.</w:t>
            </w:r>
          </w:p>
        </w:tc>
        <w:tc>
          <w:tcPr>
            <w:tcW w:w="1701" w:type="dxa"/>
            <w:shd w:val="clear" w:color="auto" w:fill="auto"/>
            <w:vAlign w:val="center"/>
          </w:tcPr>
          <w:p w14:paraId="096C876F" w14:textId="77777777" w:rsidR="00802DDD" w:rsidRPr="00B230C6" w:rsidRDefault="00802DDD" w:rsidP="00433D7D">
            <w:pPr>
              <w:pStyle w:val="Table-Left7"/>
              <w:rPr>
                <w:lang w:eastAsia="en-AU"/>
              </w:rPr>
            </w:pPr>
            <w:r w:rsidRPr="00CF6B93">
              <w:rPr>
                <w:rFonts w:ascii="Aptos Narrow" w:hAnsi="Aptos Narrow"/>
                <w:lang w:eastAsia="en-AU"/>
              </w:rPr>
              <w:t>Health outcomes, Policy and practice change, Economic benefits, Improved health systems, Enhanced research capability</w:t>
            </w:r>
          </w:p>
        </w:tc>
        <w:tc>
          <w:tcPr>
            <w:tcW w:w="2268" w:type="dxa"/>
            <w:shd w:val="clear" w:color="auto" w:fill="auto"/>
            <w:vAlign w:val="center"/>
          </w:tcPr>
          <w:p w14:paraId="2394538A" w14:textId="77777777" w:rsidR="00802DDD" w:rsidRPr="00B230C6" w:rsidRDefault="00802DDD" w:rsidP="00433D7D">
            <w:pPr>
              <w:pStyle w:val="Table-Left7"/>
              <w:rPr>
                <w:lang w:eastAsia="en-AU"/>
              </w:rPr>
            </w:pPr>
            <w:r w:rsidRPr="00CF6B93">
              <w:rPr>
                <w:rFonts w:ascii="Aptos Narrow" w:hAnsi="Aptos Narrow"/>
                <w:lang w:eastAsia="en-AU"/>
              </w:rPr>
              <w:t>Research quality, Research relevance, Research engagement, Research translation, Research sustainability</w:t>
            </w:r>
          </w:p>
        </w:tc>
        <w:tc>
          <w:tcPr>
            <w:tcW w:w="2613" w:type="dxa"/>
            <w:shd w:val="clear" w:color="auto" w:fill="auto"/>
            <w:vAlign w:val="center"/>
          </w:tcPr>
          <w:p w14:paraId="0C55A10A" w14:textId="77777777" w:rsidR="00802DDD" w:rsidRPr="00B230C6" w:rsidRDefault="00802DDD" w:rsidP="00433D7D">
            <w:pPr>
              <w:pStyle w:val="Table-Left7"/>
              <w:rPr>
                <w:lang w:eastAsia="en-AU"/>
              </w:rPr>
            </w:pPr>
            <w:r w:rsidRPr="00CF6B93">
              <w:rPr>
                <w:rFonts w:ascii="Aptos Narrow" w:hAnsi="Aptos Narrow"/>
                <w:lang w:eastAsia="en-AU"/>
              </w:rPr>
              <w:t>Publications and citations, Research funding, Collaboration with stakeholders, Translation of research into practice, Impact on health outcomes, Policy influence, Economic return on investment</w:t>
            </w:r>
          </w:p>
        </w:tc>
      </w:tr>
      <w:tr w:rsidR="00802DDD" w:rsidRPr="005F44BF" w14:paraId="0254E8C1" w14:textId="77777777" w:rsidTr="00F55019">
        <w:trPr>
          <w:trHeight w:val="20"/>
        </w:trPr>
        <w:tc>
          <w:tcPr>
            <w:tcW w:w="0" w:type="auto"/>
            <w:gridSpan w:val="5"/>
            <w:shd w:val="clear" w:color="auto" w:fill="F2F2F2" w:themeFill="background1" w:themeFillShade="F2"/>
            <w:vAlign w:val="center"/>
          </w:tcPr>
          <w:p w14:paraId="10E6D3B8" w14:textId="77777777" w:rsidR="00802DDD" w:rsidRPr="005F44BF" w:rsidRDefault="00802DDD" w:rsidP="00433D7D">
            <w:pPr>
              <w:pStyle w:val="Table-Left7"/>
              <w:rPr>
                <w:lang w:eastAsia="en-AU"/>
              </w:rPr>
            </w:pPr>
            <w:r w:rsidRPr="00B230C6">
              <w:rPr>
                <w:rFonts w:ascii="Aptos Narrow" w:hAnsi="Aptos Narrow"/>
                <w:lang w:eastAsia="en-AU"/>
              </w:rPr>
              <w:t>Environmental Health and Safety</w:t>
            </w:r>
            <w:r>
              <w:rPr>
                <w:rFonts w:ascii="Aptos Narrow" w:hAnsi="Aptos Narrow"/>
                <w:lang w:eastAsia="en-AU"/>
              </w:rPr>
              <w:t xml:space="preserve"> Research</w:t>
            </w:r>
          </w:p>
        </w:tc>
      </w:tr>
      <w:tr w:rsidR="00802DDD" w:rsidRPr="00B230C6" w14:paraId="2B1D3A15" w14:textId="77777777" w:rsidTr="00F55019">
        <w:trPr>
          <w:trHeight w:val="20"/>
        </w:trPr>
        <w:tc>
          <w:tcPr>
            <w:tcW w:w="0" w:type="auto"/>
            <w:shd w:val="clear" w:color="auto" w:fill="auto"/>
            <w:vAlign w:val="center"/>
            <w:hideMark/>
          </w:tcPr>
          <w:p w14:paraId="0E71DC5A" w14:textId="22C00638" w:rsidR="00802DDD" w:rsidRPr="00B230C6" w:rsidRDefault="00802DDD" w:rsidP="00433D7D">
            <w:pPr>
              <w:pStyle w:val="Table-Left7"/>
              <w:rPr>
                <w:lang w:eastAsia="en-AU"/>
              </w:rPr>
            </w:pPr>
            <w:r w:rsidRPr="00B230C6">
              <w:rPr>
                <w:lang w:eastAsia="en-AU"/>
              </w:rPr>
              <w:t xml:space="preserve">NIEHS Logic Model </w:t>
            </w:r>
            <w:r w:rsidR="00D62859">
              <w:rPr>
                <w:noProof/>
                <w:lang w:eastAsia="en-AU"/>
              </w:rPr>
              <w:t>(</w:t>
            </w:r>
            <w:r w:rsidR="00D62859" w:rsidRPr="00D62859">
              <w:t>Engel-Cox et al., 2008</w:t>
            </w:r>
            <w:r w:rsidR="00D62859">
              <w:rPr>
                <w:noProof/>
                <w:lang w:eastAsia="en-AU"/>
              </w:rPr>
              <w:t>)</w:t>
            </w:r>
          </w:p>
        </w:tc>
        <w:tc>
          <w:tcPr>
            <w:tcW w:w="5606" w:type="dxa"/>
            <w:shd w:val="clear" w:color="auto" w:fill="auto"/>
            <w:vAlign w:val="center"/>
            <w:hideMark/>
          </w:tcPr>
          <w:p w14:paraId="411F30EE" w14:textId="77777777" w:rsidR="00802DDD" w:rsidRPr="00B230C6" w:rsidRDefault="00802DDD" w:rsidP="00433D7D">
            <w:pPr>
              <w:pStyle w:val="Table-Left7"/>
              <w:rPr>
                <w:lang w:eastAsia="en-AU"/>
              </w:rPr>
            </w:pPr>
            <w:r w:rsidRPr="00B230C6">
              <w:rPr>
                <w:lang w:eastAsia="en-AU"/>
              </w:rPr>
              <w:t>The National Institute of Environmental Health Sciences Logic Model was developed in 2008 in the United States. This framework is designed to guide the evaluation of programs related to environmental health by outlining the relationships between inputs, activities, outputs, and outcomes. It emphasi</w:t>
            </w:r>
            <w:r>
              <w:rPr>
                <w:lang w:eastAsia="en-AU"/>
              </w:rPr>
              <w:t>s</w:t>
            </w:r>
            <w:r w:rsidRPr="00B230C6">
              <w:rPr>
                <w:lang w:eastAsia="en-AU"/>
              </w:rPr>
              <w:t>es the importance of assessing both short-term and long-term impacts of environmental health interventions. The NIEHS Logic Model aligns with national health priorities by facilitating evidence-based decision-making and improving public health outcomes through targeted research and community engagement</w:t>
            </w:r>
            <w:r>
              <w:rPr>
                <w:lang w:eastAsia="en-AU"/>
              </w:rPr>
              <w:t>.</w:t>
            </w:r>
          </w:p>
        </w:tc>
        <w:tc>
          <w:tcPr>
            <w:tcW w:w="1701" w:type="dxa"/>
            <w:shd w:val="clear" w:color="auto" w:fill="auto"/>
            <w:vAlign w:val="center"/>
            <w:hideMark/>
          </w:tcPr>
          <w:p w14:paraId="64A4E8D6" w14:textId="77777777" w:rsidR="00802DDD" w:rsidRPr="00B230C6" w:rsidRDefault="00802DDD" w:rsidP="00433D7D">
            <w:pPr>
              <w:pStyle w:val="Table-Left7"/>
              <w:rPr>
                <w:lang w:eastAsia="en-AU"/>
              </w:rPr>
            </w:pPr>
            <w:r w:rsidRPr="00B230C6">
              <w:rPr>
                <w:lang w:eastAsia="en-AU"/>
              </w:rPr>
              <w:t>Environmental health, societal impacts</w:t>
            </w:r>
          </w:p>
        </w:tc>
        <w:tc>
          <w:tcPr>
            <w:tcW w:w="2268" w:type="dxa"/>
            <w:shd w:val="clear" w:color="auto" w:fill="auto"/>
            <w:vAlign w:val="center"/>
            <w:hideMark/>
          </w:tcPr>
          <w:p w14:paraId="2585336F" w14:textId="77777777" w:rsidR="00802DDD" w:rsidRPr="00B230C6" w:rsidRDefault="00802DDD" w:rsidP="00433D7D">
            <w:pPr>
              <w:pStyle w:val="Table-Left7"/>
              <w:rPr>
                <w:lang w:eastAsia="en-AU"/>
              </w:rPr>
            </w:pPr>
            <w:r w:rsidRPr="00B230C6">
              <w:rPr>
                <w:lang w:eastAsia="en-AU"/>
              </w:rPr>
              <w:t>Awareness, Policy Assessment, Knowledge Accumulation, Environmental/Health Impact, Societal Change</w:t>
            </w:r>
          </w:p>
        </w:tc>
        <w:tc>
          <w:tcPr>
            <w:tcW w:w="2613" w:type="dxa"/>
            <w:shd w:val="clear" w:color="auto" w:fill="auto"/>
            <w:vAlign w:val="center"/>
            <w:hideMark/>
          </w:tcPr>
          <w:p w14:paraId="0212ED10" w14:textId="77777777" w:rsidR="00802DDD" w:rsidRPr="00B230C6" w:rsidRDefault="00802DDD" w:rsidP="00433D7D">
            <w:pPr>
              <w:pStyle w:val="Table-Left7"/>
              <w:rPr>
                <w:lang w:eastAsia="en-AU"/>
              </w:rPr>
            </w:pPr>
            <w:r w:rsidRPr="00B230C6">
              <w:rPr>
                <w:lang w:eastAsia="en-AU"/>
              </w:rPr>
              <w:t>Environmental hazard awareness, policy changes, reduction in emissions, new grant programs, public behavio</w:t>
            </w:r>
            <w:r>
              <w:rPr>
                <w:lang w:eastAsia="en-AU"/>
              </w:rPr>
              <w:t>u</w:t>
            </w:r>
            <w:r w:rsidRPr="00B230C6">
              <w:rPr>
                <w:lang w:eastAsia="en-AU"/>
              </w:rPr>
              <w:t>r change</w:t>
            </w:r>
          </w:p>
        </w:tc>
      </w:tr>
      <w:tr w:rsidR="00802DDD" w:rsidRPr="005F44BF" w14:paraId="01B2C69D" w14:textId="77777777" w:rsidTr="00F55019">
        <w:trPr>
          <w:trHeight w:val="20"/>
        </w:trPr>
        <w:tc>
          <w:tcPr>
            <w:tcW w:w="0" w:type="auto"/>
            <w:gridSpan w:val="5"/>
            <w:shd w:val="clear" w:color="auto" w:fill="F2F2F2" w:themeFill="background1" w:themeFillShade="F2"/>
            <w:vAlign w:val="center"/>
          </w:tcPr>
          <w:p w14:paraId="1B4A051C" w14:textId="77777777" w:rsidR="00802DDD" w:rsidRPr="005F44BF" w:rsidRDefault="00802DDD" w:rsidP="00433D7D">
            <w:pPr>
              <w:pStyle w:val="Table-Left7"/>
              <w:rPr>
                <w:lang w:eastAsia="en-AU"/>
              </w:rPr>
            </w:pPr>
            <w:r w:rsidRPr="00B230C6">
              <w:rPr>
                <w:rFonts w:ascii="Aptos Narrow" w:hAnsi="Aptos Narrow"/>
                <w:lang w:eastAsia="en-AU"/>
              </w:rPr>
              <w:t xml:space="preserve">Policy and Social </w:t>
            </w:r>
            <w:r w:rsidRPr="005F44BF">
              <w:rPr>
                <w:rFonts w:ascii="Aptos Narrow" w:hAnsi="Aptos Narrow"/>
                <w:lang w:eastAsia="en-AU"/>
              </w:rPr>
              <w:t>Science Research</w:t>
            </w:r>
          </w:p>
        </w:tc>
      </w:tr>
      <w:tr w:rsidR="00802DDD" w:rsidRPr="00B230C6" w14:paraId="13B3CD9C" w14:textId="77777777" w:rsidTr="00F55019">
        <w:trPr>
          <w:trHeight w:val="20"/>
        </w:trPr>
        <w:tc>
          <w:tcPr>
            <w:tcW w:w="0" w:type="auto"/>
            <w:shd w:val="clear" w:color="auto" w:fill="auto"/>
            <w:vAlign w:val="center"/>
            <w:hideMark/>
          </w:tcPr>
          <w:p w14:paraId="427A146E" w14:textId="66090A14" w:rsidR="00802DDD" w:rsidRPr="00B230C6" w:rsidRDefault="00802DDD" w:rsidP="00433D7D">
            <w:pPr>
              <w:pStyle w:val="Table-Left7"/>
              <w:rPr>
                <w:lang w:eastAsia="en-AU"/>
              </w:rPr>
            </w:pPr>
            <w:r w:rsidRPr="00B230C6">
              <w:rPr>
                <w:lang w:eastAsia="en-AU"/>
              </w:rPr>
              <w:t xml:space="preserve">Decision-Making Impact Model </w:t>
            </w:r>
            <w:r w:rsidR="00D62859">
              <w:rPr>
                <w:noProof/>
                <w:lang w:eastAsia="en-AU"/>
              </w:rPr>
              <w:t>(</w:t>
            </w:r>
            <w:r w:rsidR="00D62859" w:rsidRPr="00D62859">
              <w:t>Lavis et al., 2003</w:t>
            </w:r>
            <w:r w:rsidR="00D62859">
              <w:rPr>
                <w:noProof/>
                <w:lang w:eastAsia="en-AU"/>
              </w:rPr>
              <w:t>)</w:t>
            </w:r>
          </w:p>
        </w:tc>
        <w:tc>
          <w:tcPr>
            <w:tcW w:w="5606" w:type="dxa"/>
            <w:shd w:val="clear" w:color="auto" w:fill="auto"/>
            <w:vAlign w:val="center"/>
            <w:hideMark/>
          </w:tcPr>
          <w:p w14:paraId="606E9DEC" w14:textId="77777777" w:rsidR="00802DDD" w:rsidRPr="00B230C6" w:rsidRDefault="00802DDD" w:rsidP="00433D7D">
            <w:pPr>
              <w:pStyle w:val="Table-Left7"/>
              <w:rPr>
                <w:lang w:eastAsia="en-AU"/>
              </w:rPr>
            </w:pPr>
            <w:r w:rsidRPr="00B230C6">
              <w:rPr>
                <w:lang w:eastAsia="en-AU"/>
              </w:rPr>
              <w:t>The Decision-Making Impact Model, introduced in 2003, is designed to assess the impact of applied health research on various target audiences, including the public, patients, clinicians, and policymakers. Originating from Canada, this model emphasi</w:t>
            </w:r>
            <w:r>
              <w:rPr>
                <w:lang w:eastAsia="en-AU"/>
              </w:rPr>
              <w:t>s</w:t>
            </w:r>
            <w:r w:rsidRPr="00B230C6">
              <w:rPr>
                <w:lang w:eastAsia="en-AU"/>
              </w:rPr>
              <w:t>es a tailored approach to measuring research impact based on the needs of specific user groups, avoiding a one-size-fits-all methodology. It incorporates concepts from the Payback Framework, focusing on user-pull and interactive measures of impact, which assess how research knowledge is utili</w:t>
            </w:r>
            <w:r>
              <w:rPr>
                <w:lang w:eastAsia="en-AU"/>
              </w:rPr>
              <w:t>s</w:t>
            </w:r>
            <w:r w:rsidRPr="00B230C6">
              <w:rPr>
                <w:lang w:eastAsia="en-AU"/>
              </w:rPr>
              <w:t>ed in decision-making. The model aligns with national priorities for improving health outcomes and promoting evidence-based policy by fostering a culture that supports the ongoing use of research knowledge</w:t>
            </w:r>
            <w:r>
              <w:rPr>
                <w:lang w:eastAsia="en-AU"/>
              </w:rPr>
              <w:t>.</w:t>
            </w:r>
            <w:r w:rsidRPr="00B230C6">
              <w:rPr>
                <w:rFonts w:ascii="Arial" w:hAnsi="Arial" w:cs="Arial"/>
                <w:lang w:eastAsia="en-AU"/>
              </w:rPr>
              <w:t>​</w:t>
            </w:r>
          </w:p>
        </w:tc>
        <w:tc>
          <w:tcPr>
            <w:tcW w:w="1701" w:type="dxa"/>
            <w:shd w:val="clear" w:color="auto" w:fill="auto"/>
            <w:vAlign w:val="center"/>
            <w:hideMark/>
          </w:tcPr>
          <w:p w14:paraId="0EAD4F0A" w14:textId="77777777" w:rsidR="00802DDD" w:rsidRPr="00B230C6" w:rsidRDefault="00802DDD" w:rsidP="00433D7D">
            <w:pPr>
              <w:pStyle w:val="Table-Left7"/>
              <w:rPr>
                <w:lang w:eastAsia="en-AU"/>
              </w:rPr>
            </w:pPr>
            <w:r w:rsidRPr="00B230C6">
              <w:rPr>
                <w:lang w:eastAsia="en-AU"/>
              </w:rPr>
              <w:t>Knowledge transfer, policy impact</w:t>
            </w:r>
          </w:p>
        </w:tc>
        <w:tc>
          <w:tcPr>
            <w:tcW w:w="2268" w:type="dxa"/>
            <w:shd w:val="clear" w:color="auto" w:fill="auto"/>
            <w:vAlign w:val="center"/>
            <w:hideMark/>
          </w:tcPr>
          <w:p w14:paraId="29BDE01E" w14:textId="77777777" w:rsidR="00802DDD" w:rsidRPr="00B230C6" w:rsidRDefault="00802DDD" w:rsidP="00433D7D">
            <w:pPr>
              <w:pStyle w:val="Table-Left7"/>
              <w:rPr>
                <w:lang w:eastAsia="en-AU"/>
              </w:rPr>
            </w:pPr>
            <w:r w:rsidRPr="00B230C6">
              <w:rPr>
                <w:lang w:eastAsia="en-AU"/>
              </w:rPr>
              <w:t>Producer-push Process, User-pull Process, Exchange Process</w:t>
            </w:r>
          </w:p>
        </w:tc>
        <w:tc>
          <w:tcPr>
            <w:tcW w:w="2613" w:type="dxa"/>
            <w:shd w:val="clear" w:color="auto" w:fill="auto"/>
            <w:vAlign w:val="center"/>
            <w:hideMark/>
          </w:tcPr>
          <w:p w14:paraId="744B9C30" w14:textId="77777777" w:rsidR="00802DDD" w:rsidRPr="00B230C6" w:rsidRDefault="00802DDD" w:rsidP="00433D7D">
            <w:pPr>
              <w:pStyle w:val="Table-Left7"/>
              <w:rPr>
                <w:lang w:eastAsia="en-AU"/>
              </w:rPr>
            </w:pPr>
            <w:r w:rsidRPr="00B230C6">
              <w:rPr>
                <w:lang w:eastAsia="en-AU"/>
              </w:rPr>
              <w:t>Publications, Policy briefs, Decision-makers awareness, Commissioned research projects, Involvement in decision-making processes</w:t>
            </w:r>
          </w:p>
        </w:tc>
      </w:tr>
      <w:tr w:rsidR="00802DDD" w:rsidRPr="00B230C6" w14:paraId="6600F927" w14:textId="77777777" w:rsidTr="00F55019">
        <w:trPr>
          <w:trHeight w:val="20"/>
        </w:trPr>
        <w:tc>
          <w:tcPr>
            <w:tcW w:w="0" w:type="auto"/>
            <w:shd w:val="clear" w:color="auto" w:fill="F2F2F2" w:themeFill="background1" w:themeFillShade="F2"/>
            <w:vAlign w:val="center"/>
            <w:hideMark/>
          </w:tcPr>
          <w:p w14:paraId="73E389FF" w14:textId="2504A2E4" w:rsidR="00802DDD" w:rsidRPr="00B230C6" w:rsidRDefault="00802DDD" w:rsidP="00433D7D">
            <w:pPr>
              <w:pStyle w:val="Table-Left7"/>
              <w:rPr>
                <w:lang w:eastAsia="en-AU"/>
              </w:rPr>
            </w:pPr>
            <w:r w:rsidRPr="00B230C6">
              <w:rPr>
                <w:lang w:eastAsia="en-AU"/>
              </w:rPr>
              <w:t xml:space="preserve">Research Impact Framework (RIF) </w:t>
            </w:r>
            <w:r w:rsidR="00D62859">
              <w:rPr>
                <w:noProof/>
                <w:lang w:eastAsia="en-AU"/>
              </w:rPr>
              <w:t>(</w:t>
            </w:r>
            <w:r w:rsidR="00D62859" w:rsidRPr="00D62859">
              <w:t>Kuruvilla et al., 2006</w:t>
            </w:r>
            <w:r w:rsidR="00D62859">
              <w:rPr>
                <w:noProof/>
                <w:lang w:eastAsia="en-AU"/>
              </w:rPr>
              <w:t>)</w:t>
            </w:r>
          </w:p>
        </w:tc>
        <w:tc>
          <w:tcPr>
            <w:tcW w:w="5606" w:type="dxa"/>
            <w:shd w:val="clear" w:color="auto" w:fill="F2F2F2" w:themeFill="background1" w:themeFillShade="F2"/>
            <w:vAlign w:val="center"/>
            <w:hideMark/>
          </w:tcPr>
          <w:p w14:paraId="7B3201E8" w14:textId="77777777" w:rsidR="00802DDD" w:rsidRPr="00B230C6" w:rsidRDefault="00802DDD" w:rsidP="00433D7D">
            <w:pPr>
              <w:pStyle w:val="Table-Left7"/>
              <w:rPr>
                <w:lang w:eastAsia="en-AU"/>
              </w:rPr>
            </w:pPr>
            <w:r w:rsidRPr="00B230C6">
              <w:rPr>
                <w:lang w:eastAsia="en-AU"/>
              </w:rPr>
              <w:t>The Research Impact Framework (RIF), first published in 2006 in the UK, aids researchers in assessing their work's impact across four categories: research-related, policy influence, service changes, and societal impact. It builds on frameworks like the Payback Framework and focuses on demonstrating research value beyond academia. The RIF supports national and organi</w:t>
            </w:r>
            <w:r>
              <w:rPr>
                <w:lang w:eastAsia="en-AU"/>
              </w:rPr>
              <w:t>s</w:t>
            </w:r>
            <w:r w:rsidRPr="00B230C6">
              <w:rPr>
                <w:lang w:eastAsia="en-AU"/>
              </w:rPr>
              <w:t>ational goals by highlighting the real-world applications of research, fostering accountability and enhancing the relevance of research initiatives</w:t>
            </w:r>
            <w:r>
              <w:rPr>
                <w:lang w:eastAsia="en-AU"/>
              </w:rPr>
              <w:t>.</w:t>
            </w:r>
          </w:p>
        </w:tc>
        <w:tc>
          <w:tcPr>
            <w:tcW w:w="1701" w:type="dxa"/>
            <w:shd w:val="clear" w:color="auto" w:fill="F2F2F2" w:themeFill="background1" w:themeFillShade="F2"/>
            <w:vAlign w:val="center"/>
            <w:hideMark/>
          </w:tcPr>
          <w:p w14:paraId="48800E4D" w14:textId="77777777" w:rsidR="00802DDD" w:rsidRPr="00B230C6" w:rsidRDefault="00802DDD" w:rsidP="00433D7D">
            <w:pPr>
              <w:pStyle w:val="Table-Left7"/>
              <w:rPr>
                <w:lang w:eastAsia="en-AU"/>
              </w:rPr>
            </w:pPr>
            <w:r w:rsidRPr="00B230C6">
              <w:rPr>
                <w:lang w:eastAsia="en-AU"/>
              </w:rPr>
              <w:t>Knowledge, policy, services, societal impact</w:t>
            </w:r>
          </w:p>
        </w:tc>
        <w:tc>
          <w:tcPr>
            <w:tcW w:w="2268" w:type="dxa"/>
            <w:shd w:val="clear" w:color="auto" w:fill="F2F2F2" w:themeFill="background1" w:themeFillShade="F2"/>
            <w:vAlign w:val="center"/>
            <w:hideMark/>
          </w:tcPr>
          <w:p w14:paraId="73B184E6" w14:textId="77777777" w:rsidR="00802DDD" w:rsidRPr="00B230C6" w:rsidRDefault="00802DDD" w:rsidP="00433D7D">
            <w:pPr>
              <w:pStyle w:val="Table-Left7"/>
              <w:rPr>
                <w:lang w:eastAsia="en-AU"/>
              </w:rPr>
            </w:pPr>
            <w:r w:rsidRPr="00B230C6">
              <w:rPr>
                <w:lang w:eastAsia="en-AU"/>
              </w:rPr>
              <w:t>Research-related, Policy, Service, Societal Impacts</w:t>
            </w:r>
          </w:p>
        </w:tc>
        <w:tc>
          <w:tcPr>
            <w:tcW w:w="2613" w:type="dxa"/>
            <w:shd w:val="clear" w:color="auto" w:fill="F2F2F2" w:themeFill="background1" w:themeFillShade="F2"/>
            <w:vAlign w:val="center"/>
            <w:hideMark/>
          </w:tcPr>
          <w:p w14:paraId="7C445F17" w14:textId="77777777" w:rsidR="00802DDD" w:rsidRPr="00B230C6" w:rsidRDefault="00802DDD" w:rsidP="00433D7D">
            <w:pPr>
              <w:pStyle w:val="Table-Left7"/>
              <w:rPr>
                <w:lang w:eastAsia="en-AU"/>
              </w:rPr>
            </w:pPr>
            <w:r w:rsidRPr="00B230C6">
              <w:rPr>
                <w:lang w:eastAsia="en-AU"/>
              </w:rPr>
              <w:t>Publications, patents, leadership awards, policy networks, cost-effectiveness, health literacy, empowerment, sustainable development</w:t>
            </w:r>
          </w:p>
        </w:tc>
      </w:tr>
      <w:tr w:rsidR="00802DDD" w:rsidRPr="00B230C6" w14:paraId="4D047D9B" w14:textId="77777777" w:rsidTr="00F55019">
        <w:trPr>
          <w:trHeight w:val="20"/>
        </w:trPr>
        <w:tc>
          <w:tcPr>
            <w:tcW w:w="0" w:type="auto"/>
            <w:shd w:val="clear" w:color="auto" w:fill="auto"/>
            <w:vAlign w:val="center"/>
            <w:hideMark/>
          </w:tcPr>
          <w:p w14:paraId="4E633A7D" w14:textId="6B7D0BB7" w:rsidR="00802DDD" w:rsidRPr="00B230C6" w:rsidRDefault="00802DDD" w:rsidP="00433D7D">
            <w:pPr>
              <w:pStyle w:val="Table-Left7"/>
              <w:rPr>
                <w:lang w:eastAsia="en-AU"/>
              </w:rPr>
            </w:pPr>
            <w:r w:rsidRPr="00B230C6">
              <w:rPr>
                <w:lang w:eastAsia="en-AU"/>
              </w:rPr>
              <w:t xml:space="preserve">Flows of Knowledge, Expertise and Influence </w:t>
            </w:r>
            <w:r w:rsidR="00D62859">
              <w:rPr>
                <w:noProof/>
                <w:lang w:eastAsia="en-AU"/>
              </w:rPr>
              <w:t>(</w:t>
            </w:r>
            <w:r w:rsidR="00D62859" w:rsidRPr="00D62859">
              <w:t>Meagher et al., 2008</w:t>
            </w:r>
            <w:r w:rsidR="00D62859">
              <w:rPr>
                <w:noProof/>
                <w:lang w:eastAsia="en-AU"/>
              </w:rPr>
              <w:t>)</w:t>
            </w:r>
          </w:p>
        </w:tc>
        <w:tc>
          <w:tcPr>
            <w:tcW w:w="5606" w:type="dxa"/>
            <w:shd w:val="clear" w:color="auto" w:fill="auto"/>
            <w:vAlign w:val="center"/>
            <w:hideMark/>
          </w:tcPr>
          <w:p w14:paraId="4FC7A7C6" w14:textId="77777777" w:rsidR="00802DDD" w:rsidRPr="00B230C6" w:rsidRDefault="00802DDD" w:rsidP="00433D7D">
            <w:pPr>
              <w:pStyle w:val="Table-Left7"/>
              <w:rPr>
                <w:lang w:eastAsia="en-AU"/>
              </w:rPr>
            </w:pPr>
            <w:r w:rsidRPr="00B230C6">
              <w:rPr>
                <w:lang w:eastAsia="en-AU"/>
              </w:rPr>
              <w:t>The "Flows of Knowledge, Expertise and Influence" model (2008) assesses social science research's impact on public policy and practice. Created by Laura Meagher, Catherine Lyall, and Sandra Nutley, it emphasi</w:t>
            </w:r>
            <w:r>
              <w:rPr>
                <w:lang w:eastAsia="en-AU"/>
              </w:rPr>
              <w:t>s</w:t>
            </w:r>
            <w:r w:rsidRPr="00B230C6">
              <w:rPr>
                <w:lang w:eastAsia="en-AU"/>
              </w:rPr>
              <w:t xml:space="preserve">es </w:t>
            </w:r>
            <w:r>
              <w:rPr>
                <w:lang w:eastAsia="en-AU"/>
              </w:rPr>
              <w:t xml:space="preserve">knowledge </w:t>
            </w:r>
            <w:r w:rsidRPr="00B230C6">
              <w:rPr>
                <w:lang w:eastAsia="en-AU"/>
              </w:rPr>
              <w:t>t</w:t>
            </w:r>
            <w:r>
              <w:rPr>
                <w:lang w:eastAsia="en-AU"/>
              </w:rPr>
              <w:t>ransf</w:t>
            </w:r>
            <w:r w:rsidRPr="00B230C6">
              <w:rPr>
                <w:lang w:eastAsia="en-AU"/>
              </w:rPr>
              <w:t>e</w:t>
            </w:r>
            <w:r>
              <w:rPr>
                <w:lang w:eastAsia="en-AU"/>
              </w:rPr>
              <w:t>r's</w:t>
            </w:r>
            <w:r w:rsidRPr="00B230C6">
              <w:rPr>
                <w:lang w:eastAsia="en-AU"/>
              </w:rPr>
              <w:t xml:space="preserve"> complex and non-linear nature, identifying key </w:t>
            </w:r>
            <w:proofErr w:type="spellStart"/>
            <w:r w:rsidRPr="00B230C6">
              <w:rPr>
                <w:lang w:eastAsia="en-AU"/>
              </w:rPr>
              <w:t>actors</w:t>
            </w:r>
            <w:proofErr w:type="spellEnd"/>
            <w:r w:rsidRPr="00B230C6">
              <w:rPr>
                <w:lang w:eastAsia="en-AU"/>
              </w:rPr>
              <w:t xml:space="preserve"> such as researchers, policymakers, and knowledge intermediaries as essential to effective research uptake. The model responds to UK national priorities for demonstrating societal value from research investments, particularly in public health and quality of life. </w:t>
            </w:r>
          </w:p>
        </w:tc>
        <w:tc>
          <w:tcPr>
            <w:tcW w:w="1701" w:type="dxa"/>
            <w:shd w:val="clear" w:color="auto" w:fill="auto"/>
            <w:vAlign w:val="center"/>
            <w:hideMark/>
          </w:tcPr>
          <w:p w14:paraId="397C3304" w14:textId="77777777" w:rsidR="00802DDD" w:rsidRPr="00B230C6" w:rsidRDefault="00802DDD" w:rsidP="00433D7D">
            <w:pPr>
              <w:pStyle w:val="Table-Left7"/>
              <w:rPr>
                <w:lang w:eastAsia="en-AU"/>
              </w:rPr>
            </w:pPr>
            <w:r w:rsidRPr="00B230C6">
              <w:rPr>
                <w:lang w:eastAsia="en-AU"/>
              </w:rPr>
              <w:t>Knowledge transfer, social impact on policy and culture</w:t>
            </w:r>
          </w:p>
        </w:tc>
        <w:tc>
          <w:tcPr>
            <w:tcW w:w="2268" w:type="dxa"/>
            <w:shd w:val="clear" w:color="auto" w:fill="auto"/>
            <w:vAlign w:val="center"/>
            <w:hideMark/>
          </w:tcPr>
          <w:p w14:paraId="6CBE035B" w14:textId="77777777" w:rsidR="00802DDD" w:rsidRPr="00B230C6" w:rsidRDefault="00802DDD" w:rsidP="00433D7D">
            <w:pPr>
              <w:pStyle w:val="Table-Left7"/>
              <w:rPr>
                <w:lang w:eastAsia="en-AU"/>
              </w:rPr>
            </w:pPr>
            <w:r w:rsidRPr="00B230C6">
              <w:rPr>
                <w:lang w:eastAsia="en-AU"/>
              </w:rPr>
              <w:t>Policy and Practices, Culture and Attitudes, Influences on Processes Leading toward Impacts</w:t>
            </w:r>
          </w:p>
        </w:tc>
        <w:tc>
          <w:tcPr>
            <w:tcW w:w="2613" w:type="dxa"/>
            <w:shd w:val="clear" w:color="auto" w:fill="auto"/>
            <w:vAlign w:val="center"/>
            <w:hideMark/>
          </w:tcPr>
          <w:p w14:paraId="5093B145" w14:textId="77777777" w:rsidR="00802DDD" w:rsidRPr="00B230C6" w:rsidRDefault="00802DDD" w:rsidP="00433D7D">
            <w:pPr>
              <w:pStyle w:val="Table-Left7"/>
              <w:rPr>
                <w:lang w:eastAsia="en-AU"/>
              </w:rPr>
            </w:pPr>
            <w:r w:rsidRPr="00B230C6">
              <w:rPr>
                <w:lang w:eastAsia="en-AU"/>
              </w:rPr>
              <w:t>Policy formation, Conceptual impacts, Professional practice changes, Knowledge dissemination, Networks, Engagement processes</w:t>
            </w:r>
          </w:p>
        </w:tc>
      </w:tr>
      <w:tr w:rsidR="00802DDD" w:rsidRPr="005F44BF" w14:paraId="5E4E0877" w14:textId="77777777" w:rsidTr="00F55019">
        <w:trPr>
          <w:trHeight w:val="20"/>
        </w:trPr>
        <w:tc>
          <w:tcPr>
            <w:tcW w:w="0" w:type="auto"/>
            <w:gridSpan w:val="5"/>
            <w:shd w:val="clear" w:color="auto" w:fill="F2F2F2" w:themeFill="background1" w:themeFillShade="F2"/>
            <w:vAlign w:val="center"/>
          </w:tcPr>
          <w:p w14:paraId="40537F78" w14:textId="77777777" w:rsidR="00802DDD" w:rsidRPr="005F44BF" w:rsidRDefault="00802DDD" w:rsidP="00433D7D">
            <w:pPr>
              <w:pStyle w:val="Table-Left7"/>
              <w:rPr>
                <w:rFonts w:ascii="Aptos Narrow" w:hAnsi="Aptos Narrow"/>
                <w:lang w:eastAsia="en-AU"/>
              </w:rPr>
            </w:pPr>
            <w:r w:rsidRPr="00B230C6">
              <w:rPr>
                <w:rFonts w:ascii="Aptos Narrow" w:hAnsi="Aptos Narrow"/>
                <w:lang w:eastAsia="en-AU"/>
              </w:rPr>
              <w:t>Higher Education and Academic Research</w:t>
            </w:r>
          </w:p>
        </w:tc>
      </w:tr>
      <w:tr w:rsidR="00802DDD" w:rsidRPr="00B230C6" w14:paraId="279A6C58" w14:textId="77777777" w:rsidTr="00F55019">
        <w:trPr>
          <w:trHeight w:val="20"/>
        </w:trPr>
        <w:tc>
          <w:tcPr>
            <w:tcW w:w="0" w:type="auto"/>
            <w:shd w:val="clear" w:color="auto" w:fill="auto"/>
            <w:vAlign w:val="center"/>
            <w:hideMark/>
          </w:tcPr>
          <w:p w14:paraId="72A7B051" w14:textId="3E214D12" w:rsidR="00802DDD" w:rsidRPr="00B230C6" w:rsidRDefault="00802DDD" w:rsidP="00433D7D">
            <w:pPr>
              <w:pStyle w:val="Table-Left7"/>
              <w:rPr>
                <w:lang w:eastAsia="en-AU"/>
              </w:rPr>
            </w:pPr>
            <w:r w:rsidRPr="00B230C6">
              <w:rPr>
                <w:lang w:eastAsia="en-AU"/>
              </w:rPr>
              <w:t xml:space="preserve">Research Assessment Exercise (RAE) </w:t>
            </w:r>
            <w:r w:rsidR="00D62859">
              <w:rPr>
                <w:noProof/>
                <w:lang w:eastAsia="en-AU"/>
              </w:rPr>
              <w:t>(</w:t>
            </w:r>
            <w:r w:rsidR="00D62859" w:rsidRPr="00D62859">
              <w:t>Boaden &amp; Cilliers, 2001</w:t>
            </w:r>
            <w:r w:rsidR="00D62859">
              <w:rPr>
                <w:noProof/>
                <w:lang w:eastAsia="en-AU"/>
              </w:rPr>
              <w:t>)</w:t>
            </w:r>
          </w:p>
        </w:tc>
        <w:tc>
          <w:tcPr>
            <w:tcW w:w="5606" w:type="dxa"/>
            <w:shd w:val="clear" w:color="auto" w:fill="auto"/>
            <w:vAlign w:val="center"/>
            <w:hideMark/>
          </w:tcPr>
          <w:p w14:paraId="262413A1"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t xml:space="preserve">The Research Assessment Exercise (RAE) was established in 1992 in the United Kingdom to evaluate the quality of research across higher education institutions. It </w:t>
            </w:r>
            <w:r>
              <w:rPr>
                <w:rFonts w:ascii="Aptos Narrow" w:hAnsi="Aptos Narrow"/>
                <w:lang w:eastAsia="en-AU"/>
              </w:rPr>
              <w:t>i</w:t>
            </w:r>
            <w:r w:rsidRPr="00B230C6">
              <w:rPr>
                <w:rFonts w:ascii="Aptos Narrow" w:hAnsi="Aptos Narrow"/>
                <w:lang w:eastAsia="en-AU"/>
              </w:rPr>
              <w:t>s a framework for allocating public funding based on research performance, significantly influencing university funding decisions. The RAE utili</w:t>
            </w:r>
            <w:r>
              <w:rPr>
                <w:rFonts w:ascii="Aptos Narrow" w:hAnsi="Aptos Narrow"/>
                <w:lang w:eastAsia="en-AU"/>
              </w:rPr>
              <w:t>s</w:t>
            </w:r>
            <w:r w:rsidRPr="00B230C6">
              <w:rPr>
                <w:rFonts w:ascii="Aptos Narrow" w:hAnsi="Aptos Narrow"/>
                <w:lang w:eastAsia="en-AU"/>
              </w:rPr>
              <w:t xml:space="preserve">es a peer-review process conducted by expert panels to assess </w:t>
            </w:r>
            <w:r w:rsidRPr="00B230C6">
              <w:rPr>
                <w:rFonts w:ascii="Aptos Narrow" w:hAnsi="Aptos Narrow"/>
                <w:lang w:eastAsia="en-AU"/>
              </w:rPr>
              <w:lastRenderedPageBreak/>
              <w:t xml:space="preserve">submissions from academic departments, measuring research quality and impact. In 1993, Hong Kong adopted the model through the University Grants Committee (UGC) to assess research outputs, impact, and environment in UGC-funded universities. </w:t>
            </w:r>
          </w:p>
        </w:tc>
        <w:tc>
          <w:tcPr>
            <w:tcW w:w="1701" w:type="dxa"/>
            <w:shd w:val="clear" w:color="auto" w:fill="auto"/>
            <w:vAlign w:val="center"/>
            <w:hideMark/>
          </w:tcPr>
          <w:p w14:paraId="5111D93C"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lastRenderedPageBreak/>
              <w:t>Academic excellence, policy influence, societal benefit</w:t>
            </w:r>
          </w:p>
        </w:tc>
        <w:tc>
          <w:tcPr>
            <w:tcW w:w="2268" w:type="dxa"/>
            <w:shd w:val="clear" w:color="auto" w:fill="auto"/>
            <w:vAlign w:val="center"/>
            <w:hideMark/>
          </w:tcPr>
          <w:p w14:paraId="34C7B328"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t>Research Quality, Research Output, Research Environment, Research Impact</w:t>
            </w:r>
          </w:p>
        </w:tc>
        <w:tc>
          <w:tcPr>
            <w:tcW w:w="2613" w:type="dxa"/>
            <w:shd w:val="clear" w:color="auto" w:fill="auto"/>
            <w:vAlign w:val="center"/>
            <w:hideMark/>
          </w:tcPr>
          <w:p w14:paraId="6C30CFA2"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t>Publications, research income, collaborations, impact on policy, societal benefits</w:t>
            </w:r>
          </w:p>
        </w:tc>
      </w:tr>
      <w:tr w:rsidR="00802DDD" w:rsidRPr="00B230C6" w14:paraId="10CB613E" w14:textId="77777777" w:rsidTr="00F55019">
        <w:trPr>
          <w:trHeight w:val="20"/>
        </w:trPr>
        <w:tc>
          <w:tcPr>
            <w:tcW w:w="0" w:type="auto"/>
            <w:shd w:val="clear" w:color="auto" w:fill="F2F2F2" w:themeFill="background1" w:themeFillShade="F2"/>
            <w:vAlign w:val="center"/>
            <w:hideMark/>
          </w:tcPr>
          <w:p w14:paraId="6A3B346C" w14:textId="5A0D91F0" w:rsidR="00802DDD" w:rsidRPr="00B230C6" w:rsidRDefault="00802DDD" w:rsidP="00433D7D">
            <w:pPr>
              <w:pStyle w:val="Table-Left7"/>
              <w:rPr>
                <w:lang w:eastAsia="en-AU"/>
              </w:rPr>
            </w:pPr>
            <w:r w:rsidRPr="00B230C6">
              <w:rPr>
                <w:lang w:eastAsia="en-AU"/>
              </w:rPr>
              <w:t xml:space="preserve">VINNOVA (Swedish Governmental Agency for Innovation Systems) </w:t>
            </w:r>
            <w:r w:rsidR="00D62859">
              <w:rPr>
                <w:noProof/>
                <w:lang w:eastAsia="en-AU"/>
              </w:rPr>
              <w:t>(</w:t>
            </w:r>
            <w:r w:rsidR="00D62859" w:rsidRPr="00D62859">
              <w:t xml:space="preserve">Marika </w:t>
            </w:r>
            <w:proofErr w:type="spellStart"/>
            <w:r w:rsidR="00D62859" w:rsidRPr="00D62859">
              <w:t>Kolbenstvedt</w:t>
            </w:r>
            <w:proofErr w:type="spellEnd"/>
            <w:r w:rsidR="00D62859" w:rsidRPr="00D62859">
              <w:t>, 2007</w:t>
            </w:r>
            <w:r w:rsidR="00D62859">
              <w:rPr>
                <w:noProof/>
                <w:lang w:eastAsia="en-AU"/>
              </w:rPr>
              <w:t>)</w:t>
            </w:r>
          </w:p>
        </w:tc>
        <w:tc>
          <w:tcPr>
            <w:tcW w:w="5606" w:type="dxa"/>
            <w:shd w:val="clear" w:color="auto" w:fill="F2F2F2" w:themeFill="background1" w:themeFillShade="F2"/>
            <w:vAlign w:val="center"/>
            <w:hideMark/>
          </w:tcPr>
          <w:p w14:paraId="7C5705DF" w14:textId="77777777" w:rsidR="00802DDD" w:rsidRPr="00B230C6" w:rsidRDefault="00802DDD" w:rsidP="00433D7D">
            <w:pPr>
              <w:pStyle w:val="Table-Left7"/>
              <w:rPr>
                <w:lang w:eastAsia="en-AU"/>
              </w:rPr>
            </w:pPr>
            <w:r w:rsidRPr="00B230C6">
              <w:rPr>
                <w:lang w:eastAsia="en-AU"/>
              </w:rPr>
              <w:t xml:space="preserve">The Swedish Governmental Agency for Innovation Systems (VINNOVA) was established in 2001 to promote sustainable growth through needs-driven research and innovation. Its impact logic assessment framework focuses on funding collaborative projects among industry, academia, and public entities to </w:t>
            </w:r>
            <w:r>
              <w:rPr>
                <w:lang w:eastAsia="en-AU"/>
              </w:rPr>
              <w:t>effec</w:t>
            </w:r>
            <w:r w:rsidRPr="00B230C6">
              <w:rPr>
                <w:lang w:eastAsia="en-AU"/>
              </w:rPr>
              <w:t>ti</w:t>
            </w:r>
            <w:r>
              <w:rPr>
                <w:lang w:eastAsia="en-AU"/>
              </w:rPr>
              <w:t>ve</w:t>
            </w:r>
            <w:r w:rsidRPr="00B230C6">
              <w:rPr>
                <w:lang w:eastAsia="en-AU"/>
              </w:rPr>
              <w:t>l</w:t>
            </w:r>
            <w:r>
              <w:rPr>
                <w:lang w:eastAsia="en-AU"/>
              </w:rPr>
              <w:t>y us</w:t>
            </w:r>
            <w:r w:rsidRPr="00B230C6">
              <w:rPr>
                <w:lang w:eastAsia="en-AU"/>
              </w:rPr>
              <w:t>e new technologies and knowledge. This model supports national priorities by enhancing Sweden's competitiveness and addressing societal challenges, ensuring that research investments translate into practical innovations</w:t>
            </w:r>
            <w:r>
              <w:rPr>
                <w:lang w:eastAsia="en-AU"/>
              </w:rPr>
              <w:t>.</w:t>
            </w:r>
            <w:r w:rsidRPr="00B230C6">
              <w:rPr>
                <w:rFonts w:ascii="Arial" w:hAnsi="Arial" w:cs="Arial"/>
                <w:lang w:eastAsia="en-AU"/>
              </w:rPr>
              <w:t>​</w:t>
            </w:r>
          </w:p>
        </w:tc>
        <w:tc>
          <w:tcPr>
            <w:tcW w:w="1701" w:type="dxa"/>
            <w:shd w:val="clear" w:color="auto" w:fill="F2F2F2" w:themeFill="background1" w:themeFillShade="F2"/>
            <w:vAlign w:val="center"/>
            <w:hideMark/>
          </w:tcPr>
          <w:p w14:paraId="318938C5" w14:textId="77777777" w:rsidR="00802DDD" w:rsidRPr="00B230C6" w:rsidRDefault="00802DDD" w:rsidP="00433D7D">
            <w:pPr>
              <w:pStyle w:val="Table-Left7"/>
              <w:rPr>
                <w:lang w:eastAsia="en-AU"/>
              </w:rPr>
            </w:pPr>
            <w:r w:rsidRPr="00B230C6">
              <w:rPr>
                <w:lang w:eastAsia="en-AU"/>
              </w:rPr>
              <w:t>Academic impact, public safety, economic impacts</w:t>
            </w:r>
          </w:p>
        </w:tc>
        <w:tc>
          <w:tcPr>
            <w:tcW w:w="2268" w:type="dxa"/>
            <w:shd w:val="clear" w:color="auto" w:fill="F2F2F2" w:themeFill="background1" w:themeFillShade="F2"/>
            <w:vAlign w:val="center"/>
            <w:hideMark/>
          </w:tcPr>
          <w:p w14:paraId="7853A1AC" w14:textId="77777777" w:rsidR="00802DDD" w:rsidRPr="00B230C6" w:rsidRDefault="00802DDD" w:rsidP="00433D7D">
            <w:pPr>
              <w:pStyle w:val="Table-Left7"/>
              <w:rPr>
                <w:lang w:eastAsia="en-AU"/>
              </w:rPr>
            </w:pPr>
            <w:r w:rsidRPr="00B230C6">
              <w:rPr>
                <w:lang w:eastAsia="en-AU"/>
              </w:rPr>
              <w:t>Academic Results, Effects for Users, Diffusion of Research, Economic Impacts</w:t>
            </w:r>
          </w:p>
        </w:tc>
        <w:tc>
          <w:tcPr>
            <w:tcW w:w="2613" w:type="dxa"/>
            <w:shd w:val="clear" w:color="auto" w:fill="F2F2F2" w:themeFill="background1" w:themeFillShade="F2"/>
            <w:vAlign w:val="center"/>
            <w:hideMark/>
          </w:tcPr>
          <w:p w14:paraId="3B6E47F5" w14:textId="77777777" w:rsidR="00802DDD" w:rsidRPr="00B230C6" w:rsidRDefault="00802DDD" w:rsidP="00433D7D">
            <w:pPr>
              <w:pStyle w:val="Table-Left7"/>
              <w:rPr>
                <w:lang w:eastAsia="en-AU"/>
              </w:rPr>
            </w:pPr>
            <w:r w:rsidRPr="00B230C6">
              <w:rPr>
                <w:lang w:eastAsia="en-AU"/>
              </w:rPr>
              <w:t>Publications, PhDs, patents, traffic safety measures, public finance, public debate, workforce migration</w:t>
            </w:r>
          </w:p>
        </w:tc>
      </w:tr>
      <w:tr w:rsidR="00802DDD" w:rsidRPr="00B230C6" w14:paraId="7F5C8B75" w14:textId="77777777" w:rsidTr="00F55019">
        <w:trPr>
          <w:trHeight w:val="20"/>
        </w:trPr>
        <w:tc>
          <w:tcPr>
            <w:tcW w:w="0" w:type="auto"/>
            <w:shd w:val="clear" w:color="auto" w:fill="auto"/>
            <w:vAlign w:val="center"/>
            <w:hideMark/>
          </w:tcPr>
          <w:p w14:paraId="655E35D4" w14:textId="6742907C" w:rsidR="00802DDD" w:rsidRPr="00B230C6" w:rsidRDefault="00802DDD" w:rsidP="00433D7D">
            <w:pPr>
              <w:pStyle w:val="Table-Left7"/>
              <w:rPr>
                <w:lang w:eastAsia="en-AU"/>
              </w:rPr>
            </w:pPr>
            <w:r w:rsidRPr="00B230C6">
              <w:rPr>
                <w:lang w:eastAsia="en-AU"/>
              </w:rPr>
              <w:t xml:space="preserve">Matrix Scoring System </w:t>
            </w:r>
            <w:r w:rsidR="00D62859">
              <w:rPr>
                <w:noProof/>
                <w:lang w:eastAsia="en-AU"/>
              </w:rPr>
              <w:t>(</w:t>
            </w:r>
            <w:r w:rsidR="00D62859" w:rsidRPr="00D62859">
              <w:t>Wiegers et al., 2015</w:t>
            </w:r>
            <w:r w:rsidR="00D62859">
              <w:rPr>
                <w:noProof/>
                <w:lang w:eastAsia="en-AU"/>
              </w:rPr>
              <w:t>)</w:t>
            </w:r>
          </w:p>
        </w:tc>
        <w:tc>
          <w:tcPr>
            <w:tcW w:w="5606" w:type="dxa"/>
            <w:shd w:val="clear" w:color="auto" w:fill="auto"/>
            <w:vAlign w:val="center"/>
            <w:hideMark/>
          </w:tcPr>
          <w:p w14:paraId="6A43E998" w14:textId="77777777" w:rsidR="00802DDD" w:rsidRPr="00B230C6" w:rsidRDefault="00802DDD" w:rsidP="00433D7D">
            <w:pPr>
              <w:pStyle w:val="Table-Left7"/>
              <w:rPr>
                <w:lang w:eastAsia="en-AU"/>
              </w:rPr>
            </w:pPr>
            <w:r w:rsidRPr="00B230C6">
              <w:rPr>
                <w:lang w:eastAsia="en-AU"/>
              </w:rPr>
              <w:t>The Matrix Scoring System, established in 2004 at Temple University in the USA, is a metric-based framework designed to evaluate the productivity and engagement of nonclinical faculty within academic medical centr</w:t>
            </w:r>
            <w:r>
              <w:rPr>
                <w:lang w:eastAsia="en-AU"/>
              </w:rPr>
              <w:t>e</w:t>
            </w:r>
            <w:r w:rsidRPr="00B230C6">
              <w:rPr>
                <w:lang w:eastAsia="en-AU"/>
              </w:rPr>
              <w:t>s. This system incorporates a modified program logic model and integrates elements from the Payback Framework and Social Return on Investment methodologies. The Matrix assesses faculty contributions across four domains: research, education, scholarship, and administration/services, ensuring a balanced evaluation that recogni</w:t>
            </w:r>
            <w:r>
              <w:rPr>
                <w:lang w:eastAsia="en-AU"/>
              </w:rPr>
              <w:t>s</w:t>
            </w:r>
            <w:r w:rsidRPr="00B230C6">
              <w:rPr>
                <w:lang w:eastAsia="en-AU"/>
              </w:rPr>
              <w:t>es diverse roles. It aligns with institutional priorities by promoting accountability and facilitating resource allocation in response to budget constraints in academic medical settings.</w:t>
            </w:r>
          </w:p>
        </w:tc>
        <w:tc>
          <w:tcPr>
            <w:tcW w:w="1701" w:type="dxa"/>
            <w:shd w:val="clear" w:color="auto" w:fill="auto"/>
            <w:vAlign w:val="center"/>
            <w:hideMark/>
          </w:tcPr>
          <w:p w14:paraId="4A65556B" w14:textId="77777777" w:rsidR="00802DDD" w:rsidRPr="00B230C6" w:rsidRDefault="00802DDD" w:rsidP="00433D7D">
            <w:pPr>
              <w:pStyle w:val="Table-Left7"/>
              <w:rPr>
                <w:lang w:eastAsia="en-AU"/>
              </w:rPr>
            </w:pPr>
            <w:r w:rsidRPr="00B230C6">
              <w:rPr>
                <w:lang w:eastAsia="en-AU"/>
              </w:rPr>
              <w:t>Academic productivity, research performance</w:t>
            </w:r>
          </w:p>
        </w:tc>
        <w:tc>
          <w:tcPr>
            <w:tcW w:w="2268" w:type="dxa"/>
            <w:shd w:val="clear" w:color="auto" w:fill="auto"/>
            <w:vAlign w:val="center"/>
            <w:hideMark/>
          </w:tcPr>
          <w:p w14:paraId="2C8AC49C" w14:textId="77777777" w:rsidR="00802DDD" w:rsidRPr="00B230C6" w:rsidRDefault="00802DDD" w:rsidP="00433D7D">
            <w:pPr>
              <w:pStyle w:val="Table-Left7"/>
              <w:rPr>
                <w:lang w:eastAsia="en-AU"/>
              </w:rPr>
            </w:pPr>
            <w:r w:rsidRPr="00B230C6">
              <w:rPr>
                <w:lang w:eastAsia="en-AU"/>
              </w:rPr>
              <w:t>Research, Education, Authorship, Administration/Service</w:t>
            </w:r>
          </w:p>
        </w:tc>
        <w:tc>
          <w:tcPr>
            <w:tcW w:w="2613" w:type="dxa"/>
            <w:shd w:val="clear" w:color="auto" w:fill="auto"/>
            <w:vAlign w:val="center"/>
            <w:hideMark/>
          </w:tcPr>
          <w:p w14:paraId="62A56D3C" w14:textId="77777777" w:rsidR="00802DDD" w:rsidRPr="00B230C6" w:rsidRDefault="00802DDD" w:rsidP="00433D7D">
            <w:pPr>
              <w:pStyle w:val="Table-Left7"/>
              <w:rPr>
                <w:lang w:eastAsia="en-AU"/>
              </w:rPr>
            </w:pPr>
            <w:r w:rsidRPr="00B230C6">
              <w:rPr>
                <w:lang w:eastAsia="en-AU"/>
              </w:rPr>
              <w:t>Direct &amp; indirect costs, Peer-reviewed publications, Patents, Contact hours, Grant submissions, Committee service</w:t>
            </w:r>
          </w:p>
        </w:tc>
      </w:tr>
      <w:tr w:rsidR="00802DDD" w:rsidRPr="00B230C6" w14:paraId="3F122F76" w14:textId="77777777" w:rsidTr="00F55019">
        <w:trPr>
          <w:trHeight w:val="20"/>
        </w:trPr>
        <w:tc>
          <w:tcPr>
            <w:tcW w:w="0" w:type="auto"/>
            <w:shd w:val="clear" w:color="auto" w:fill="F2F2F2" w:themeFill="background1" w:themeFillShade="F2"/>
            <w:vAlign w:val="center"/>
            <w:hideMark/>
          </w:tcPr>
          <w:p w14:paraId="1C5F0097" w14:textId="4CFDF7A0" w:rsidR="00802DDD" w:rsidRPr="00B230C6" w:rsidRDefault="00802DDD" w:rsidP="00433D7D">
            <w:pPr>
              <w:pStyle w:val="Table-Left7"/>
              <w:rPr>
                <w:lang w:eastAsia="en-AU"/>
              </w:rPr>
            </w:pPr>
            <w:r w:rsidRPr="00B230C6">
              <w:rPr>
                <w:lang w:eastAsia="en-AU"/>
              </w:rPr>
              <w:t xml:space="preserve">Excellence in Research for Australia (ERA) </w:t>
            </w:r>
            <w:r w:rsidR="00D62859">
              <w:rPr>
                <w:noProof/>
                <w:lang w:eastAsia="en-AU"/>
              </w:rPr>
              <w:t>(</w:t>
            </w:r>
            <w:r w:rsidR="00D62859" w:rsidRPr="00D62859">
              <w:t>ARC, 2018</w:t>
            </w:r>
            <w:r w:rsidR="00D62859">
              <w:rPr>
                <w:noProof/>
                <w:lang w:eastAsia="en-AU"/>
              </w:rPr>
              <w:t>)</w:t>
            </w:r>
          </w:p>
        </w:tc>
        <w:tc>
          <w:tcPr>
            <w:tcW w:w="5606" w:type="dxa"/>
            <w:shd w:val="clear" w:color="auto" w:fill="F2F2F2" w:themeFill="background1" w:themeFillShade="F2"/>
            <w:vAlign w:val="center"/>
            <w:hideMark/>
          </w:tcPr>
          <w:p w14:paraId="03A668B7" w14:textId="77777777" w:rsidR="00802DDD" w:rsidRPr="00B230C6" w:rsidRDefault="00802DDD" w:rsidP="00433D7D">
            <w:pPr>
              <w:pStyle w:val="Table-Left7"/>
              <w:rPr>
                <w:lang w:eastAsia="en-AU"/>
              </w:rPr>
            </w:pPr>
            <w:r w:rsidRPr="00B230C6">
              <w:rPr>
                <w:lang w:eastAsia="en-AU"/>
              </w:rPr>
              <w:t xml:space="preserve">The Excellence in Research for Australia (ERA) is a national research assessment initiative administered by the Australian Research Council (ARC), first implemented in 2010. This program evaluates the quality of research produced by Australian higher education institutions by comparing it against international benchmarks. It employs various indicators, such as citation metrics and peer reviews, to assess research performance across disciplines. The ERA aligns with national priorities to enhance </w:t>
            </w:r>
            <w:r>
              <w:rPr>
                <w:lang w:eastAsia="en-AU"/>
              </w:rPr>
              <w:t>researc</w:t>
            </w:r>
            <w:r w:rsidRPr="00B230C6">
              <w:rPr>
                <w:lang w:eastAsia="en-AU"/>
              </w:rPr>
              <w:t xml:space="preserve">h quality and promote </w:t>
            </w:r>
            <w:r>
              <w:rPr>
                <w:lang w:eastAsia="en-AU"/>
              </w:rPr>
              <w:t xml:space="preserve">funding </w:t>
            </w:r>
            <w:r w:rsidRPr="00B230C6">
              <w:rPr>
                <w:lang w:eastAsia="en-AU"/>
              </w:rPr>
              <w:t>accountability, incentiv</w:t>
            </w:r>
            <w:r>
              <w:rPr>
                <w:lang w:eastAsia="en-AU"/>
              </w:rPr>
              <w:t>i</w:t>
            </w:r>
            <w:r w:rsidRPr="00B230C6">
              <w:rPr>
                <w:lang w:eastAsia="en-AU"/>
              </w:rPr>
              <w:t>s</w:t>
            </w:r>
            <w:r>
              <w:rPr>
                <w:lang w:eastAsia="en-AU"/>
              </w:rPr>
              <w:t>ing</w:t>
            </w:r>
            <w:r w:rsidRPr="00B230C6">
              <w:rPr>
                <w:lang w:eastAsia="en-AU"/>
              </w:rPr>
              <w:t xml:space="preserve"> institutions to improve their research output</w:t>
            </w:r>
            <w:r>
              <w:rPr>
                <w:lang w:eastAsia="en-AU"/>
              </w:rPr>
              <w:t>.</w:t>
            </w:r>
          </w:p>
        </w:tc>
        <w:tc>
          <w:tcPr>
            <w:tcW w:w="1701" w:type="dxa"/>
            <w:shd w:val="clear" w:color="auto" w:fill="F2F2F2" w:themeFill="background1" w:themeFillShade="F2"/>
            <w:vAlign w:val="center"/>
            <w:hideMark/>
          </w:tcPr>
          <w:p w14:paraId="220BEF60" w14:textId="77777777" w:rsidR="00802DDD" w:rsidRPr="00B230C6" w:rsidRDefault="00802DDD" w:rsidP="00433D7D">
            <w:pPr>
              <w:pStyle w:val="Table-Left7"/>
              <w:rPr>
                <w:lang w:eastAsia="en-AU"/>
              </w:rPr>
            </w:pPr>
            <w:r w:rsidRPr="00B230C6">
              <w:rPr>
                <w:lang w:eastAsia="en-AU"/>
              </w:rPr>
              <w:t>Academic output, creative works, funding</w:t>
            </w:r>
          </w:p>
        </w:tc>
        <w:tc>
          <w:tcPr>
            <w:tcW w:w="2268" w:type="dxa"/>
            <w:shd w:val="clear" w:color="auto" w:fill="F2F2F2" w:themeFill="background1" w:themeFillShade="F2"/>
            <w:vAlign w:val="center"/>
            <w:hideMark/>
          </w:tcPr>
          <w:p w14:paraId="3EEB06DF" w14:textId="77777777" w:rsidR="00802DDD" w:rsidRPr="00B230C6" w:rsidRDefault="00802DDD" w:rsidP="00433D7D">
            <w:pPr>
              <w:pStyle w:val="Table-Left7"/>
              <w:rPr>
                <w:lang w:eastAsia="en-AU"/>
              </w:rPr>
            </w:pPr>
            <w:r w:rsidRPr="00B230C6">
              <w:rPr>
                <w:lang w:eastAsia="en-AU"/>
              </w:rPr>
              <w:t>Traditional Research Outputs, Non-Traditional Research Outputs, Research Income</w:t>
            </w:r>
          </w:p>
        </w:tc>
        <w:tc>
          <w:tcPr>
            <w:tcW w:w="2613" w:type="dxa"/>
            <w:shd w:val="clear" w:color="auto" w:fill="F2F2F2" w:themeFill="background1" w:themeFillShade="F2"/>
            <w:vAlign w:val="center"/>
            <w:hideMark/>
          </w:tcPr>
          <w:p w14:paraId="59738069" w14:textId="77777777" w:rsidR="00802DDD" w:rsidRPr="00B230C6" w:rsidRDefault="00802DDD" w:rsidP="00433D7D">
            <w:pPr>
              <w:pStyle w:val="Table-Left7"/>
              <w:rPr>
                <w:lang w:eastAsia="en-AU"/>
              </w:rPr>
            </w:pPr>
            <w:r w:rsidRPr="00B230C6">
              <w:rPr>
                <w:lang w:eastAsia="en-AU"/>
              </w:rPr>
              <w:t>Books, Journal articles, Creative works, Curated exhibitions, Competitive grants, Industry research income</w:t>
            </w:r>
          </w:p>
        </w:tc>
      </w:tr>
      <w:tr w:rsidR="00802DDD" w:rsidRPr="00B230C6" w14:paraId="39EF3960" w14:textId="77777777" w:rsidTr="00F55019">
        <w:trPr>
          <w:trHeight w:val="20"/>
        </w:trPr>
        <w:tc>
          <w:tcPr>
            <w:tcW w:w="0" w:type="auto"/>
            <w:shd w:val="clear" w:color="auto" w:fill="auto"/>
            <w:vAlign w:val="center"/>
            <w:hideMark/>
          </w:tcPr>
          <w:p w14:paraId="37B38A40" w14:textId="79145C5C" w:rsidR="00802DDD" w:rsidRPr="00B230C6" w:rsidRDefault="00802DDD" w:rsidP="00433D7D">
            <w:pPr>
              <w:pStyle w:val="Table-Left7"/>
              <w:rPr>
                <w:lang w:eastAsia="en-AU"/>
              </w:rPr>
            </w:pPr>
            <w:r w:rsidRPr="00B230C6">
              <w:rPr>
                <w:lang w:eastAsia="en-AU"/>
              </w:rPr>
              <w:t xml:space="preserve">Research Excellence Framework (REF) </w:t>
            </w:r>
            <w:r w:rsidR="00D62859">
              <w:rPr>
                <w:noProof/>
                <w:lang w:eastAsia="en-AU"/>
              </w:rPr>
              <w:t>(</w:t>
            </w:r>
            <w:r w:rsidR="00D62859" w:rsidRPr="00D62859">
              <w:t>Research Excellence Framework, 2014</w:t>
            </w:r>
            <w:r w:rsidR="00D62859">
              <w:rPr>
                <w:noProof/>
                <w:lang w:eastAsia="en-AU"/>
              </w:rPr>
              <w:t>)</w:t>
            </w:r>
          </w:p>
        </w:tc>
        <w:tc>
          <w:tcPr>
            <w:tcW w:w="5606" w:type="dxa"/>
            <w:shd w:val="clear" w:color="auto" w:fill="auto"/>
            <w:vAlign w:val="center"/>
            <w:hideMark/>
          </w:tcPr>
          <w:p w14:paraId="7DCB7E8E" w14:textId="77777777" w:rsidR="00802DDD" w:rsidRPr="00B230C6" w:rsidRDefault="00802DDD" w:rsidP="00433D7D">
            <w:pPr>
              <w:pStyle w:val="Table-Left7"/>
              <w:rPr>
                <w:lang w:eastAsia="en-AU"/>
              </w:rPr>
            </w:pPr>
            <w:r w:rsidRPr="00B230C6">
              <w:rPr>
                <w:lang w:eastAsia="en-AU"/>
              </w:rPr>
              <w:t xml:space="preserve">The Research Excellence Framework (REF) is the UK’s system for evaluating the quality of research in higher education institutions (HEIs), first implemented in 2014. It was developed to replace the earlier Research Assessment Exercise and is overseen by four UK funding bodies, including Research England and the Scottish Funding Council. </w:t>
            </w:r>
          </w:p>
        </w:tc>
        <w:tc>
          <w:tcPr>
            <w:tcW w:w="1701" w:type="dxa"/>
            <w:shd w:val="clear" w:color="auto" w:fill="auto"/>
            <w:vAlign w:val="center"/>
            <w:hideMark/>
          </w:tcPr>
          <w:p w14:paraId="02C30E77" w14:textId="77777777" w:rsidR="00802DDD" w:rsidRPr="00B230C6" w:rsidRDefault="00802DDD" w:rsidP="00433D7D">
            <w:pPr>
              <w:pStyle w:val="Table-Left7"/>
              <w:rPr>
                <w:lang w:eastAsia="en-AU"/>
              </w:rPr>
            </w:pPr>
            <w:r w:rsidRPr="00B230C6">
              <w:rPr>
                <w:lang w:eastAsia="en-AU"/>
              </w:rPr>
              <w:t>Health outcomes, economic growth, policy impact</w:t>
            </w:r>
          </w:p>
        </w:tc>
        <w:tc>
          <w:tcPr>
            <w:tcW w:w="2268" w:type="dxa"/>
            <w:shd w:val="clear" w:color="auto" w:fill="auto"/>
            <w:vAlign w:val="center"/>
            <w:hideMark/>
          </w:tcPr>
          <w:p w14:paraId="100EAEE5" w14:textId="77777777" w:rsidR="00802DDD" w:rsidRPr="00B230C6" w:rsidRDefault="00802DDD" w:rsidP="00433D7D">
            <w:pPr>
              <w:pStyle w:val="Table-Left7"/>
              <w:rPr>
                <w:lang w:eastAsia="en-AU"/>
              </w:rPr>
            </w:pPr>
            <w:r w:rsidRPr="00B230C6">
              <w:rPr>
                <w:lang w:eastAsia="en-AU"/>
              </w:rPr>
              <w:t>Quality of outputs, Health and Welfare, Society and Culture, Economy, Commerce, Public Policy, Production, Environment, Practitioners</w:t>
            </w:r>
          </w:p>
        </w:tc>
        <w:tc>
          <w:tcPr>
            <w:tcW w:w="2613" w:type="dxa"/>
            <w:shd w:val="clear" w:color="auto" w:fill="auto"/>
            <w:vAlign w:val="center"/>
            <w:hideMark/>
          </w:tcPr>
          <w:p w14:paraId="1E583B7F" w14:textId="77777777" w:rsidR="00802DDD" w:rsidRPr="00B230C6" w:rsidRDefault="00802DDD" w:rsidP="00433D7D">
            <w:pPr>
              <w:pStyle w:val="Table-Left7"/>
              <w:rPr>
                <w:lang w:eastAsia="en-AU"/>
              </w:rPr>
            </w:pPr>
            <w:r w:rsidRPr="00B230C6">
              <w:rPr>
                <w:lang w:eastAsia="en-AU"/>
              </w:rPr>
              <w:t>Bibliometrics, impact statement, case studies</w:t>
            </w:r>
          </w:p>
        </w:tc>
      </w:tr>
      <w:tr w:rsidR="00802DDD" w:rsidRPr="00B230C6" w14:paraId="1D56A002" w14:textId="77777777" w:rsidTr="00F55019">
        <w:trPr>
          <w:trHeight w:val="20"/>
        </w:trPr>
        <w:tc>
          <w:tcPr>
            <w:tcW w:w="0" w:type="auto"/>
            <w:shd w:val="clear" w:color="auto" w:fill="F2F2F2" w:themeFill="background1" w:themeFillShade="F2"/>
            <w:vAlign w:val="center"/>
            <w:hideMark/>
          </w:tcPr>
          <w:p w14:paraId="2978E13B" w14:textId="412E2BDC" w:rsidR="00802DDD" w:rsidRPr="00B230C6" w:rsidRDefault="00802DDD" w:rsidP="00433D7D">
            <w:pPr>
              <w:pStyle w:val="Table-Left7"/>
              <w:rPr>
                <w:lang w:eastAsia="en-AU"/>
              </w:rPr>
            </w:pPr>
            <w:r w:rsidRPr="00B230C6">
              <w:rPr>
                <w:lang w:eastAsia="en-AU"/>
              </w:rPr>
              <w:t xml:space="preserve">Engagement and Impact Framework </w:t>
            </w:r>
            <w:r w:rsidR="00D62859">
              <w:rPr>
                <w:noProof/>
                <w:lang w:eastAsia="en-AU"/>
              </w:rPr>
              <w:t>(</w:t>
            </w:r>
            <w:r w:rsidR="00D62859" w:rsidRPr="00D62859">
              <w:t>ARC, 2017</w:t>
            </w:r>
            <w:r w:rsidR="00D62859">
              <w:rPr>
                <w:noProof/>
                <w:lang w:eastAsia="en-AU"/>
              </w:rPr>
              <w:t>)</w:t>
            </w:r>
          </w:p>
        </w:tc>
        <w:tc>
          <w:tcPr>
            <w:tcW w:w="5606" w:type="dxa"/>
            <w:shd w:val="clear" w:color="auto" w:fill="F2F2F2" w:themeFill="background1" w:themeFillShade="F2"/>
            <w:vAlign w:val="center"/>
            <w:hideMark/>
          </w:tcPr>
          <w:p w14:paraId="1D65679B" w14:textId="77777777" w:rsidR="00802DDD" w:rsidRPr="00B230C6" w:rsidRDefault="00802DDD" w:rsidP="00433D7D">
            <w:pPr>
              <w:pStyle w:val="Table-Left7"/>
              <w:rPr>
                <w:lang w:eastAsia="en-AU"/>
              </w:rPr>
            </w:pPr>
            <w:r w:rsidRPr="00B230C6">
              <w:rPr>
                <w:lang w:eastAsia="en-AU"/>
              </w:rPr>
              <w:t xml:space="preserve">The Engagement and Impact Framework (EIF) was introduced in 2015 as part of a broader initiative to evaluate research engagement and its societal impacts </w:t>
            </w:r>
            <w:r>
              <w:rPr>
                <w:lang w:eastAsia="en-AU"/>
              </w:rPr>
              <w:t>o</w:t>
            </w:r>
            <w:r w:rsidRPr="00B230C6">
              <w:rPr>
                <w:lang w:eastAsia="en-AU"/>
              </w:rPr>
              <w:t>n Australian universities. Developed by the Australian Research Council, the EIF assesses research engagement through economic and social impact</w:t>
            </w:r>
            <w:r>
              <w:rPr>
                <w:lang w:eastAsia="en-AU"/>
              </w:rPr>
              <w:t xml:space="preserve"> metrics</w:t>
            </w:r>
            <w:r w:rsidRPr="00B230C6">
              <w:rPr>
                <w:lang w:eastAsia="en-AU"/>
              </w:rPr>
              <w:t>, industry collaboration, and contributions to public policy. It aims to ensure that research advances knowledge a</w:t>
            </w:r>
            <w:r>
              <w:rPr>
                <w:lang w:eastAsia="en-AU"/>
              </w:rPr>
              <w:t>nd</w:t>
            </w:r>
            <w:r w:rsidRPr="00B230C6">
              <w:rPr>
                <w:lang w:eastAsia="en-AU"/>
              </w:rPr>
              <w:t xml:space="preserve"> effectively contributes to community and industry needs, fostering greater accountability and alignment with national priorities.</w:t>
            </w:r>
          </w:p>
        </w:tc>
        <w:tc>
          <w:tcPr>
            <w:tcW w:w="1701" w:type="dxa"/>
            <w:shd w:val="clear" w:color="auto" w:fill="F2F2F2" w:themeFill="background1" w:themeFillShade="F2"/>
            <w:vAlign w:val="center"/>
            <w:hideMark/>
          </w:tcPr>
          <w:p w14:paraId="5644709C" w14:textId="77777777" w:rsidR="00802DDD" w:rsidRPr="00B230C6" w:rsidRDefault="00802DDD" w:rsidP="00433D7D">
            <w:pPr>
              <w:pStyle w:val="Table-Left7"/>
              <w:rPr>
                <w:lang w:eastAsia="en-AU"/>
              </w:rPr>
            </w:pPr>
            <w:r w:rsidRPr="00B230C6">
              <w:rPr>
                <w:lang w:eastAsia="en-AU"/>
              </w:rPr>
              <w:t>Academic engagement, socioeconomic impact</w:t>
            </w:r>
          </w:p>
        </w:tc>
        <w:tc>
          <w:tcPr>
            <w:tcW w:w="2268" w:type="dxa"/>
            <w:shd w:val="clear" w:color="auto" w:fill="F2F2F2" w:themeFill="background1" w:themeFillShade="F2"/>
            <w:vAlign w:val="center"/>
            <w:hideMark/>
          </w:tcPr>
          <w:p w14:paraId="1AA0FF91" w14:textId="77777777" w:rsidR="00802DDD" w:rsidRPr="00B230C6" w:rsidRDefault="00802DDD" w:rsidP="00433D7D">
            <w:pPr>
              <w:pStyle w:val="Table-Left7"/>
              <w:rPr>
                <w:lang w:eastAsia="en-AU"/>
              </w:rPr>
            </w:pPr>
            <w:r w:rsidRPr="00B230C6">
              <w:rPr>
                <w:lang w:eastAsia="en-AU"/>
              </w:rPr>
              <w:t>Research-related, Socio-economic, Healthcare</w:t>
            </w:r>
          </w:p>
        </w:tc>
        <w:tc>
          <w:tcPr>
            <w:tcW w:w="2613" w:type="dxa"/>
            <w:shd w:val="clear" w:color="auto" w:fill="F2F2F2" w:themeFill="background1" w:themeFillShade="F2"/>
            <w:vAlign w:val="center"/>
            <w:hideMark/>
          </w:tcPr>
          <w:p w14:paraId="2D7930EC" w14:textId="77777777" w:rsidR="00802DDD" w:rsidRPr="00B230C6" w:rsidRDefault="00802DDD" w:rsidP="00433D7D">
            <w:pPr>
              <w:pStyle w:val="Table-Left7"/>
              <w:rPr>
                <w:lang w:eastAsia="en-AU"/>
              </w:rPr>
            </w:pPr>
            <w:r w:rsidRPr="00B230C6">
              <w:rPr>
                <w:lang w:eastAsia="en-AU"/>
              </w:rPr>
              <w:t xml:space="preserve">Mobility of researchers, Patents, Licencing agreements, Co-authorship, Spin-outs, </w:t>
            </w:r>
            <w:proofErr w:type="gramStart"/>
            <w:r w:rsidRPr="00B230C6">
              <w:rPr>
                <w:lang w:eastAsia="en-AU"/>
              </w:rPr>
              <w:t>Public</w:t>
            </w:r>
            <w:proofErr w:type="gramEnd"/>
            <w:r w:rsidRPr="00B230C6">
              <w:rPr>
                <w:lang w:eastAsia="en-AU"/>
              </w:rPr>
              <w:t xml:space="preserve"> lectures and seminars</w:t>
            </w:r>
          </w:p>
        </w:tc>
      </w:tr>
      <w:tr w:rsidR="00802DDD" w:rsidRPr="00B230C6" w14:paraId="15A00601" w14:textId="77777777" w:rsidTr="00F55019">
        <w:trPr>
          <w:trHeight w:val="20"/>
        </w:trPr>
        <w:tc>
          <w:tcPr>
            <w:tcW w:w="0" w:type="auto"/>
            <w:shd w:val="clear" w:color="auto" w:fill="auto"/>
            <w:vAlign w:val="center"/>
            <w:hideMark/>
          </w:tcPr>
          <w:p w14:paraId="1F453123" w14:textId="348432E9" w:rsidR="00802DDD" w:rsidRPr="00B230C6" w:rsidRDefault="00802DDD" w:rsidP="00433D7D">
            <w:pPr>
              <w:pStyle w:val="Table-Left7"/>
              <w:rPr>
                <w:lang w:eastAsia="en-AU"/>
              </w:rPr>
            </w:pPr>
            <w:r w:rsidRPr="00B230C6">
              <w:rPr>
                <w:lang w:eastAsia="en-AU"/>
              </w:rPr>
              <w:t xml:space="preserve">World University Ranking Model </w:t>
            </w:r>
            <w:r w:rsidR="00D62859">
              <w:rPr>
                <w:noProof/>
                <w:lang w:eastAsia="en-AU"/>
              </w:rPr>
              <w:t>(</w:t>
            </w:r>
            <w:r w:rsidR="00D62859" w:rsidRPr="00D62859">
              <w:t>Times Higher Education, 2018</w:t>
            </w:r>
            <w:r w:rsidR="00D62859">
              <w:rPr>
                <w:noProof/>
                <w:lang w:eastAsia="en-AU"/>
              </w:rPr>
              <w:t>)</w:t>
            </w:r>
          </w:p>
        </w:tc>
        <w:tc>
          <w:tcPr>
            <w:tcW w:w="5606" w:type="dxa"/>
            <w:shd w:val="clear" w:color="auto" w:fill="auto"/>
            <w:vAlign w:val="center"/>
            <w:hideMark/>
          </w:tcPr>
          <w:p w14:paraId="3C7ADF56" w14:textId="77777777" w:rsidR="00802DDD" w:rsidRPr="00B230C6" w:rsidRDefault="00802DDD" w:rsidP="00433D7D">
            <w:pPr>
              <w:pStyle w:val="Table-Left7"/>
              <w:rPr>
                <w:lang w:eastAsia="en-AU"/>
              </w:rPr>
            </w:pPr>
            <w:r w:rsidRPr="00B230C6">
              <w:rPr>
                <w:lang w:eastAsia="en-AU"/>
              </w:rPr>
              <w:t>The Times Higher Education World University Ranking Model, first published in 2004, originates from the United Kingdom. This model employs a comprehensive methodology based on 18 performance indicators encompass</w:t>
            </w:r>
            <w:r>
              <w:rPr>
                <w:lang w:eastAsia="en-AU"/>
              </w:rPr>
              <w:t>ing</w:t>
            </w:r>
            <w:r w:rsidRPr="00B230C6">
              <w:rPr>
                <w:lang w:eastAsia="en-AU"/>
              </w:rPr>
              <w:t xml:space="preserve"> teaching, research, knowledge transfer, and international outlook. Key aspects include academic reputation, research productivity, citation impact, and industry income, each weighted to reflect its importance in assessing university quality. The model aligns with national and international educational priorities, serving as a tool for students, university leaders, and policymakers to evaluate institutional performance and make informed decisions</w:t>
            </w:r>
            <w:r>
              <w:rPr>
                <w:lang w:eastAsia="en-AU"/>
              </w:rPr>
              <w:t>.</w:t>
            </w:r>
            <w:r w:rsidRPr="00B230C6">
              <w:rPr>
                <w:rFonts w:ascii="Arial" w:hAnsi="Arial" w:cs="Arial"/>
                <w:lang w:eastAsia="en-AU"/>
              </w:rPr>
              <w:t>​</w:t>
            </w:r>
          </w:p>
        </w:tc>
        <w:tc>
          <w:tcPr>
            <w:tcW w:w="1701" w:type="dxa"/>
            <w:shd w:val="clear" w:color="auto" w:fill="auto"/>
            <w:vAlign w:val="center"/>
            <w:hideMark/>
          </w:tcPr>
          <w:p w14:paraId="50D6B4FE" w14:textId="77777777" w:rsidR="00802DDD" w:rsidRPr="00B230C6" w:rsidRDefault="00802DDD" w:rsidP="00433D7D">
            <w:pPr>
              <w:pStyle w:val="Table-Left7"/>
              <w:rPr>
                <w:lang w:eastAsia="en-AU"/>
              </w:rPr>
            </w:pPr>
            <w:r w:rsidRPr="00B230C6">
              <w:rPr>
                <w:lang w:eastAsia="en-AU"/>
              </w:rPr>
              <w:t>Academic reputation, research influence</w:t>
            </w:r>
          </w:p>
        </w:tc>
        <w:tc>
          <w:tcPr>
            <w:tcW w:w="2268" w:type="dxa"/>
            <w:shd w:val="clear" w:color="auto" w:fill="auto"/>
            <w:vAlign w:val="center"/>
            <w:hideMark/>
          </w:tcPr>
          <w:p w14:paraId="57EA4A71" w14:textId="77777777" w:rsidR="00802DDD" w:rsidRPr="00B230C6" w:rsidRDefault="00802DDD" w:rsidP="00433D7D">
            <w:pPr>
              <w:pStyle w:val="Table-Left7"/>
              <w:rPr>
                <w:lang w:eastAsia="en-AU"/>
              </w:rPr>
            </w:pPr>
            <w:r w:rsidRPr="00B230C6">
              <w:rPr>
                <w:lang w:eastAsia="en-AU"/>
              </w:rPr>
              <w:t>Teaching, Research, Citations, International Outlook, Industry Income</w:t>
            </w:r>
          </w:p>
        </w:tc>
        <w:tc>
          <w:tcPr>
            <w:tcW w:w="2613" w:type="dxa"/>
            <w:shd w:val="clear" w:color="auto" w:fill="auto"/>
            <w:vAlign w:val="center"/>
            <w:hideMark/>
          </w:tcPr>
          <w:p w14:paraId="5236A68B" w14:textId="77777777" w:rsidR="00802DDD" w:rsidRPr="00B230C6" w:rsidRDefault="00802DDD" w:rsidP="00433D7D">
            <w:pPr>
              <w:pStyle w:val="Table-Left7"/>
              <w:rPr>
                <w:lang w:eastAsia="en-AU"/>
              </w:rPr>
            </w:pPr>
            <w:r w:rsidRPr="00B230C6">
              <w:rPr>
                <w:lang w:eastAsia="en-AU"/>
              </w:rPr>
              <w:t xml:space="preserve">Teaching environment, Research volume, Citation impact, </w:t>
            </w:r>
            <w:proofErr w:type="gramStart"/>
            <w:r w:rsidRPr="00B230C6">
              <w:rPr>
                <w:lang w:eastAsia="en-AU"/>
              </w:rPr>
              <w:t>International</w:t>
            </w:r>
            <w:proofErr w:type="gramEnd"/>
            <w:r w:rsidRPr="00B230C6">
              <w:rPr>
                <w:lang w:eastAsia="en-AU"/>
              </w:rPr>
              <w:t xml:space="preserve"> collaboration, Knowledge transfer</w:t>
            </w:r>
          </w:p>
        </w:tc>
      </w:tr>
      <w:tr w:rsidR="00802DDD" w:rsidRPr="005F44BF" w14:paraId="7162864A" w14:textId="77777777" w:rsidTr="00F55019">
        <w:trPr>
          <w:trHeight w:val="20"/>
        </w:trPr>
        <w:tc>
          <w:tcPr>
            <w:tcW w:w="0" w:type="auto"/>
            <w:gridSpan w:val="5"/>
            <w:shd w:val="clear" w:color="auto" w:fill="F2F2F2" w:themeFill="background1" w:themeFillShade="F2"/>
            <w:vAlign w:val="center"/>
          </w:tcPr>
          <w:p w14:paraId="3713103B" w14:textId="77777777" w:rsidR="00802DDD" w:rsidRPr="005F44BF" w:rsidRDefault="00802DDD" w:rsidP="00433D7D">
            <w:pPr>
              <w:pStyle w:val="Table-Left7"/>
              <w:rPr>
                <w:lang w:eastAsia="en-AU"/>
              </w:rPr>
            </w:pPr>
            <w:r w:rsidRPr="00B230C6">
              <w:rPr>
                <w:rFonts w:ascii="Aptos Narrow" w:hAnsi="Aptos Narrow"/>
                <w:lang w:eastAsia="en-AU"/>
              </w:rPr>
              <w:t>Multidisciplinary</w:t>
            </w:r>
            <w:r w:rsidRPr="005F44BF">
              <w:rPr>
                <w:rFonts w:ascii="Aptos Narrow" w:hAnsi="Aptos Narrow"/>
                <w:lang w:eastAsia="en-AU"/>
              </w:rPr>
              <w:t xml:space="preserve"> Research</w:t>
            </w:r>
          </w:p>
        </w:tc>
      </w:tr>
      <w:tr w:rsidR="00802DDD" w:rsidRPr="00B230C6" w14:paraId="7933FA00" w14:textId="77777777" w:rsidTr="00F55019">
        <w:trPr>
          <w:trHeight w:val="20"/>
        </w:trPr>
        <w:tc>
          <w:tcPr>
            <w:tcW w:w="0" w:type="auto"/>
            <w:shd w:val="clear" w:color="auto" w:fill="auto"/>
            <w:vAlign w:val="center"/>
            <w:hideMark/>
          </w:tcPr>
          <w:p w14:paraId="6BC6C36F" w14:textId="1BE870CC" w:rsidR="00802DDD" w:rsidRPr="00B230C6" w:rsidRDefault="00802DDD" w:rsidP="00433D7D">
            <w:pPr>
              <w:pStyle w:val="Table-Left7"/>
              <w:rPr>
                <w:lang w:eastAsia="en-AU"/>
              </w:rPr>
            </w:pPr>
            <w:r w:rsidRPr="00B230C6">
              <w:rPr>
                <w:lang w:eastAsia="en-AU"/>
              </w:rPr>
              <w:t xml:space="preserve">Research Utilization Ladder </w:t>
            </w:r>
            <w:r w:rsidR="00D62859">
              <w:rPr>
                <w:noProof/>
                <w:lang w:eastAsia="en-AU"/>
              </w:rPr>
              <w:t>(</w:t>
            </w:r>
            <w:r w:rsidR="00D62859" w:rsidRPr="00D62859">
              <w:t>Landry et al., 2001</w:t>
            </w:r>
            <w:r w:rsidR="00D62859">
              <w:rPr>
                <w:noProof/>
                <w:lang w:eastAsia="en-AU"/>
              </w:rPr>
              <w:t>)</w:t>
            </w:r>
          </w:p>
        </w:tc>
        <w:tc>
          <w:tcPr>
            <w:tcW w:w="5606" w:type="dxa"/>
            <w:shd w:val="clear" w:color="auto" w:fill="auto"/>
            <w:vAlign w:val="center"/>
            <w:hideMark/>
          </w:tcPr>
          <w:p w14:paraId="43447196" w14:textId="77777777" w:rsidR="00802DDD" w:rsidRPr="00B230C6" w:rsidRDefault="00802DDD" w:rsidP="00433D7D">
            <w:pPr>
              <w:pStyle w:val="Table-Left7"/>
              <w:rPr>
                <w:lang w:eastAsia="en-AU"/>
              </w:rPr>
            </w:pPr>
            <w:r w:rsidRPr="00B230C6">
              <w:rPr>
                <w:lang w:eastAsia="en-AU"/>
              </w:rPr>
              <w:t xml:space="preserve">The Research Utilization Ladder, established in 2001, outlines </w:t>
            </w:r>
            <w:r>
              <w:rPr>
                <w:lang w:eastAsia="en-AU"/>
              </w:rPr>
              <w:t xml:space="preserve">the </w:t>
            </w:r>
            <w:r w:rsidRPr="00B230C6">
              <w:rPr>
                <w:lang w:eastAsia="en-AU"/>
              </w:rPr>
              <w:t>stages of knowledge utili</w:t>
            </w:r>
            <w:r>
              <w:rPr>
                <w:lang w:eastAsia="en-AU"/>
              </w:rPr>
              <w:t>s</w:t>
            </w:r>
            <w:r w:rsidRPr="00B230C6">
              <w:rPr>
                <w:lang w:eastAsia="en-AU"/>
              </w:rPr>
              <w:t>ation: transmission, cognition, reference, effort, influence, and application. It highlights barriers to advancing through these stages, particularly between transmission and cognition. The model underscores the need for effective research dissemination and strategies to engage users, enhancing research relevance to decision-makers. Understanding these stages can inform policies to improve research impact in practical settings.</w:t>
            </w:r>
          </w:p>
        </w:tc>
        <w:tc>
          <w:tcPr>
            <w:tcW w:w="1701" w:type="dxa"/>
            <w:shd w:val="clear" w:color="auto" w:fill="auto"/>
            <w:vAlign w:val="center"/>
            <w:hideMark/>
          </w:tcPr>
          <w:p w14:paraId="33C64F80" w14:textId="77777777" w:rsidR="00802DDD" w:rsidRPr="00B230C6" w:rsidRDefault="00802DDD" w:rsidP="00433D7D">
            <w:pPr>
              <w:pStyle w:val="Table-Left7"/>
              <w:rPr>
                <w:lang w:eastAsia="en-AU"/>
              </w:rPr>
            </w:pPr>
            <w:r w:rsidRPr="00B230C6">
              <w:rPr>
                <w:lang w:eastAsia="en-AU"/>
              </w:rPr>
              <w:t>Research utili</w:t>
            </w:r>
            <w:r>
              <w:rPr>
                <w:lang w:eastAsia="en-AU"/>
              </w:rPr>
              <w:t>s</w:t>
            </w:r>
            <w:r w:rsidRPr="00B230C6">
              <w:rPr>
                <w:lang w:eastAsia="en-AU"/>
              </w:rPr>
              <w:t>ation, knowledge transfer</w:t>
            </w:r>
          </w:p>
        </w:tc>
        <w:tc>
          <w:tcPr>
            <w:tcW w:w="2268" w:type="dxa"/>
            <w:shd w:val="clear" w:color="auto" w:fill="auto"/>
            <w:vAlign w:val="center"/>
            <w:hideMark/>
          </w:tcPr>
          <w:p w14:paraId="59E4AA54" w14:textId="77777777" w:rsidR="00802DDD" w:rsidRPr="00B230C6" w:rsidRDefault="00802DDD" w:rsidP="00433D7D">
            <w:pPr>
              <w:pStyle w:val="Table-Left7"/>
              <w:rPr>
                <w:lang w:eastAsia="en-AU"/>
              </w:rPr>
            </w:pPr>
            <w:r w:rsidRPr="00B230C6">
              <w:rPr>
                <w:lang w:eastAsia="en-AU"/>
              </w:rPr>
              <w:t>Technology, Economic, Institutional, Social Interaction</w:t>
            </w:r>
          </w:p>
        </w:tc>
        <w:tc>
          <w:tcPr>
            <w:tcW w:w="2613" w:type="dxa"/>
            <w:shd w:val="clear" w:color="auto" w:fill="auto"/>
            <w:vAlign w:val="center"/>
            <w:hideMark/>
          </w:tcPr>
          <w:p w14:paraId="346747A3" w14:textId="77777777" w:rsidR="00802DDD" w:rsidRPr="00B230C6" w:rsidRDefault="00802DDD" w:rsidP="00433D7D">
            <w:pPr>
              <w:pStyle w:val="Table-Left7"/>
              <w:rPr>
                <w:lang w:eastAsia="en-AU"/>
              </w:rPr>
            </w:pPr>
            <w:r w:rsidRPr="00B230C6">
              <w:rPr>
                <w:lang w:eastAsia="en-AU"/>
              </w:rPr>
              <w:t>Transmission, Cognition, Reference, Effort, Influence, Application</w:t>
            </w:r>
          </w:p>
        </w:tc>
      </w:tr>
      <w:tr w:rsidR="00802DDD" w:rsidRPr="00B230C6" w14:paraId="0B761168" w14:textId="77777777" w:rsidTr="00F55019">
        <w:trPr>
          <w:trHeight w:val="20"/>
        </w:trPr>
        <w:tc>
          <w:tcPr>
            <w:tcW w:w="0" w:type="auto"/>
            <w:shd w:val="clear" w:color="auto" w:fill="F2F2F2" w:themeFill="background1" w:themeFillShade="F2"/>
            <w:vAlign w:val="center"/>
            <w:hideMark/>
          </w:tcPr>
          <w:p w14:paraId="5A0ABE45" w14:textId="4F79FF29" w:rsidR="00802DDD" w:rsidRPr="00B230C6" w:rsidRDefault="00802DDD" w:rsidP="00433D7D">
            <w:pPr>
              <w:pStyle w:val="Table-Left7"/>
              <w:rPr>
                <w:lang w:eastAsia="en-AU"/>
              </w:rPr>
            </w:pPr>
            <w:r w:rsidRPr="00B230C6">
              <w:rPr>
                <w:lang w:eastAsia="en-AU"/>
              </w:rPr>
              <w:t xml:space="preserve">Royal Netherlands Academy of Arts and Sciences -Standard </w:t>
            </w:r>
            <w:r w:rsidRPr="00B230C6">
              <w:rPr>
                <w:lang w:eastAsia="en-AU"/>
              </w:rPr>
              <w:lastRenderedPageBreak/>
              <w:t xml:space="preserve">Evaluation Protocol (SEP) </w:t>
            </w:r>
            <w:r w:rsidR="00D62859">
              <w:rPr>
                <w:noProof/>
                <w:lang w:eastAsia="en-AU"/>
              </w:rPr>
              <w:t>(</w:t>
            </w:r>
            <w:r w:rsidR="00D62859" w:rsidRPr="00D62859">
              <w:t>VSNU et al., 2010</w:t>
            </w:r>
            <w:r w:rsidR="00D62859">
              <w:rPr>
                <w:noProof/>
                <w:lang w:eastAsia="en-AU"/>
              </w:rPr>
              <w:t>)</w:t>
            </w:r>
          </w:p>
        </w:tc>
        <w:tc>
          <w:tcPr>
            <w:tcW w:w="5606" w:type="dxa"/>
            <w:shd w:val="clear" w:color="auto" w:fill="F2F2F2" w:themeFill="background1" w:themeFillShade="F2"/>
            <w:vAlign w:val="center"/>
            <w:hideMark/>
          </w:tcPr>
          <w:p w14:paraId="69324909" w14:textId="77777777" w:rsidR="00802DDD" w:rsidRPr="00B230C6" w:rsidRDefault="00802DDD" w:rsidP="00433D7D">
            <w:pPr>
              <w:pStyle w:val="Table-Left7"/>
              <w:rPr>
                <w:lang w:eastAsia="en-AU"/>
              </w:rPr>
            </w:pPr>
            <w:r w:rsidRPr="00B230C6">
              <w:rPr>
                <w:lang w:eastAsia="en-AU"/>
              </w:rPr>
              <w:lastRenderedPageBreak/>
              <w:t>First introduced in 1993, the Standard Evaluation Protocol (SEP) is a Dutch framework created by KNAW, VSNU, and NWO. It reviews publicly funded universit</w:t>
            </w:r>
            <w:r>
              <w:rPr>
                <w:lang w:eastAsia="en-AU"/>
              </w:rPr>
              <w:t>y r</w:t>
            </w:r>
            <w:r w:rsidRPr="00B230C6">
              <w:rPr>
                <w:lang w:eastAsia="en-AU"/>
              </w:rPr>
              <w:t>es</w:t>
            </w:r>
            <w:r>
              <w:rPr>
                <w:lang w:eastAsia="en-AU"/>
              </w:rPr>
              <w:t>earch</w:t>
            </w:r>
            <w:r w:rsidRPr="00B230C6">
              <w:rPr>
                <w:lang w:eastAsia="en-AU"/>
              </w:rPr>
              <w:t xml:space="preserve"> every six years, focusing on research quality, societal relevance, and viability. SEP emphasi</w:t>
            </w:r>
            <w:r>
              <w:rPr>
                <w:lang w:eastAsia="en-AU"/>
              </w:rPr>
              <w:t>s</w:t>
            </w:r>
            <w:r w:rsidRPr="00B230C6">
              <w:rPr>
                <w:lang w:eastAsia="en-AU"/>
              </w:rPr>
              <w:t xml:space="preserve">es contributions to </w:t>
            </w:r>
            <w:r w:rsidRPr="00B230C6">
              <w:rPr>
                <w:lang w:eastAsia="en-AU"/>
              </w:rPr>
              <w:lastRenderedPageBreak/>
              <w:t>society, including economic, social, and cultural impacts, aligning academic research with national priorities and international standards</w:t>
            </w:r>
          </w:p>
        </w:tc>
        <w:tc>
          <w:tcPr>
            <w:tcW w:w="1701" w:type="dxa"/>
            <w:shd w:val="clear" w:color="auto" w:fill="F2F2F2" w:themeFill="background1" w:themeFillShade="F2"/>
            <w:vAlign w:val="center"/>
            <w:hideMark/>
          </w:tcPr>
          <w:p w14:paraId="4928D4A8" w14:textId="77777777" w:rsidR="00802DDD" w:rsidRPr="00B230C6" w:rsidRDefault="00802DDD" w:rsidP="00433D7D">
            <w:pPr>
              <w:pStyle w:val="Table-Left7"/>
              <w:rPr>
                <w:lang w:eastAsia="en-AU"/>
              </w:rPr>
            </w:pPr>
            <w:r w:rsidRPr="00B230C6">
              <w:rPr>
                <w:lang w:eastAsia="en-AU"/>
              </w:rPr>
              <w:lastRenderedPageBreak/>
              <w:t>Academic reputation, societal relevance</w:t>
            </w:r>
          </w:p>
        </w:tc>
        <w:tc>
          <w:tcPr>
            <w:tcW w:w="2268" w:type="dxa"/>
            <w:shd w:val="clear" w:color="auto" w:fill="F2F2F2" w:themeFill="background1" w:themeFillShade="F2"/>
            <w:vAlign w:val="center"/>
            <w:hideMark/>
          </w:tcPr>
          <w:p w14:paraId="3E730A92" w14:textId="77777777" w:rsidR="00802DDD" w:rsidRPr="00B230C6" w:rsidRDefault="00802DDD" w:rsidP="00433D7D">
            <w:pPr>
              <w:pStyle w:val="Table-Left7"/>
              <w:rPr>
                <w:lang w:eastAsia="en-AU"/>
              </w:rPr>
            </w:pPr>
            <w:r w:rsidRPr="00B230C6">
              <w:rPr>
                <w:lang w:eastAsia="en-AU"/>
              </w:rPr>
              <w:t>Research Output, Earning Capacity, Academic Reputation, Societal Relevance, Viability</w:t>
            </w:r>
          </w:p>
        </w:tc>
        <w:tc>
          <w:tcPr>
            <w:tcW w:w="2613" w:type="dxa"/>
            <w:shd w:val="clear" w:color="auto" w:fill="F2F2F2" w:themeFill="background1" w:themeFillShade="F2"/>
            <w:vAlign w:val="center"/>
            <w:hideMark/>
          </w:tcPr>
          <w:p w14:paraId="5E695F33" w14:textId="77777777" w:rsidR="00802DDD" w:rsidRPr="00B230C6" w:rsidRDefault="00802DDD" w:rsidP="00433D7D">
            <w:pPr>
              <w:pStyle w:val="Table-Left7"/>
              <w:rPr>
                <w:lang w:eastAsia="en-AU"/>
              </w:rPr>
            </w:pPr>
            <w:r w:rsidRPr="00B230C6">
              <w:rPr>
                <w:lang w:eastAsia="en-AU"/>
              </w:rPr>
              <w:t>Number of publications, PhDs, project funding, prizes, socio-cultural/economic quality, resource management, innovative capacity</w:t>
            </w:r>
          </w:p>
        </w:tc>
      </w:tr>
      <w:tr w:rsidR="00802DDD" w:rsidRPr="00B230C6" w14:paraId="0930FF44" w14:textId="77777777" w:rsidTr="00F55019">
        <w:trPr>
          <w:trHeight w:val="20"/>
        </w:trPr>
        <w:tc>
          <w:tcPr>
            <w:tcW w:w="0" w:type="auto"/>
            <w:shd w:val="clear" w:color="auto" w:fill="auto"/>
            <w:vAlign w:val="center"/>
            <w:hideMark/>
          </w:tcPr>
          <w:p w14:paraId="4B866925" w14:textId="4712FD07" w:rsidR="00802DDD" w:rsidRPr="00B230C6" w:rsidRDefault="00802DDD" w:rsidP="00433D7D">
            <w:pPr>
              <w:pStyle w:val="Table-Left7"/>
              <w:rPr>
                <w:lang w:eastAsia="en-AU"/>
              </w:rPr>
            </w:pPr>
            <w:r w:rsidRPr="00B230C6">
              <w:rPr>
                <w:lang w:eastAsia="en-AU"/>
              </w:rPr>
              <w:t xml:space="preserve">SIAMPI </w:t>
            </w:r>
            <w:r w:rsidR="00D62859">
              <w:rPr>
                <w:noProof/>
                <w:lang w:eastAsia="en-AU"/>
              </w:rPr>
              <w:t>(</w:t>
            </w:r>
            <w:proofErr w:type="spellStart"/>
            <w:r w:rsidR="00D62859" w:rsidRPr="00D62859">
              <w:t>Spaapen</w:t>
            </w:r>
            <w:proofErr w:type="spellEnd"/>
            <w:r w:rsidR="00D62859" w:rsidRPr="00D62859">
              <w:t xml:space="preserve"> et al., 2011</w:t>
            </w:r>
            <w:r w:rsidR="00D62859">
              <w:rPr>
                <w:noProof/>
                <w:lang w:eastAsia="en-AU"/>
              </w:rPr>
              <w:t>)</w:t>
            </w:r>
          </w:p>
        </w:tc>
        <w:tc>
          <w:tcPr>
            <w:tcW w:w="5606" w:type="dxa"/>
            <w:shd w:val="clear" w:color="auto" w:fill="auto"/>
            <w:vAlign w:val="center"/>
            <w:hideMark/>
          </w:tcPr>
          <w:p w14:paraId="7E7C8A47" w14:textId="77777777" w:rsidR="00802DDD" w:rsidRPr="00B230C6" w:rsidRDefault="00802DDD" w:rsidP="00433D7D">
            <w:pPr>
              <w:pStyle w:val="Table-Left7"/>
              <w:rPr>
                <w:lang w:eastAsia="en-AU"/>
              </w:rPr>
            </w:pPr>
            <w:r w:rsidRPr="00B230C6">
              <w:rPr>
                <w:lang w:eastAsia="en-AU"/>
              </w:rPr>
              <w:t>The Social Impact Assessment Methods for Research and Funding Instruments through the Study of Productive Interactions between Science and Society (SIAMPI) framework, first published in 2011, originated in the Netherlands. It focuses on assessing the social impact of research by emphasi</w:t>
            </w:r>
            <w:r>
              <w:rPr>
                <w:lang w:eastAsia="en-AU"/>
              </w:rPr>
              <w:t>s</w:t>
            </w:r>
            <w:r w:rsidRPr="00B230C6">
              <w:rPr>
                <w:lang w:eastAsia="en-AU"/>
              </w:rPr>
              <w:t>ing "productive interactions" between researchers and stakeholders. The framework builds on existing evaluation models, incorporating insights from social sciences to capture complex interactions that lead to societal benefits. SIAMPI aligns with national and EU priorities by aiming to enhance the relevance of scientific research to society and promote responsible innovation</w:t>
            </w:r>
            <w:r w:rsidRPr="00B230C6">
              <w:rPr>
                <w:rFonts w:ascii="Arial" w:hAnsi="Arial" w:cs="Arial"/>
                <w:lang w:eastAsia="en-AU"/>
              </w:rPr>
              <w:t>​</w:t>
            </w:r>
          </w:p>
        </w:tc>
        <w:tc>
          <w:tcPr>
            <w:tcW w:w="1701" w:type="dxa"/>
            <w:shd w:val="clear" w:color="auto" w:fill="auto"/>
            <w:vAlign w:val="center"/>
            <w:hideMark/>
          </w:tcPr>
          <w:p w14:paraId="0AD1BDD5" w14:textId="77777777" w:rsidR="00802DDD" w:rsidRPr="00B230C6" w:rsidRDefault="00802DDD" w:rsidP="00433D7D">
            <w:pPr>
              <w:pStyle w:val="Table-Left7"/>
              <w:rPr>
                <w:lang w:eastAsia="en-AU"/>
              </w:rPr>
            </w:pPr>
            <w:r w:rsidRPr="00B230C6">
              <w:rPr>
                <w:lang w:eastAsia="en-AU"/>
              </w:rPr>
              <w:t>Stakeholder engagement, societal, economic</w:t>
            </w:r>
          </w:p>
        </w:tc>
        <w:tc>
          <w:tcPr>
            <w:tcW w:w="2268" w:type="dxa"/>
            <w:shd w:val="clear" w:color="auto" w:fill="auto"/>
            <w:vAlign w:val="center"/>
            <w:hideMark/>
          </w:tcPr>
          <w:p w14:paraId="2B6C478E" w14:textId="77777777" w:rsidR="00802DDD" w:rsidRPr="00B230C6" w:rsidRDefault="00802DDD" w:rsidP="00433D7D">
            <w:pPr>
              <w:pStyle w:val="Table-Left7"/>
              <w:rPr>
                <w:lang w:eastAsia="en-AU"/>
              </w:rPr>
            </w:pPr>
            <w:r w:rsidRPr="00B230C6">
              <w:rPr>
                <w:lang w:eastAsia="en-AU"/>
              </w:rPr>
              <w:t>Knowledge Dissemination, Stakeholder Interest, Impact and Use of Results</w:t>
            </w:r>
          </w:p>
        </w:tc>
        <w:tc>
          <w:tcPr>
            <w:tcW w:w="2613" w:type="dxa"/>
            <w:shd w:val="clear" w:color="auto" w:fill="auto"/>
            <w:vAlign w:val="center"/>
            <w:hideMark/>
          </w:tcPr>
          <w:p w14:paraId="7401EEBF" w14:textId="77777777" w:rsidR="00802DDD" w:rsidRPr="00B230C6" w:rsidRDefault="00802DDD" w:rsidP="00433D7D">
            <w:pPr>
              <w:pStyle w:val="Table-Left7"/>
              <w:rPr>
                <w:lang w:eastAsia="en-AU"/>
              </w:rPr>
            </w:pPr>
            <w:r w:rsidRPr="00B230C6">
              <w:rPr>
                <w:lang w:eastAsia="en-AU"/>
              </w:rPr>
              <w:t>PhDs in industry, joint roadmaps, patents, market launch of new products, spin-offs, staff exchanges</w:t>
            </w:r>
          </w:p>
        </w:tc>
      </w:tr>
      <w:tr w:rsidR="00802DDD" w:rsidRPr="00B230C6" w14:paraId="6F20D2C2" w14:textId="77777777" w:rsidTr="00F55019">
        <w:trPr>
          <w:trHeight w:val="20"/>
        </w:trPr>
        <w:tc>
          <w:tcPr>
            <w:tcW w:w="0" w:type="auto"/>
            <w:shd w:val="clear" w:color="auto" w:fill="F2F2F2" w:themeFill="background1" w:themeFillShade="F2"/>
            <w:vAlign w:val="center"/>
            <w:hideMark/>
          </w:tcPr>
          <w:p w14:paraId="37BD7A24" w14:textId="685CD02A" w:rsidR="00802DDD" w:rsidRPr="00B230C6" w:rsidRDefault="00802DDD" w:rsidP="00433D7D">
            <w:pPr>
              <w:pStyle w:val="Table-Left7"/>
              <w:rPr>
                <w:lang w:eastAsia="en-AU"/>
              </w:rPr>
            </w:pPr>
            <w:r w:rsidRPr="00B230C6">
              <w:rPr>
                <w:lang w:eastAsia="en-AU"/>
              </w:rPr>
              <w:t xml:space="preserve">Researchfish </w:t>
            </w:r>
            <w:r w:rsidR="00D62859">
              <w:rPr>
                <w:noProof/>
                <w:lang w:eastAsia="en-AU"/>
              </w:rPr>
              <w:t>(</w:t>
            </w:r>
            <w:r w:rsidR="00D62859" w:rsidRPr="00D62859">
              <w:t>Hinrichs et al., 2015</w:t>
            </w:r>
            <w:r w:rsidR="00D62859">
              <w:rPr>
                <w:noProof/>
                <w:lang w:eastAsia="en-AU"/>
              </w:rPr>
              <w:t>)</w:t>
            </w:r>
          </w:p>
        </w:tc>
        <w:tc>
          <w:tcPr>
            <w:tcW w:w="5606" w:type="dxa"/>
            <w:shd w:val="clear" w:color="auto" w:fill="F2F2F2" w:themeFill="background1" w:themeFillShade="F2"/>
            <w:vAlign w:val="center"/>
            <w:hideMark/>
          </w:tcPr>
          <w:p w14:paraId="7B0397E2" w14:textId="77777777" w:rsidR="00802DDD" w:rsidRPr="00B230C6" w:rsidRDefault="00802DDD" w:rsidP="00433D7D">
            <w:pPr>
              <w:pStyle w:val="Table-Left7"/>
              <w:rPr>
                <w:lang w:eastAsia="en-AU"/>
              </w:rPr>
            </w:pPr>
            <w:r w:rsidRPr="00B230C6">
              <w:rPr>
                <w:lang w:eastAsia="en-AU"/>
              </w:rPr>
              <w:t>Researchfish is a UK-based online platform launched in 2012 for researchers to report and manage the outcomes of their work across multiple funders. It functions as a data collection service that allows researchers to document a wide range of research outputs, outcomes, and impacts, facilitating accountability and enabling funders to assess the effectiveness of their investments. The platform originated from the Research Assessment Impact Scoring System (RAISS) and evolved through collaboration with the Medical Research Council (MRC) and other funding organi</w:t>
            </w:r>
            <w:r>
              <w:rPr>
                <w:lang w:eastAsia="en-AU"/>
              </w:rPr>
              <w:t>s</w:t>
            </w:r>
            <w:r w:rsidRPr="00B230C6">
              <w:rPr>
                <w:lang w:eastAsia="en-AU"/>
              </w:rPr>
              <w:t>ations. Researchfish supports data-driven decision-making in research funding, capturing diverse impacts from publications to policy changes</w:t>
            </w:r>
            <w:r>
              <w:rPr>
                <w:lang w:eastAsia="en-AU"/>
              </w:rPr>
              <w:t>.</w:t>
            </w:r>
            <w:r w:rsidRPr="00B230C6">
              <w:rPr>
                <w:rFonts w:ascii="Arial" w:hAnsi="Arial" w:cs="Arial"/>
                <w:lang w:eastAsia="en-AU"/>
              </w:rPr>
              <w:t>​</w:t>
            </w:r>
          </w:p>
        </w:tc>
        <w:tc>
          <w:tcPr>
            <w:tcW w:w="1701" w:type="dxa"/>
            <w:shd w:val="clear" w:color="auto" w:fill="F2F2F2" w:themeFill="background1" w:themeFillShade="F2"/>
            <w:vAlign w:val="center"/>
            <w:hideMark/>
          </w:tcPr>
          <w:p w14:paraId="53E6AD04" w14:textId="77777777" w:rsidR="00802DDD" w:rsidRPr="00B230C6" w:rsidRDefault="00802DDD" w:rsidP="00433D7D">
            <w:pPr>
              <w:pStyle w:val="Table-Left7"/>
              <w:rPr>
                <w:lang w:eastAsia="en-AU"/>
              </w:rPr>
            </w:pPr>
            <w:r w:rsidRPr="00B230C6">
              <w:rPr>
                <w:lang w:eastAsia="en-AU"/>
              </w:rPr>
              <w:t>Regular monitoring of research outputs and impacts</w:t>
            </w:r>
          </w:p>
        </w:tc>
        <w:tc>
          <w:tcPr>
            <w:tcW w:w="2268" w:type="dxa"/>
            <w:shd w:val="clear" w:color="auto" w:fill="F2F2F2" w:themeFill="background1" w:themeFillShade="F2"/>
            <w:vAlign w:val="center"/>
            <w:hideMark/>
          </w:tcPr>
          <w:p w14:paraId="53884C4B" w14:textId="77777777" w:rsidR="00802DDD" w:rsidRPr="00B230C6" w:rsidRDefault="00802DDD" w:rsidP="00433D7D">
            <w:pPr>
              <w:pStyle w:val="Table-Left7"/>
              <w:rPr>
                <w:lang w:eastAsia="en-AU"/>
              </w:rPr>
            </w:pPr>
            <w:r w:rsidRPr="00B230C6">
              <w:rPr>
                <w:lang w:eastAsia="en-AU"/>
              </w:rPr>
              <w:t>Publications, Collaboration, Further Funding, Engagement, Policy Influence, Clinical Trials, Awards</w:t>
            </w:r>
          </w:p>
        </w:tc>
        <w:tc>
          <w:tcPr>
            <w:tcW w:w="2613" w:type="dxa"/>
            <w:shd w:val="clear" w:color="auto" w:fill="F2F2F2" w:themeFill="background1" w:themeFillShade="F2"/>
            <w:vAlign w:val="center"/>
            <w:hideMark/>
          </w:tcPr>
          <w:p w14:paraId="2EE3AAEB" w14:textId="77777777" w:rsidR="00802DDD" w:rsidRPr="00B230C6" w:rsidRDefault="00802DDD" w:rsidP="00433D7D">
            <w:pPr>
              <w:pStyle w:val="Table-Left7"/>
              <w:rPr>
                <w:lang w:eastAsia="en-AU"/>
              </w:rPr>
            </w:pPr>
            <w:r w:rsidRPr="00B230C6">
              <w:rPr>
                <w:lang w:eastAsia="en-AU"/>
              </w:rPr>
              <w:t>Publications, collaboration data, further funding, policy influence, clinical trials data, IP data, awards and recognition</w:t>
            </w:r>
          </w:p>
        </w:tc>
      </w:tr>
      <w:tr w:rsidR="00802DDD" w:rsidRPr="00B230C6" w14:paraId="12350798" w14:textId="77777777" w:rsidTr="00F55019">
        <w:trPr>
          <w:trHeight w:val="20"/>
        </w:trPr>
        <w:tc>
          <w:tcPr>
            <w:tcW w:w="0" w:type="auto"/>
            <w:shd w:val="clear" w:color="auto" w:fill="auto"/>
            <w:vAlign w:val="center"/>
            <w:hideMark/>
          </w:tcPr>
          <w:p w14:paraId="59425110" w14:textId="1BFECE30" w:rsidR="00802DDD" w:rsidRPr="00B230C6" w:rsidRDefault="00802DDD" w:rsidP="00433D7D">
            <w:pPr>
              <w:pStyle w:val="Table-Left7"/>
              <w:rPr>
                <w:lang w:eastAsia="en-AU"/>
              </w:rPr>
            </w:pPr>
            <w:r w:rsidRPr="00B230C6">
              <w:rPr>
                <w:lang w:eastAsia="en-AU"/>
              </w:rPr>
              <w:t xml:space="preserve">Multidimensional Assessment Model </w:t>
            </w:r>
            <w:r w:rsidR="00D62859">
              <w:rPr>
                <w:noProof/>
                <w:lang w:eastAsia="en-AU"/>
              </w:rPr>
              <w:t>(</w:t>
            </w:r>
            <w:r w:rsidR="00D62859" w:rsidRPr="00D62859">
              <w:t>Moed &amp; Halevi, 2015</w:t>
            </w:r>
            <w:r w:rsidR="00D62859">
              <w:rPr>
                <w:noProof/>
                <w:lang w:eastAsia="en-AU"/>
              </w:rPr>
              <w:t>)</w:t>
            </w:r>
          </w:p>
        </w:tc>
        <w:tc>
          <w:tcPr>
            <w:tcW w:w="5606" w:type="dxa"/>
            <w:shd w:val="clear" w:color="auto" w:fill="auto"/>
            <w:vAlign w:val="center"/>
            <w:hideMark/>
          </w:tcPr>
          <w:p w14:paraId="602CC4ED" w14:textId="77777777" w:rsidR="00802DDD" w:rsidRPr="00B230C6" w:rsidRDefault="00802DDD" w:rsidP="00433D7D">
            <w:pPr>
              <w:pStyle w:val="Table-Left7"/>
              <w:rPr>
                <w:lang w:eastAsia="en-AU"/>
              </w:rPr>
            </w:pPr>
            <w:r w:rsidRPr="00B230C6">
              <w:rPr>
                <w:lang w:eastAsia="en-AU"/>
              </w:rPr>
              <w:t>The Multidimensional Assessment Model, established in 2014, focuses on selecting metrics for research assessment based on the assessment</w:t>
            </w:r>
            <w:r>
              <w:rPr>
                <w:lang w:eastAsia="en-AU"/>
              </w:rPr>
              <w:t xml:space="preserve"> unit</w:t>
            </w:r>
            <w:r w:rsidRPr="00B230C6">
              <w:rPr>
                <w:lang w:eastAsia="en-AU"/>
              </w:rPr>
              <w:t xml:space="preserve"> and policy context. It integrates various metrics, including bibliometrics and altmetrics, to evaluate individual, group, and institutional</w:t>
            </w:r>
            <w:r>
              <w:rPr>
                <w:lang w:eastAsia="en-AU"/>
              </w:rPr>
              <w:t xml:space="preserve"> performance</w:t>
            </w:r>
            <w:r w:rsidRPr="00B230C6">
              <w:rPr>
                <w:lang w:eastAsia="en-AU"/>
              </w:rPr>
              <w:t>. This model aids in funding decisions and enhances accountability, aligning with national and institutional research priorities for quality improvement.</w:t>
            </w:r>
          </w:p>
        </w:tc>
        <w:tc>
          <w:tcPr>
            <w:tcW w:w="1701" w:type="dxa"/>
            <w:shd w:val="clear" w:color="auto" w:fill="auto"/>
            <w:vAlign w:val="center"/>
            <w:hideMark/>
          </w:tcPr>
          <w:p w14:paraId="308BAA71" w14:textId="77777777" w:rsidR="00802DDD" w:rsidRPr="00B230C6" w:rsidRDefault="00802DDD" w:rsidP="00433D7D">
            <w:pPr>
              <w:pStyle w:val="Table-Left7"/>
              <w:rPr>
                <w:lang w:eastAsia="en-AU"/>
              </w:rPr>
            </w:pPr>
            <w:r w:rsidRPr="00B230C6">
              <w:rPr>
                <w:lang w:eastAsia="en-AU"/>
              </w:rPr>
              <w:t>Knowledge growth, societal and economic impacts</w:t>
            </w:r>
          </w:p>
        </w:tc>
        <w:tc>
          <w:tcPr>
            <w:tcW w:w="2268" w:type="dxa"/>
            <w:shd w:val="clear" w:color="auto" w:fill="auto"/>
            <w:vAlign w:val="center"/>
            <w:hideMark/>
          </w:tcPr>
          <w:p w14:paraId="79166B91" w14:textId="77777777" w:rsidR="00802DDD" w:rsidRPr="00B230C6" w:rsidRDefault="00802DDD" w:rsidP="00433D7D">
            <w:pPr>
              <w:pStyle w:val="Table-Left7"/>
              <w:rPr>
                <w:lang w:eastAsia="en-AU"/>
              </w:rPr>
            </w:pPr>
            <w:r w:rsidRPr="00B230C6">
              <w:rPr>
                <w:lang w:eastAsia="en-AU"/>
              </w:rPr>
              <w:t>Knowledge Growth, Research Networks, Publication Outlets, Social Impact, Technological Impact, Economic Impact, Cultural Impact</w:t>
            </w:r>
          </w:p>
        </w:tc>
        <w:tc>
          <w:tcPr>
            <w:tcW w:w="2613" w:type="dxa"/>
            <w:shd w:val="clear" w:color="auto" w:fill="auto"/>
            <w:vAlign w:val="center"/>
            <w:hideMark/>
          </w:tcPr>
          <w:p w14:paraId="6C29948E" w14:textId="77777777" w:rsidR="00802DDD" w:rsidRPr="00B230C6" w:rsidRDefault="00802DDD" w:rsidP="00433D7D">
            <w:pPr>
              <w:pStyle w:val="Table-Left7"/>
              <w:rPr>
                <w:lang w:eastAsia="en-AU"/>
              </w:rPr>
            </w:pPr>
            <w:r w:rsidRPr="00B230C6">
              <w:rPr>
                <w:lang w:eastAsia="en-AU"/>
              </w:rPr>
              <w:t>Publications and citations, Co-authorship, Patents, Revenues from commerciali</w:t>
            </w:r>
            <w:r>
              <w:rPr>
                <w:lang w:eastAsia="en-AU"/>
              </w:rPr>
              <w:t>s</w:t>
            </w:r>
            <w:r w:rsidRPr="00B230C6">
              <w:rPr>
                <w:lang w:eastAsia="en-AU"/>
              </w:rPr>
              <w:t>ation, Employability, Social media mentions</w:t>
            </w:r>
          </w:p>
        </w:tc>
      </w:tr>
      <w:tr w:rsidR="00802DDD" w:rsidRPr="00B230C6" w14:paraId="0063893C" w14:textId="77777777" w:rsidTr="00F55019">
        <w:trPr>
          <w:trHeight w:val="20"/>
        </w:trPr>
        <w:tc>
          <w:tcPr>
            <w:tcW w:w="0" w:type="auto"/>
            <w:shd w:val="clear" w:color="auto" w:fill="F2F2F2" w:themeFill="background1" w:themeFillShade="F2"/>
            <w:vAlign w:val="center"/>
            <w:hideMark/>
          </w:tcPr>
          <w:p w14:paraId="17711D60" w14:textId="09CA10E9" w:rsidR="00802DDD" w:rsidRPr="00B230C6" w:rsidRDefault="00802DDD" w:rsidP="00433D7D">
            <w:pPr>
              <w:pStyle w:val="Table-Left7"/>
              <w:rPr>
                <w:lang w:eastAsia="en-AU"/>
              </w:rPr>
            </w:pPr>
            <w:r w:rsidRPr="00B230C6">
              <w:rPr>
                <w:lang w:eastAsia="en-AU"/>
              </w:rPr>
              <w:t xml:space="preserve">Realist Evaluation </w:t>
            </w:r>
            <w:r w:rsidR="00D62859">
              <w:rPr>
                <w:noProof/>
                <w:lang w:eastAsia="en-AU"/>
              </w:rPr>
              <w:t>(</w:t>
            </w:r>
            <w:r w:rsidR="00D62859" w:rsidRPr="00D62859">
              <w:t>Rycroft-Malone et al., 2015</w:t>
            </w:r>
            <w:r w:rsidR="00D62859">
              <w:rPr>
                <w:noProof/>
                <w:lang w:eastAsia="en-AU"/>
              </w:rPr>
              <w:t>)</w:t>
            </w:r>
          </w:p>
        </w:tc>
        <w:tc>
          <w:tcPr>
            <w:tcW w:w="5606" w:type="dxa"/>
            <w:shd w:val="clear" w:color="auto" w:fill="F2F2F2" w:themeFill="background1" w:themeFillShade="F2"/>
            <w:vAlign w:val="center"/>
            <w:hideMark/>
          </w:tcPr>
          <w:p w14:paraId="6980A677" w14:textId="77777777" w:rsidR="00802DDD" w:rsidRPr="00B230C6" w:rsidRDefault="00802DDD" w:rsidP="00433D7D">
            <w:pPr>
              <w:pStyle w:val="Table-Left7"/>
              <w:rPr>
                <w:lang w:eastAsia="en-AU"/>
              </w:rPr>
            </w:pPr>
            <w:r w:rsidRPr="00B230C6">
              <w:rPr>
                <w:lang w:eastAsia="en-AU"/>
              </w:rPr>
              <w:t>Realist Evaluation, first introduced by Ray Pawson and Nick Tilley in 1997, is a theory-driven evaluation method developed in the UK. This framework emphasi</w:t>
            </w:r>
            <w:r>
              <w:rPr>
                <w:lang w:eastAsia="en-AU"/>
              </w:rPr>
              <w:t>s</w:t>
            </w:r>
            <w:r w:rsidRPr="00B230C6">
              <w:rPr>
                <w:lang w:eastAsia="en-AU"/>
              </w:rPr>
              <w:t>es understanding how and why interventions work in specific contexts, focusing on the interplay between context, mechanisms, and outcomes (the CMO framework). By acknowledging that different contexts can significantly affect the effectiveness of interventions, Realist Evaluation aims to generate insights that are more relevant to policymakers and practitioners than traditional evaluation methods. The approach aligns with organi</w:t>
            </w:r>
            <w:r>
              <w:rPr>
                <w:lang w:eastAsia="en-AU"/>
              </w:rPr>
              <w:t>s</w:t>
            </w:r>
            <w:r w:rsidRPr="00B230C6">
              <w:rPr>
                <w:lang w:eastAsia="en-AU"/>
              </w:rPr>
              <w:t>ational priorities for evidence-based decision-making, particularly in complex social programs</w:t>
            </w:r>
            <w:r>
              <w:rPr>
                <w:lang w:eastAsia="en-AU"/>
              </w:rPr>
              <w:t>.</w:t>
            </w:r>
            <w:r w:rsidRPr="00B230C6">
              <w:rPr>
                <w:rFonts w:ascii="Arial" w:hAnsi="Arial" w:cs="Arial"/>
                <w:lang w:eastAsia="en-AU"/>
              </w:rPr>
              <w:t>​</w:t>
            </w:r>
          </w:p>
        </w:tc>
        <w:tc>
          <w:tcPr>
            <w:tcW w:w="1701" w:type="dxa"/>
            <w:shd w:val="clear" w:color="auto" w:fill="F2F2F2" w:themeFill="background1" w:themeFillShade="F2"/>
            <w:vAlign w:val="center"/>
            <w:hideMark/>
          </w:tcPr>
          <w:p w14:paraId="077F2516" w14:textId="77777777" w:rsidR="00802DDD" w:rsidRPr="00B230C6" w:rsidRDefault="00802DDD" w:rsidP="00433D7D">
            <w:pPr>
              <w:pStyle w:val="Table-Left7"/>
              <w:rPr>
                <w:lang w:eastAsia="en-AU"/>
              </w:rPr>
            </w:pPr>
            <w:r w:rsidRPr="00B230C6">
              <w:rPr>
                <w:lang w:eastAsia="en-AU"/>
              </w:rPr>
              <w:t>Knowledge mobili</w:t>
            </w:r>
            <w:r>
              <w:rPr>
                <w:lang w:eastAsia="en-AU"/>
              </w:rPr>
              <w:t>s</w:t>
            </w:r>
            <w:r w:rsidRPr="00B230C6">
              <w:rPr>
                <w:lang w:eastAsia="en-AU"/>
              </w:rPr>
              <w:t>ation, collaboration, cultural change</w:t>
            </w:r>
          </w:p>
        </w:tc>
        <w:tc>
          <w:tcPr>
            <w:tcW w:w="2268" w:type="dxa"/>
            <w:shd w:val="clear" w:color="auto" w:fill="F2F2F2" w:themeFill="background1" w:themeFillShade="F2"/>
            <w:vAlign w:val="center"/>
            <w:hideMark/>
          </w:tcPr>
          <w:p w14:paraId="33BE6827" w14:textId="77777777" w:rsidR="00802DDD" w:rsidRPr="00B230C6" w:rsidRDefault="00802DDD" w:rsidP="00433D7D">
            <w:pPr>
              <w:pStyle w:val="Table-Left7"/>
              <w:rPr>
                <w:lang w:eastAsia="en-AU"/>
              </w:rPr>
            </w:pPr>
            <w:r w:rsidRPr="00B230C6">
              <w:rPr>
                <w:lang w:eastAsia="en-AU"/>
              </w:rPr>
              <w:t>Direct, Processual &amp; Conceptual Impacts, Personal Impacts, Collaboration for Leadership Impact</w:t>
            </w:r>
          </w:p>
        </w:tc>
        <w:tc>
          <w:tcPr>
            <w:tcW w:w="2613" w:type="dxa"/>
            <w:shd w:val="clear" w:color="auto" w:fill="F2F2F2" w:themeFill="background1" w:themeFillShade="F2"/>
            <w:vAlign w:val="center"/>
            <w:hideMark/>
          </w:tcPr>
          <w:p w14:paraId="2AAE6B9F" w14:textId="77777777" w:rsidR="00802DDD" w:rsidRPr="00B230C6" w:rsidRDefault="00802DDD" w:rsidP="00433D7D">
            <w:pPr>
              <w:pStyle w:val="Table-Left7"/>
              <w:rPr>
                <w:lang w:eastAsia="en-AU"/>
              </w:rPr>
            </w:pPr>
            <w:r w:rsidRPr="00B230C6">
              <w:rPr>
                <w:lang w:eastAsia="en-AU"/>
              </w:rPr>
              <w:t>Tool/project impacts, publications, grant capture, cultural change</w:t>
            </w:r>
          </w:p>
        </w:tc>
      </w:tr>
      <w:tr w:rsidR="00802DDD" w:rsidRPr="00B230C6" w14:paraId="72DE8D9B" w14:textId="77777777" w:rsidTr="00F55019">
        <w:trPr>
          <w:trHeight w:val="20"/>
        </w:trPr>
        <w:tc>
          <w:tcPr>
            <w:tcW w:w="0" w:type="auto"/>
            <w:shd w:val="clear" w:color="auto" w:fill="auto"/>
            <w:vAlign w:val="center"/>
            <w:hideMark/>
          </w:tcPr>
          <w:p w14:paraId="05946771" w14:textId="3704C242" w:rsidR="00802DDD" w:rsidRPr="00B230C6" w:rsidRDefault="00802DDD" w:rsidP="00433D7D">
            <w:pPr>
              <w:pStyle w:val="Table-Left7"/>
              <w:rPr>
                <w:lang w:eastAsia="en-AU"/>
              </w:rPr>
            </w:pPr>
            <w:r w:rsidRPr="00B230C6">
              <w:rPr>
                <w:lang w:eastAsia="en-AU"/>
              </w:rPr>
              <w:t xml:space="preserve">CSIRO Impact Evaluation Framework  </w:t>
            </w:r>
            <w:r w:rsidR="00D62859">
              <w:rPr>
                <w:noProof/>
                <w:lang w:eastAsia="en-AU"/>
              </w:rPr>
              <w:t>(</w:t>
            </w:r>
            <w:r w:rsidR="00D62859" w:rsidRPr="00D62859">
              <w:t>Commonwealth Scientific Industrial Research Organisation (CSIRO), 2020</w:t>
            </w:r>
            <w:r w:rsidR="00D62859">
              <w:rPr>
                <w:noProof/>
                <w:lang w:eastAsia="en-AU"/>
              </w:rPr>
              <w:t>)</w:t>
            </w:r>
          </w:p>
        </w:tc>
        <w:tc>
          <w:tcPr>
            <w:tcW w:w="5606" w:type="dxa"/>
            <w:shd w:val="clear" w:color="auto" w:fill="auto"/>
            <w:vAlign w:val="center"/>
            <w:hideMark/>
          </w:tcPr>
          <w:p w14:paraId="295106B6"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t>The CSIRO Impact Evaluation Framework, first published in 2020, is an initiative from Australia designed to systematically assess the impact of research conducted by the Commonwealth Scientific and Industrial Research Organisation (CSIRO). It is based on a logic model and emphasi</w:t>
            </w:r>
            <w:r>
              <w:rPr>
                <w:rFonts w:ascii="Aptos Narrow" w:hAnsi="Aptos Narrow"/>
                <w:lang w:eastAsia="en-AU"/>
              </w:rPr>
              <w:t>s</w:t>
            </w:r>
            <w:r w:rsidRPr="00B230C6">
              <w:rPr>
                <w:rFonts w:ascii="Aptos Narrow" w:hAnsi="Aptos Narrow"/>
                <w:lang w:eastAsia="en-AU"/>
              </w:rPr>
              <w:t>es a theory of change approach that tracks the process by which research translates into environmental, social, and economic benefits. This framework aligns with national priorities by addressing local, regional, national, and global needs, ensuring that research activities contribute meaningfully to Australia's competitiveness and well-being</w:t>
            </w:r>
            <w:r>
              <w:rPr>
                <w:rFonts w:ascii="Aptos Narrow" w:hAnsi="Aptos Narrow"/>
                <w:lang w:eastAsia="en-AU"/>
              </w:rPr>
              <w:t>.</w:t>
            </w:r>
          </w:p>
        </w:tc>
        <w:tc>
          <w:tcPr>
            <w:tcW w:w="1701" w:type="dxa"/>
            <w:shd w:val="clear" w:color="auto" w:fill="auto"/>
            <w:vAlign w:val="center"/>
            <w:hideMark/>
          </w:tcPr>
          <w:p w14:paraId="247B3FDC"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t>Knowledge dissemination, societal well-being, environmental sustainability, policy influence, economic growth</w:t>
            </w:r>
          </w:p>
        </w:tc>
        <w:tc>
          <w:tcPr>
            <w:tcW w:w="2268" w:type="dxa"/>
            <w:shd w:val="clear" w:color="auto" w:fill="auto"/>
            <w:vAlign w:val="center"/>
            <w:hideMark/>
          </w:tcPr>
          <w:p w14:paraId="274D9003"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t>Knowledge Creation, Societal Well-being, Economic Impact, Environmental Impact, Policy Impact, Capacity Building</w:t>
            </w:r>
          </w:p>
        </w:tc>
        <w:tc>
          <w:tcPr>
            <w:tcW w:w="2613" w:type="dxa"/>
            <w:shd w:val="clear" w:color="auto" w:fill="auto"/>
            <w:vAlign w:val="center"/>
            <w:hideMark/>
          </w:tcPr>
          <w:p w14:paraId="659A7DF2"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t>Publications, patents, collaborations, policy changes, environmental improvements, economic returns</w:t>
            </w:r>
          </w:p>
        </w:tc>
      </w:tr>
      <w:tr w:rsidR="00802DDD" w:rsidRPr="00B230C6" w14:paraId="216DD0AE" w14:textId="77777777" w:rsidTr="00F55019">
        <w:trPr>
          <w:trHeight w:val="20"/>
        </w:trPr>
        <w:tc>
          <w:tcPr>
            <w:tcW w:w="0" w:type="auto"/>
            <w:shd w:val="clear" w:color="auto" w:fill="F2F2F2" w:themeFill="background1" w:themeFillShade="F2"/>
            <w:vAlign w:val="center"/>
            <w:hideMark/>
          </w:tcPr>
          <w:p w14:paraId="5EEB6FFD" w14:textId="43808134" w:rsidR="00802DDD" w:rsidRPr="00B230C6" w:rsidRDefault="00802DDD" w:rsidP="00433D7D">
            <w:pPr>
              <w:pStyle w:val="Table-Left7"/>
              <w:rPr>
                <w:lang w:eastAsia="en-AU"/>
              </w:rPr>
            </w:pPr>
            <w:r w:rsidRPr="00B230C6">
              <w:rPr>
                <w:lang w:eastAsia="en-AU"/>
              </w:rPr>
              <w:t xml:space="preserve">Horizon Europe Key Impact Pathways </w:t>
            </w:r>
            <w:r w:rsidR="00D62859">
              <w:rPr>
                <w:noProof/>
                <w:lang w:eastAsia="en-AU"/>
              </w:rPr>
              <w:t>(</w:t>
            </w:r>
            <w:r w:rsidR="00D62859" w:rsidRPr="00D62859">
              <w:t>European, 2021</w:t>
            </w:r>
            <w:r w:rsidR="00D62859">
              <w:rPr>
                <w:noProof/>
                <w:lang w:eastAsia="en-AU"/>
              </w:rPr>
              <w:t>)</w:t>
            </w:r>
          </w:p>
        </w:tc>
        <w:tc>
          <w:tcPr>
            <w:tcW w:w="5606" w:type="dxa"/>
            <w:shd w:val="clear" w:color="auto" w:fill="F2F2F2" w:themeFill="background1" w:themeFillShade="F2"/>
            <w:vAlign w:val="center"/>
            <w:hideMark/>
          </w:tcPr>
          <w:p w14:paraId="09342058"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t>The Horizon Europe Key Impact Pathways is a framework established in 2021 by the European Union to enhance the evaluation and communication of research and innovation funding</w:t>
            </w:r>
            <w:r>
              <w:rPr>
                <w:rFonts w:ascii="Aptos Narrow" w:hAnsi="Aptos Narrow"/>
                <w:lang w:eastAsia="en-AU"/>
              </w:rPr>
              <w:t xml:space="preserve"> impacts</w:t>
            </w:r>
            <w:r w:rsidRPr="00B230C6">
              <w:rPr>
                <w:rFonts w:ascii="Aptos Narrow" w:hAnsi="Aptos Narrow"/>
                <w:lang w:eastAsia="en-AU"/>
              </w:rPr>
              <w:t>. This approach is based in the EU and focuses on capturing diverse impacts through nine key storylines, including scientific impact, societal benefits, and economic growth. It aims to provide regular insights to policymakers and the public about the outcomes of EU-funded research, aligning with European strategic priorities for sustainable development and innovation. The Key Impact Pathways framework reflects a moderni</w:t>
            </w:r>
            <w:r>
              <w:rPr>
                <w:rFonts w:ascii="Aptos Narrow" w:hAnsi="Aptos Narrow"/>
                <w:lang w:eastAsia="en-AU"/>
              </w:rPr>
              <w:t>s</w:t>
            </w:r>
            <w:r w:rsidRPr="00B230C6">
              <w:rPr>
                <w:rFonts w:ascii="Aptos Narrow" w:hAnsi="Aptos Narrow"/>
                <w:lang w:eastAsia="en-AU"/>
              </w:rPr>
              <w:t>ed approach to monitoring and evaluation within the broader context of EU research policy</w:t>
            </w:r>
            <w:r>
              <w:rPr>
                <w:rFonts w:ascii="Aptos Narrow" w:hAnsi="Aptos Narrow"/>
                <w:lang w:eastAsia="en-AU"/>
              </w:rPr>
              <w:t>.</w:t>
            </w:r>
          </w:p>
        </w:tc>
        <w:tc>
          <w:tcPr>
            <w:tcW w:w="1701" w:type="dxa"/>
            <w:shd w:val="clear" w:color="auto" w:fill="F2F2F2" w:themeFill="background1" w:themeFillShade="F2"/>
            <w:vAlign w:val="center"/>
            <w:hideMark/>
          </w:tcPr>
          <w:p w14:paraId="2FC984DF"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t>Innovation, science-policy interface, social and environmental impact, economic competitiveness</w:t>
            </w:r>
          </w:p>
        </w:tc>
        <w:tc>
          <w:tcPr>
            <w:tcW w:w="2268" w:type="dxa"/>
            <w:shd w:val="clear" w:color="auto" w:fill="F2F2F2" w:themeFill="background1" w:themeFillShade="F2"/>
            <w:vAlign w:val="center"/>
            <w:hideMark/>
          </w:tcPr>
          <w:p w14:paraId="60FB1BA1"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t>Creating High-Quality New Knowledge, Strengthening Human Capital, Fostering Diffusion of Knowledge, Scientific Impact, Addressing EU Policy Priorities, Delivering Benefits through Research Missions, Strengthening Research Uptake in Society, Generating Innovation-Based Growth, Creating Better Jobs</w:t>
            </w:r>
          </w:p>
        </w:tc>
        <w:tc>
          <w:tcPr>
            <w:tcW w:w="2613" w:type="dxa"/>
            <w:shd w:val="clear" w:color="auto" w:fill="F2F2F2" w:themeFill="background1" w:themeFillShade="F2"/>
            <w:vAlign w:val="center"/>
            <w:hideMark/>
          </w:tcPr>
          <w:p w14:paraId="1C5FC74F" w14:textId="77777777" w:rsidR="00802DDD" w:rsidRPr="00B230C6" w:rsidRDefault="00802DDD" w:rsidP="00433D7D">
            <w:pPr>
              <w:pStyle w:val="Table-Left7"/>
              <w:rPr>
                <w:rFonts w:ascii="Aptos Narrow" w:hAnsi="Aptos Narrow"/>
                <w:lang w:eastAsia="en-AU"/>
              </w:rPr>
            </w:pPr>
            <w:r w:rsidRPr="00B230C6">
              <w:rPr>
                <w:rFonts w:ascii="Aptos Narrow" w:hAnsi="Aptos Narrow"/>
                <w:lang w:eastAsia="en-AU"/>
              </w:rPr>
              <w:t>Number of publications and citations, Collaborations with industry and academia, Skills development and training metrics, Societal engagement, Economic indicators, Policy alignment, Innovation metrics</w:t>
            </w:r>
          </w:p>
        </w:tc>
      </w:tr>
    </w:tbl>
    <w:p w14:paraId="0CEB78C8" w14:textId="77777777" w:rsidR="00802DDD" w:rsidRDefault="00802DDD" w:rsidP="00802DDD"/>
    <w:p w14:paraId="408554C4" w14:textId="77777777" w:rsidR="00802DDD" w:rsidRDefault="00802DDD" w:rsidP="00802DDD">
      <w:pPr>
        <w:sectPr w:rsidR="00802DDD" w:rsidSect="00802DDD">
          <w:type w:val="continuous"/>
          <w:pgSz w:w="16838" w:h="11906" w:orient="landscape"/>
          <w:pgMar w:top="1440" w:right="1440" w:bottom="1440" w:left="1440" w:header="708" w:footer="708" w:gutter="0"/>
          <w:cols w:space="708"/>
          <w:docGrid w:linePitch="360"/>
        </w:sectPr>
      </w:pPr>
    </w:p>
    <w:p w14:paraId="2B4D6F6F" w14:textId="1FF7EECC" w:rsidR="006E3F10" w:rsidRDefault="00B26608" w:rsidP="00B26608">
      <w:pPr>
        <w:pStyle w:val="Heading2-withoutNumbers"/>
      </w:pPr>
      <w:r>
        <w:lastRenderedPageBreak/>
        <w:t>Research Impact Pathways</w:t>
      </w:r>
    </w:p>
    <w:p w14:paraId="5611C150" w14:textId="4CD8915D" w:rsidR="00802DDD" w:rsidRPr="00EA0DD2" w:rsidRDefault="00802DDD" w:rsidP="00802DDD">
      <w:pPr>
        <w:pStyle w:val="Caption"/>
        <w:rPr>
          <w:i/>
          <w:iCs/>
        </w:rPr>
      </w:pPr>
      <w:r w:rsidRPr="00EA0DD2">
        <w:t xml:space="preserve">Table </w:t>
      </w:r>
      <w:r w:rsidR="0048088A">
        <w:t>D</w:t>
      </w:r>
      <w:r>
        <w:t>1-2</w:t>
      </w:r>
      <w:r w:rsidRPr="00EA0DD2">
        <w:t>: Classification of Research Types Based on Distinctive Dimensions and Their Potential Research Impact Pathways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417"/>
        <w:gridCol w:w="1560"/>
        <w:gridCol w:w="4626"/>
      </w:tblGrid>
      <w:tr w:rsidR="00802DDD" w:rsidRPr="001E7C5D" w14:paraId="7D4D6A39" w14:textId="77777777" w:rsidTr="00F55019">
        <w:trPr>
          <w:trHeight w:val="20"/>
        </w:trPr>
        <w:tc>
          <w:tcPr>
            <w:tcW w:w="1413" w:type="dxa"/>
            <w:shd w:val="clear" w:color="auto" w:fill="auto"/>
            <w:noWrap/>
            <w:vAlign w:val="center"/>
            <w:hideMark/>
          </w:tcPr>
          <w:p w14:paraId="0231F94D" w14:textId="77777777" w:rsidR="00802DDD" w:rsidRPr="001E7C5D" w:rsidRDefault="00802DDD" w:rsidP="00433D7D">
            <w:pPr>
              <w:pStyle w:val="Table-Center7Boldcolumnname"/>
              <w:rPr>
                <w:lang w:eastAsia="en-AU"/>
              </w:rPr>
            </w:pPr>
            <w:r w:rsidRPr="001E7C5D">
              <w:rPr>
                <w:lang w:eastAsia="en-AU"/>
              </w:rPr>
              <w:t>Research Dimension</w:t>
            </w:r>
          </w:p>
        </w:tc>
        <w:tc>
          <w:tcPr>
            <w:tcW w:w="1417" w:type="dxa"/>
            <w:shd w:val="clear" w:color="auto" w:fill="auto"/>
            <w:vAlign w:val="center"/>
            <w:hideMark/>
          </w:tcPr>
          <w:p w14:paraId="5235AD47" w14:textId="77777777" w:rsidR="00802DDD" w:rsidRPr="001E7C5D" w:rsidRDefault="00802DDD" w:rsidP="00433D7D">
            <w:pPr>
              <w:pStyle w:val="Table-Center7Boldcolumnname"/>
              <w:rPr>
                <w:lang w:eastAsia="en-AU"/>
              </w:rPr>
            </w:pPr>
            <w:r w:rsidRPr="001E7C5D">
              <w:rPr>
                <w:lang w:eastAsia="en-AU"/>
              </w:rPr>
              <w:t>Type of Research</w:t>
            </w:r>
          </w:p>
        </w:tc>
        <w:tc>
          <w:tcPr>
            <w:tcW w:w="1560" w:type="dxa"/>
            <w:shd w:val="clear" w:color="auto" w:fill="auto"/>
            <w:vAlign w:val="center"/>
            <w:hideMark/>
          </w:tcPr>
          <w:p w14:paraId="7045605F" w14:textId="77777777" w:rsidR="00802DDD" w:rsidRPr="001E7C5D" w:rsidRDefault="00802DDD" w:rsidP="00433D7D">
            <w:pPr>
              <w:pStyle w:val="Table-Center7Boldcolumnname"/>
              <w:rPr>
                <w:lang w:eastAsia="en-AU"/>
              </w:rPr>
            </w:pPr>
            <w:r w:rsidRPr="001E7C5D">
              <w:rPr>
                <w:lang w:eastAsia="en-AU"/>
              </w:rPr>
              <w:t>Description</w:t>
            </w:r>
          </w:p>
        </w:tc>
        <w:tc>
          <w:tcPr>
            <w:tcW w:w="4626" w:type="dxa"/>
            <w:shd w:val="clear" w:color="auto" w:fill="auto"/>
            <w:vAlign w:val="center"/>
            <w:hideMark/>
          </w:tcPr>
          <w:p w14:paraId="308F1CB7" w14:textId="77777777" w:rsidR="00802DDD" w:rsidRPr="00EA0DD2" w:rsidRDefault="00802DDD" w:rsidP="00433D7D">
            <w:pPr>
              <w:pStyle w:val="Table-Center7Boldcolumnname"/>
              <w:rPr>
                <w:lang w:eastAsia="en-AU"/>
              </w:rPr>
            </w:pPr>
            <w:r w:rsidRPr="00EA0DD2">
              <w:rPr>
                <w:lang w:eastAsia="en-AU"/>
              </w:rPr>
              <w:t>Potential Research Impact Pathway</w:t>
            </w:r>
          </w:p>
        </w:tc>
      </w:tr>
      <w:tr w:rsidR="00802DDD" w:rsidRPr="001E7C5D" w14:paraId="3F336981" w14:textId="77777777" w:rsidTr="00F55019">
        <w:trPr>
          <w:trHeight w:val="20"/>
        </w:trPr>
        <w:tc>
          <w:tcPr>
            <w:tcW w:w="1413" w:type="dxa"/>
            <w:vMerge w:val="restart"/>
            <w:shd w:val="clear" w:color="auto" w:fill="auto"/>
            <w:noWrap/>
            <w:vAlign w:val="center"/>
            <w:hideMark/>
          </w:tcPr>
          <w:p w14:paraId="1DF1136E" w14:textId="77777777" w:rsidR="00802DDD" w:rsidRPr="001E7C5D" w:rsidRDefault="00802DDD" w:rsidP="00433D7D">
            <w:pPr>
              <w:pStyle w:val="Table-Left7"/>
              <w:rPr>
                <w:lang w:eastAsia="en-AU"/>
              </w:rPr>
            </w:pPr>
            <w:r w:rsidRPr="001E7C5D">
              <w:rPr>
                <w:lang w:eastAsia="en-AU"/>
              </w:rPr>
              <w:t>Disciplinary Approaches</w:t>
            </w:r>
          </w:p>
        </w:tc>
        <w:tc>
          <w:tcPr>
            <w:tcW w:w="1417" w:type="dxa"/>
            <w:shd w:val="clear" w:color="auto" w:fill="auto"/>
            <w:vAlign w:val="center"/>
            <w:hideMark/>
          </w:tcPr>
          <w:p w14:paraId="44832D37" w14:textId="77777777" w:rsidR="00802DDD" w:rsidRPr="001E7C5D" w:rsidRDefault="00802DDD" w:rsidP="00433D7D">
            <w:pPr>
              <w:pStyle w:val="Table-Left7"/>
              <w:rPr>
                <w:lang w:eastAsia="en-AU"/>
              </w:rPr>
            </w:pPr>
            <w:r w:rsidRPr="001E7C5D">
              <w:rPr>
                <w:lang w:eastAsia="en-AU"/>
              </w:rPr>
              <w:t>Mono-disciplinary Research</w:t>
            </w:r>
          </w:p>
        </w:tc>
        <w:tc>
          <w:tcPr>
            <w:tcW w:w="1560" w:type="dxa"/>
            <w:shd w:val="clear" w:color="auto" w:fill="auto"/>
            <w:vAlign w:val="center"/>
            <w:hideMark/>
          </w:tcPr>
          <w:p w14:paraId="776A710B" w14:textId="77777777" w:rsidR="00802DDD" w:rsidRPr="001E7C5D" w:rsidRDefault="00802DDD" w:rsidP="00433D7D">
            <w:pPr>
              <w:pStyle w:val="Table-Left7"/>
              <w:rPr>
                <w:lang w:eastAsia="en-AU"/>
              </w:rPr>
            </w:pPr>
            <w:r w:rsidRPr="001E7C5D">
              <w:rPr>
                <w:lang w:eastAsia="en-AU"/>
              </w:rPr>
              <w:t>Focuses on research within a single academic discipline, leveraging in-depth expertise and established methodologies.</w:t>
            </w:r>
          </w:p>
        </w:tc>
        <w:tc>
          <w:tcPr>
            <w:tcW w:w="4626" w:type="dxa"/>
            <w:shd w:val="clear" w:color="auto" w:fill="auto"/>
            <w:vAlign w:val="center"/>
            <w:hideMark/>
          </w:tcPr>
          <w:p w14:paraId="497F9993" w14:textId="151C8EC9" w:rsidR="00802DDD" w:rsidRPr="00EA0DD2" w:rsidRDefault="00802DDD" w:rsidP="00433D7D">
            <w:pPr>
              <w:pStyle w:val="Table-Left7"/>
              <w:rPr>
                <w:lang w:eastAsia="en-AU"/>
              </w:rPr>
            </w:pPr>
            <w:r>
              <w:rPr>
                <w:lang w:eastAsia="en-AU"/>
              </w:rPr>
              <w:t>It p</w:t>
            </w:r>
            <w:r w:rsidRPr="00EA0DD2">
              <w:rPr>
                <w:lang w:eastAsia="en-AU"/>
              </w:rPr>
              <w:t xml:space="preserve">rimarily contributes to the Dissemination pathway, where research findings are shared within a specific field, contributing to disciplinary advancements and knowledge accumulation. Mono-disciplinary research often has a high impact within academic circles but can be limited in addressing broader societal challenges that require multi-faceted solutions. Examples include advances in theoretical physics, medical research, or economics, where the depth of expertise drives scholarly and practical outcomes </w:t>
            </w:r>
            <w:r w:rsidR="00D62859">
              <w:rPr>
                <w:noProof/>
                <w:lang w:eastAsia="en-AU"/>
              </w:rPr>
              <w:t>(</w:t>
            </w:r>
            <w:proofErr w:type="spellStart"/>
            <w:r w:rsidR="00D62859" w:rsidRPr="00D62859">
              <w:t>Spaapen</w:t>
            </w:r>
            <w:proofErr w:type="spellEnd"/>
            <w:r w:rsidR="00D62859" w:rsidRPr="00D62859">
              <w:t xml:space="preserve"> &amp; Van </w:t>
            </w:r>
            <w:proofErr w:type="spellStart"/>
            <w:r w:rsidR="00D62859" w:rsidRPr="00D62859">
              <w:t>Drooge</w:t>
            </w:r>
            <w:proofErr w:type="spellEnd"/>
            <w:r w:rsidR="00D62859" w:rsidRPr="00D62859">
              <w:t>, 2011</w:t>
            </w:r>
            <w:r w:rsidR="00D62859">
              <w:rPr>
                <w:noProof/>
                <w:lang w:eastAsia="en-AU"/>
              </w:rPr>
              <w:t>)</w:t>
            </w:r>
            <w:r w:rsidRPr="00EA0DD2">
              <w:rPr>
                <w:lang w:eastAsia="en-AU"/>
              </w:rPr>
              <w:t>.</w:t>
            </w:r>
          </w:p>
        </w:tc>
      </w:tr>
      <w:tr w:rsidR="00802DDD" w:rsidRPr="001E7C5D" w14:paraId="33118662" w14:textId="77777777" w:rsidTr="00F55019">
        <w:trPr>
          <w:trHeight w:val="20"/>
        </w:trPr>
        <w:tc>
          <w:tcPr>
            <w:tcW w:w="1413" w:type="dxa"/>
            <w:vMerge/>
            <w:shd w:val="clear" w:color="auto" w:fill="auto"/>
            <w:noWrap/>
            <w:vAlign w:val="center"/>
            <w:hideMark/>
          </w:tcPr>
          <w:p w14:paraId="3263502F" w14:textId="77777777" w:rsidR="00802DDD" w:rsidRPr="001E7C5D" w:rsidRDefault="00802DDD" w:rsidP="00433D7D">
            <w:pPr>
              <w:pStyle w:val="Table-Left7"/>
              <w:rPr>
                <w:lang w:eastAsia="en-AU"/>
              </w:rPr>
            </w:pPr>
          </w:p>
        </w:tc>
        <w:tc>
          <w:tcPr>
            <w:tcW w:w="1417" w:type="dxa"/>
            <w:shd w:val="clear" w:color="auto" w:fill="auto"/>
            <w:vAlign w:val="center"/>
            <w:hideMark/>
          </w:tcPr>
          <w:p w14:paraId="2707D825" w14:textId="77777777" w:rsidR="00802DDD" w:rsidRPr="001E7C5D" w:rsidRDefault="00802DDD" w:rsidP="00433D7D">
            <w:pPr>
              <w:pStyle w:val="Table-Left7"/>
              <w:rPr>
                <w:lang w:eastAsia="en-AU"/>
              </w:rPr>
            </w:pPr>
            <w:r w:rsidRPr="001E7C5D">
              <w:rPr>
                <w:lang w:eastAsia="en-AU"/>
              </w:rPr>
              <w:t>Multidisciplinary Research</w:t>
            </w:r>
          </w:p>
        </w:tc>
        <w:tc>
          <w:tcPr>
            <w:tcW w:w="1560" w:type="dxa"/>
            <w:shd w:val="clear" w:color="auto" w:fill="auto"/>
            <w:vAlign w:val="center"/>
            <w:hideMark/>
          </w:tcPr>
          <w:p w14:paraId="72FBB857" w14:textId="77777777" w:rsidR="00802DDD" w:rsidRPr="001E7C5D" w:rsidRDefault="00802DDD" w:rsidP="00433D7D">
            <w:pPr>
              <w:pStyle w:val="Table-Left7"/>
              <w:rPr>
                <w:lang w:eastAsia="en-AU"/>
              </w:rPr>
            </w:pPr>
            <w:r w:rsidRPr="001E7C5D">
              <w:rPr>
                <w:lang w:eastAsia="en-AU"/>
              </w:rPr>
              <w:t>I</w:t>
            </w:r>
            <w:r>
              <w:rPr>
                <w:lang w:eastAsia="en-AU"/>
              </w:rPr>
              <w:t>t i</w:t>
            </w:r>
            <w:r w:rsidRPr="001E7C5D">
              <w:rPr>
                <w:lang w:eastAsia="en-AU"/>
              </w:rPr>
              <w:t>nvolves collaboration between multiple disciplines, each contributing distinct perspectives to address a common research problem.</w:t>
            </w:r>
          </w:p>
        </w:tc>
        <w:tc>
          <w:tcPr>
            <w:tcW w:w="4626" w:type="dxa"/>
            <w:shd w:val="clear" w:color="auto" w:fill="auto"/>
            <w:vAlign w:val="center"/>
            <w:hideMark/>
          </w:tcPr>
          <w:p w14:paraId="3DDBC496" w14:textId="5EBB19EC" w:rsidR="00802DDD" w:rsidRPr="00EA0DD2" w:rsidRDefault="00802DDD" w:rsidP="00433D7D">
            <w:pPr>
              <w:pStyle w:val="Table-Left7"/>
              <w:rPr>
                <w:lang w:eastAsia="en-AU"/>
              </w:rPr>
            </w:pPr>
            <w:r>
              <w:rPr>
                <w:lang w:eastAsia="en-AU"/>
              </w:rPr>
              <w:t>Multidisciplinary research is h</w:t>
            </w:r>
            <w:r w:rsidRPr="00EA0DD2">
              <w:rPr>
                <w:lang w:eastAsia="en-AU"/>
              </w:rPr>
              <w:t>ighly effective in the Co-creation pathway, as i</w:t>
            </w:r>
            <w:r>
              <w:rPr>
                <w:lang w:eastAsia="en-AU"/>
              </w:rPr>
              <w:t>t</w:t>
            </w:r>
            <w:r w:rsidRPr="00EA0DD2">
              <w:rPr>
                <w:lang w:eastAsia="en-AU"/>
              </w:rPr>
              <w:t xml:space="preserve"> fosters collaboration between different fields to generate comprehensive solutions to complex issues. This approach is commonly applied in public health, environmental studies, and urban planning, where integrating knowledge from diverse disciplines is critical to solving societal problems. Multidisciplinary research promotes stakeholder engagement and real-world application, enhancing societal impact through integrated solutions </w:t>
            </w:r>
            <w:r w:rsidR="00D62859">
              <w:rPr>
                <w:noProof/>
                <w:lang w:eastAsia="en-AU"/>
              </w:rPr>
              <w:t>(</w:t>
            </w:r>
            <w:r w:rsidR="00D62859" w:rsidRPr="00D62859">
              <w:t>Banzi et al., 2011</w:t>
            </w:r>
            <w:r w:rsidR="00D62859">
              <w:rPr>
                <w:noProof/>
                <w:lang w:eastAsia="en-AU"/>
              </w:rPr>
              <w:t xml:space="preserve">; </w:t>
            </w:r>
            <w:r w:rsidR="00D62859" w:rsidRPr="00D62859">
              <w:t>Klein, 2010</w:t>
            </w:r>
            <w:r w:rsidR="00D62859">
              <w:rPr>
                <w:noProof/>
                <w:lang w:eastAsia="en-AU"/>
              </w:rPr>
              <w:t>)</w:t>
            </w:r>
            <w:r w:rsidRPr="00EA0DD2">
              <w:rPr>
                <w:lang w:eastAsia="en-AU"/>
              </w:rPr>
              <w:t>.</w:t>
            </w:r>
          </w:p>
        </w:tc>
      </w:tr>
      <w:tr w:rsidR="00802DDD" w:rsidRPr="001E7C5D" w14:paraId="6918CC20" w14:textId="77777777" w:rsidTr="00F55019">
        <w:trPr>
          <w:trHeight w:val="20"/>
        </w:trPr>
        <w:tc>
          <w:tcPr>
            <w:tcW w:w="1413" w:type="dxa"/>
            <w:vMerge/>
            <w:shd w:val="clear" w:color="auto" w:fill="auto"/>
            <w:noWrap/>
            <w:vAlign w:val="center"/>
            <w:hideMark/>
          </w:tcPr>
          <w:p w14:paraId="425D39EA" w14:textId="77777777" w:rsidR="00802DDD" w:rsidRPr="001E7C5D" w:rsidRDefault="00802DDD" w:rsidP="00433D7D">
            <w:pPr>
              <w:pStyle w:val="Table-Left7"/>
              <w:rPr>
                <w:lang w:eastAsia="en-AU"/>
              </w:rPr>
            </w:pPr>
          </w:p>
        </w:tc>
        <w:tc>
          <w:tcPr>
            <w:tcW w:w="1417" w:type="dxa"/>
            <w:shd w:val="clear" w:color="auto" w:fill="auto"/>
            <w:vAlign w:val="center"/>
            <w:hideMark/>
          </w:tcPr>
          <w:p w14:paraId="0D839775" w14:textId="77777777" w:rsidR="00802DDD" w:rsidRPr="001E7C5D" w:rsidRDefault="00802DDD" w:rsidP="00433D7D">
            <w:pPr>
              <w:pStyle w:val="Table-Left7"/>
              <w:rPr>
                <w:lang w:eastAsia="en-AU"/>
              </w:rPr>
            </w:pPr>
            <w:r w:rsidRPr="001E7C5D">
              <w:rPr>
                <w:lang w:eastAsia="en-AU"/>
              </w:rPr>
              <w:t>Interdisciplinary Research</w:t>
            </w:r>
          </w:p>
        </w:tc>
        <w:tc>
          <w:tcPr>
            <w:tcW w:w="1560" w:type="dxa"/>
            <w:shd w:val="clear" w:color="auto" w:fill="auto"/>
            <w:vAlign w:val="center"/>
            <w:hideMark/>
          </w:tcPr>
          <w:p w14:paraId="0C5627FE" w14:textId="77777777" w:rsidR="00802DDD" w:rsidRPr="001E7C5D" w:rsidRDefault="00802DDD" w:rsidP="00433D7D">
            <w:pPr>
              <w:pStyle w:val="Table-Left7"/>
              <w:rPr>
                <w:lang w:eastAsia="en-AU"/>
              </w:rPr>
            </w:pPr>
            <w:r w:rsidRPr="001E7C5D">
              <w:rPr>
                <w:lang w:eastAsia="en-AU"/>
              </w:rPr>
              <w:t>Synthesi</w:t>
            </w:r>
            <w:r>
              <w:rPr>
                <w:lang w:eastAsia="en-AU"/>
              </w:rPr>
              <w:t>s</w:t>
            </w:r>
            <w:r w:rsidRPr="001E7C5D">
              <w:rPr>
                <w:lang w:eastAsia="en-AU"/>
              </w:rPr>
              <w:t>es knowledge and methods from different disciplines, creating new frameworks and approaches that transcend traditional academic boundaries.</w:t>
            </w:r>
          </w:p>
        </w:tc>
        <w:tc>
          <w:tcPr>
            <w:tcW w:w="4626" w:type="dxa"/>
            <w:shd w:val="clear" w:color="auto" w:fill="auto"/>
            <w:vAlign w:val="center"/>
            <w:hideMark/>
          </w:tcPr>
          <w:p w14:paraId="6048EF7F" w14:textId="0C389E21" w:rsidR="00802DDD" w:rsidRPr="00EA0DD2" w:rsidRDefault="00802DDD" w:rsidP="00433D7D">
            <w:pPr>
              <w:pStyle w:val="Table-Left7"/>
              <w:rPr>
                <w:lang w:eastAsia="en-AU"/>
              </w:rPr>
            </w:pPr>
            <w:r w:rsidRPr="00EA0DD2">
              <w:rPr>
                <w:lang w:eastAsia="en-AU"/>
              </w:rPr>
              <w:t xml:space="preserve">Interdisciplinary research is most impactful in Driving Societal Change, as it combines theoretical and empirical insights across disciplines to address systemic challenges. By bridging diverse knowledge bases, interdisciplinary research can lead to transformative innovations, especially in climate change, social justice, or technological disruption. This type of research often influences policy reforms, education practices, and societal values by creating new paradigms that reshape how problems are understood and addressed </w:t>
            </w:r>
            <w:r w:rsidR="00D62859">
              <w:rPr>
                <w:noProof/>
                <w:lang w:eastAsia="en-AU"/>
              </w:rPr>
              <w:t>(</w:t>
            </w:r>
            <w:proofErr w:type="spellStart"/>
            <w:r w:rsidR="00D62859" w:rsidRPr="00D62859">
              <w:t>Benneworth</w:t>
            </w:r>
            <w:proofErr w:type="spellEnd"/>
            <w:r w:rsidR="00D62859" w:rsidRPr="00D62859">
              <w:t xml:space="preserve"> &amp; Cunha, 2015</w:t>
            </w:r>
            <w:r w:rsidR="00D62859">
              <w:rPr>
                <w:noProof/>
                <w:lang w:eastAsia="en-AU"/>
              </w:rPr>
              <w:t>)</w:t>
            </w:r>
            <w:r w:rsidRPr="00EA0DD2">
              <w:rPr>
                <w:lang w:eastAsia="en-AU"/>
              </w:rPr>
              <w:t>.</w:t>
            </w:r>
          </w:p>
        </w:tc>
      </w:tr>
      <w:tr w:rsidR="00802DDD" w:rsidRPr="001E7C5D" w14:paraId="0A0AAE53" w14:textId="77777777" w:rsidTr="00F55019">
        <w:trPr>
          <w:trHeight w:val="20"/>
        </w:trPr>
        <w:tc>
          <w:tcPr>
            <w:tcW w:w="1413" w:type="dxa"/>
            <w:vMerge w:val="restart"/>
            <w:shd w:val="clear" w:color="auto" w:fill="auto"/>
            <w:noWrap/>
            <w:vAlign w:val="center"/>
            <w:hideMark/>
          </w:tcPr>
          <w:p w14:paraId="775BE487" w14:textId="77777777" w:rsidR="00802DDD" w:rsidRPr="001E7C5D" w:rsidRDefault="00802DDD" w:rsidP="00433D7D">
            <w:pPr>
              <w:pStyle w:val="Table-Left7"/>
              <w:rPr>
                <w:lang w:eastAsia="en-AU"/>
              </w:rPr>
            </w:pPr>
            <w:r w:rsidRPr="001E7C5D">
              <w:rPr>
                <w:lang w:eastAsia="en-AU"/>
              </w:rPr>
              <w:t>Methodological Approaches</w:t>
            </w:r>
          </w:p>
        </w:tc>
        <w:tc>
          <w:tcPr>
            <w:tcW w:w="1417" w:type="dxa"/>
            <w:shd w:val="clear" w:color="auto" w:fill="auto"/>
            <w:vAlign w:val="center"/>
            <w:hideMark/>
          </w:tcPr>
          <w:p w14:paraId="1B5B0761" w14:textId="77777777" w:rsidR="00802DDD" w:rsidRPr="001E7C5D" w:rsidRDefault="00802DDD" w:rsidP="00433D7D">
            <w:pPr>
              <w:pStyle w:val="Table-Left7"/>
              <w:rPr>
                <w:lang w:eastAsia="en-AU"/>
              </w:rPr>
            </w:pPr>
            <w:r w:rsidRPr="001E7C5D">
              <w:rPr>
                <w:lang w:eastAsia="en-AU"/>
              </w:rPr>
              <w:t>Qualitative Research</w:t>
            </w:r>
          </w:p>
        </w:tc>
        <w:tc>
          <w:tcPr>
            <w:tcW w:w="1560" w:type="dxa"/>
            <w:shd w:val="clear" w:color="auto" w:fill="auto"/>
            <w:vAlign w:val="center"/>
            <w:hideMark/>
          </w:tcPr>
          <w:p w14:paraId="0E36E34A" w14:textId="77777777" w:rsidR="00802DDD" w:rsidRPr="001E7C5D" w:rsidRDefault="00802DDD" w:rsidP="00433D7D">
            <w:pPr>
              <w:pStyle w:val="Table-Left7"/>
              <w:rPr>
                <w:lang w:eastAsia="en-AU"/>
              </w:rPr>
            </w:pPr>
            <w:r w:rsidRPr="001E7C5D">
              <w:rPr>
                <w:lang w:eastAsia="en-AU"/>
              </w:rPr>
              <w:t>Explores social phenomena through open-ended analysis (e.g., interviews, content analysis).</w:t>
            </w:r>
          </w:p>
        </w:tc>
        <w:tc>
          <w:tcPr>
            <w:tcW w:w="4626" w:type="dxa"/>
            <w:shd w:val="clear" w:color="auto" w:fill="auto"/>
            <w:vAlign w:val="center"/>
            <w:hideMark/>
          </w:tcPr>
          <w:p w14:paraId="6ABA598F" w14:textId="180019E9" w:rsidR="00802DDD" w:rsidRPr="00EA0DD2" w:rsidRDefault="00802DDD" w:rsidP="00433D7D">
            <w:pPr>
              <w:pStyle w:val="Table-Left7"/>
              <w:rPr>
                <w:lang w:eastAsia="en-AU"/>
              </w:rPr>
            </w:pPr>
            <w:r w:rsidRPr="00EA0DD2">
              <w:rPr>
                <w:lang w:eastAsia="en-AU"/>
              </w:rPr>
              <w:t xml:space="preserve">Generates deep societal insights by uncovering underlying motivations, attitudes, and perceptions that are not easily quantifiable. This can influence cultural change, shape public policy, and inform educational reforms </w:t>
            </w:r>
            <w:r w:rsidR="00D62859">
              <w:rPr>
                <w:noProof/>
                <w:lang w:eastAsia="en-AU"/>
              </w:rPr>
              <w:t>(</w:t>
            </w:r>
            <w:proofErr w:type="spellStart"/>
            <w:r w:rsidR="00D62859" w:rsidRPr="00D62859">
              <w:t>Spaapen</w:t>
            </w:r>
            <w:proofErr w:type="spellEnd"/>
            <w:r w:rsidR="00D62859" w:rsidRPr="00D62859">
              <w:t xml:space="preserve"> &amp; Van </w:t>
            </w:r>
            <w:proofErr w:type="spellStart"/>
            <w:r w:rsidR="00D62859" w:rsidRPr="00D62859">
              <w:t>Drooge</w:t>
            </w:r>
            <w:proofErr w:type="spellEnd"/>
            <w:r w:rsidR="00D62859" w:rsidRPr="00D62859">
              <w:t>, 2011</w:t>
            </w:r>
            <w:r w:rsidR="00D62859">
              <w:rPr>
                <w:noProof/>
                <w:lang w:eastAsia="en-AU"/>
              </w:rPr>
              <w:t>)</w:t>
            </w:r>
            <w:r w:rsidRPr="00EA0DD2">
              <w:rPr>
                <w:lang w:eastAsia="en-AU"/>
              </w:rPr>
              <w:t xml:space="preserve">. Qualitative research is particularly effective in addressing complex social issues where human experiences and contextual understanding are paramount, such as mental health interventions and social justice movements </w:t>
            </w:r>
            <w:r w:rsidR="00D62859">
              <w:rPr>
                <w:noProof/>
                <w:lang w:eastAsia="en-AU"/>
              </w:rPr>
              <w:t>(</w:t>
            </w:r>
            <w:r w:rsidR="00D62859" w:rsidRPr="00D62859">
              <w:t>Klein, 2010</w:t>
            </w:r>
            <w:r w:rsidR="00D62859">
              <w:rPr>
                <w:noProof/>
                <w:lang w:eastAsia="en-AU"/>
              </w:rPr>
              <w:t>)</w:t>
            </w:r>
            <w:r w:rsidRPr="00EA0DD2">
              <w:rPr>
                <w:lang w:eastAsia="en-AU"/>
              </w:rPr>
              <w:t>.</w:t>
            </w:r>
          </w:p>
        </w:tc>
      </w:tr>
      <w:tr w:rsidR="00802DDD" w:rsidRPr="001E7C5D" w14:paraId="7D189C1E" w14:textId="77777777" w:rsidTr="00F55019">
        <w:trPr>
          <w:trHeight w:val="20"/>
        </w:trPr>
        <w:tc>
          <w:tcPr>
            <w:tcW w:w="1413" w:type="dxa"/>
            <w:vMerge/>
            <w:shd w:val="clear" w:color="auto" w:fill="auto"/>
            <w:noWrap/>
            <w:vAlign w:val="center"/>
          </w:tcPr>
          <w:p w14:paraId="56CE64CB" w14:textId="77777777" w:rsidR="00802DDD" w:rsidRPr="001E7C5D" w:rsidRDefault="00802DDD" w:rsidP="00433D7D">
            <w:pPr>
              <w:pStyle w:val="Table-Left7"/>
              <w:rPr>
                <w:lang w:eastAsia="en-AU"/>
              </w:rPr>
            </w:pPr>
          </w:p>
        </w:tc>
        <w:tc>
          <w:tcPr>
            <w:tcW w:w="1417" w:type="dxa"/>
            <w:shd w:val="clear" w:color="auto" w:fill="auto"/>
            <w:vAlign w:val="center"/>
            <w:hideMark/>
          </w:tcPr>
          <w:p w14:paraId="46FD93E4" w14:textId="77777777" w:rsidR="00802DDD" w:rsidRPr="001E7C5D" w:rsidRDefault="00802DDD" w:rsidP="00433D7D">
            <w:pPr>
              <w:pStyle w:val="Table-Left7"/>
              <w:rPr>
                <w:lang w:eastAsia="en-AU"/>
              </w:rPr>
            </w:pPr>
            <w:r w:rsidRPr="001E7C5D">
              <w:rPr>
                <w:lang w:eastAsia="en-AU"/>
              </w:rPr>
              <w:t>Quantitative Research</w:t>
            </w:r>
          </w:p>
        </w:tc>
        <w:tc>
          <w:tcPr>
            <w:tcW w:w="1560" w:type="dxa"/>
            <w:shd w:val="clear" w:color="auto" w:fill="auto"/>
            <w:vAlign w:val="center"/>
            <w:hideMark/>
          </w:tcPr>
          <w:p w14:paraId="091F6AFF" w14:textId="77777777" w:rsidR="00802DDD" w:rsidRPr="001E7C5D" w:rsidRDefault="00802DDD" w:rsidP="00433D7D">
            <w:pPr>
              <w:pStyle w:val="Table-Left7"/>
              <w:rPr>
                <w:lang w:eastAsia="en-AU"/>
              </w:rPr>
            </w:pPr>
            <w:r>
              <w:rPr>
                <w:lang w:eastAsia="en-AU"/>
              </w:rPr>
              <w:t>It u</w:t>
            </w:r>
            <w:r w:rsidRPr="001E7C5D">
              <w:rPr>
                <w:lang w:eastAsia="en-AU"/>
              </w:rPr>
              <w:t>ses numerical data and statistical analysis to quantify variables or test hypotheses.</w:t>
            </w:r>
          </w:p>
        </w:tc>
        <w:tc>
          <w:tcPr>
            <w:tcW w:w="4626" w:type="dxa"/>
            <w:shd w:val="clear" w:color="auto" w:fill="auto"/>
            <w:vAlign w:val="center"/>
            <w:hideMark/>
          </w:tcPr>
          <w:p w14:paraId="155871F6" w14:textId="526E99A5" w:rsidR="00802DDD" w:rsidRPr="00EA0DD2" w:rsidRDefault="00802DDD" w:rsidP="00433D7D">
            <w:pPr>
              <w:pStyle w:val="Table-Left7"/>
              <w:rPr>
                <w:lang w:eastAsia="en-AU"/>
              </w:rPr>
            </w:pPr>
            <w:r w:rsidRPr="00EA0DD2">
              <w:rPr>
                <w:lang w:eastAsia="en-AU"/>
              </w:rPr>
              <w:t xml:space="preserve">Produces measurable and scalable impact through evidence-based decision-making in public health, economics, technology, and social sciences </w:t>
            </w:r>
            <w:r w:rsidR="00D62859">
              <w:rPr>
                <w:noProof/>
                <w:lang w:eastAsia="en-AU"/>
              </w:rPr>
              <w:t>(</w:t>
            </w:r>
            <w:r w:rsidR="00D62859" w:rsidRPr="00D62859">
              <w:t>Arsalan et al., 2024</w:t>
            </w:r>
            <w:r w:rsidR="00D62859">
              <w:rPr>
                <w:noProof/>
                <w:lang w:eastAsia="en-AU"/>
              </w:rPr>
              <w:t>)</w:t>
            </w:r>
            <w:r w:rsidRPr="00EA0DD2">
              <w:rPr>
                <w:lang w:eastAsia="en-AU"/>
              </w:rPr>
              <w:t xml:space="preserve">. Quantitative research supports policy-making by providing complex data on effectiveness (e.g., randomised controlled trials in healthcare) and helps set benchmarks and standards, making it essential for creating large-scale societal impacts through concrete evidence </w:t>
            </w:r>
            <w:r w:rsidR="00D62859">
              <w:rPr>
                <w:noProof/>
                <w:lang w:eastAsia="en-AU"/>
              </w:rPr>
              <w:t>(</w:t>
            </w:r>
            <w:proofErr w:type="spellStart"/>
            <w:r w:rsidR="00D62859" w:rsidRPr="00D62859">
              <w:t>Spaapen</w:t>
            </w:r>
            <w:proofErr w:type="spellEnd"/>
            <w:r w:rsidR="00D62859" w:rsidRPr="00D62859">
              <w:t xml:space="preserve"> &amp; Van </w:t>
            </w:r>
            <w:proofErr w:type="spellStart"/>
            <w:r w:rsidR="00D62859" w:rsidRPr="00D62859">
              <w:t>Drooge</w:t>
            </w:r>
            <w:proofErr w:type="spellEnd"/>
            <w:r w:rsidR="00D62859" w:rsidRPr="00D62859">
              <w:t>, 2011</w:t>
            </w:r>
            <w:r w:rsidR="00D62859">
              <w:rPr>
                <w:noProof/>
                <w:lang w:eastAsia="en-AU"/>
              </w:rPr>
              <w:t>)</w:t>
            </w:r>
            <w:r w:rsidRPr="00EA0DD2">
              <w:rPr>
                <w:lang w:eastAsia="en-AU"/>
              </w:rPr>
              <w:t>.</w:t>
            </w:r>
          </w:p>
        </w:tc>
      </w:tr>
      <w:tr w:rsidR="00802DDD" w:rsidRPr="001E7C5D" w14:paraId="63FD0367" w14:textId="77777777" w:rsidTr="00F55019">
        <w:trPr>
          <w:trHeight w:val="20"/>
        </w:trPr>
        <w:tc>
          <w:tcPr>
            <w:tcW w:w="1413" w:type="dxa"/>
            <w:vMerge/>
            <w:shd w:val="clear" w:color="auto" w:fill="auto"/>
            <w:noWrap/>
            <w:vAlign w:val="center"/>
          </w:tcPr>
          <w:p w14:paraId="342A1C1E" w14:textId="77777777" w:rsidR="00802DDD" w:rsidRPr="001E7C5D" w:rsidRDefault="00802DDD" w:rsidP="00433D7D">
            <w:pPr>
              <w:pStyle w:val="Table-Left7"/>
              <w:rPr>
                <w:lang w:eastAsia="en-AU"/>
              </w:rPr>
            </w:pPr>
          </w:p>
        </w:tc>
        <w:tc>
          <w:tcPr>
            <w:tcW w:w="1417" w:type="dxa"/>
            <w:shd w:val="clear" w:color="auto" w:fill="auto"/>
            <w:vAlign w:val="center"/>
            <w:hideMark/>
          </w:tcPr>
          <w:p w14:paraId="4E85700F" w14:textId="77777777" w:rsidR="00802DDD" w:rsidRPr="001E7C5D" w:rsidRDefault="00802DDD" w:rsidP="00433D7D">
            <w:pPr>
              <w:pStyle w:val="Table-Left7"/>
              <w:rPr>
                <w:lang w:eastAsia="en-AU"/>
              </w:rPr>
            </w:pPr>
            <w:r w:rsidRPr="001E7C5D">
              <w:rPr>
                <w:lang w:eastAsia="en-AU"/>
              </w:rPr>
              <w:t>Mixed-Methods Research</w:t>
            </w:r>
          </w:p>
        </w:tc>
        <w:tc>
          <w:tcPr>
            <w:tcW w:w="1560" w:type="dxa"/>
            <w:shd w:val="clear" w:color="auto" w:fill="auto"/>
            <w:vAlign w:val="center"/>
            <w:hideMark/>
          </w:tcPr>
          <w:p w14:paraId="7028BC06" w14:textId="77777777" w:rsidR="00802DDD" w:rsidRPr="001E7C5D" w:rsidRDefault="00802DDD" w:rsidP="00433D7D">
            <w:pPr>
              <w:pStyle w:val="Table-Left7"/>
              <w:rPr>
                <w:lang w:eastAsia="en-AU"/>
              </w:rPr>
            </w:pPr>
            <w:r w:rsidRPr="001E7C5D">
              <w:rPr>
                <w:lang w:eastAsia="en-AU"/>
              </w:rPr>
              <w:t>Combines qualitative and quantitative methods for a comprehensive understanding.</w:t>
            </w:r>
          </w:p>
        </w:tc>
        <w:tc>
          <w:tcPr>
            <w:tcW w:w="4626" w:type="dxa"/>
            <w:shd w:val="clear" w:color="auto" w:fill="auto"/>
            <w:vAlign w:val="center"/>
            <w:hideMark/>
          </w:tcPr>
          <w:p w14:paraId="65C22471" w14:textId="5CABA476" w:rsidR="00802DDD" w:rsidRPr="00EA0DD2" w:rsidRDefault="00802DDD" w:rsidP="00433D7D">
            <w:pPr>
              <w:pStyle w:val="Table-Left7"/>
              <w:rPr>
                <w:lang w:eastAsia="en-AU"/>
              </w:rPr>
            </w:pPr>
            <w:r>
              <w:rPr>
                <w:lang w:eastAsia="en-AU"/>
              </w:rPr>
              <w:t>Mixed-methods research p</w:t>
            </w:r>
            <w:r w:rsidRPr="00EA0DD2">
              <w:rPr>
                <w:lang w:eastAsia="en-AU"/>
              </w:rPr>
              <w:t xml:space="preserve">rovides a holistic view of numerical trends and contextualised insights, facilitating nuanced policy interventions, social innovations, and technological developments. </w:t>
            </w:r>
            <w:r>
              <w:rPr>
                <w:lang w:eastAsia="en-AU"/>
              </w:rPr>
              <w:t>I</w:t>
            </w:r>
            <w:r w:rsidRPr="00EA0DD2">
              <w:rPr>
                <w:lang w:eastAsia="en-AU"/>
              </w:rPr>
              <w:t xml:space="preserve">t is ideal for tackling interdisciplinary challenges like climate change, healthcare reform, and educational policy </w:t>
            </w:r>
            <w:r w:rsidR="00D62859">
              <w:rPr>
                <w:noProof/>
                <w:lang w:eastAsia="en-AU"/>
              </w:rPr>
              <w:t>(</w:t>
            </w:r>
            <w:r w:rsidR="00D62859" w:rsidRPr="00D62859">
              <w:t>Klein, 2010</w:t>
            </w:r>
            <w:r w:rsidR="00D62859">
              <w:rPr>
                <w:noProof/>
                <w:lang w:eastAsia="en-AU"/>
              </w:rPr>
              <w:t xml:space="preserve">; </w:t>
            </w:r>
            <w:proofErr w:type="spellStart"/>
            <w:r w:rsidR="00D62859" w:rsidRPr="00D62859">
              <w:t>Spaapen</w:t>
            </w:r>
            <w:proofErr w:type="spellEnd"/>
            <w:r w:rsidR="00D62859" w:rsidRPr="00D62859">
              <w:t xml:space="preserve"> &amp; Van </w:t>
            </w:r>
            <w:proofErr w:type="spellStart"/>
            <w:r w:rsidR="00D62859" w:rsidRPr="00D62859">
              <w:t>Drooge</w:t>
            </w:r>
            <w:proofErr w:type="spellEnd"/>
            <w:r w:rsidR="00D62859" w:rsidRPr="00D62859">
              <w:t>, 2011</w:t>
            </w:r>
            <w:r w:rsidR="00D62859">
              <w:rPr>
                <w:noProof/>
                <w:lang w:eastAsia="en-AU"/>
              </w:rPr>
              <w:t>)</w:t>
            </w:r>
            <w:r w:rsidRPr="00EA0DD2">
              <w:rPr>
                <w:lang w:eastAsia="en-AU"/>
              </w:rPr>
              <w:t xml:space="preserve">. By integrating human experiences and data, this research type ensures more inclusive and comprehensive solutions </w:t>
            </w:r>
            <w:r w:rsidR="00D62859">
              <w:rPr>
                <w:noProof/>
                <w:lang w:eastAsia="en-AU"/>
              </w:rPr>
              <w:t>(</w:t>
            </w:r>
            <w:r w:rsidR="00D62859" w:rsidRPr="00D62859">
              <w:t>Banzi et al., 2011</w:t>
            </w:r>
            <w:r w:rsidR="00D62859">
              <w:rPr>
                <w:noProof/>
                <w:lang w:eastAsia="en-AU"/>
              </w:rPr>
              <w:t>)</w:t>
            </w:r>
            <w:r w:rsidRPr="00EA0DD2">
              <w:rPr>
                <w:lang w:eastAsia="en-AU"/>
              </w:rPr>
              <w:t>.</w:t>
            </w:r>
          </w:p>
        </w:tc>
      </w:tr>
      <w:tr w:rsidR="00802DDD" w:rsidRPr="001E7C5D" w14:paraId="733CA3E2" w14:textId="77777777" w:rsidTr="00F55019">
        <w:trPr>
          <w:trHeight w:val="20"/>
        </w:trPr>
        <w:tc>
          <w:tcPr>
            <w:tcW w:w="1413" w:type="dxa"/>
            <w:vMerge w:val="restart"/>
            <w:shd w:val="clear" w:color="auto" w:fill="auto"/>
            <w:noWrap/>
            <w:vAlign w:val="center"/>
            <w:hideMark/>
          </w:tcPr>
          <w:p w14:paraId="7C786606" w14:textId="77777777" w:rsidR="00802DDD" w:rsidRPr="001E7C5D" w:rsidRDefault="00802DDD" w:rsidP="00433D7D">
            <w:pPr>
              <w:pStyle w:val="Table-Left7"/>
              <w:rPr>
                <w:lang w:eastAsia="en-AU"/>
              </w:rPr>
            </w:pPr>
            <w:r w:rsidRPr="001E7C5D">
              <w:rPr>
                <w:lang w:eastAsia="en-AU"/>
              </w:rPr>
              <w:t>Time Dimensions</w:t>
            </w:r>
          </w:p>
        </w:tc>
        <w:tc>
          <w:tcPr>
            <w:tcW w:w="1417" w:type="dxa"/>
            <w:shd w:val="clear" w:color="auto" w:fill="auto"/>
            <w:vAlign w:val="center"/>
            <w:hideMark/>
          </w:tcPr>
          <w:p w14:paraId="31EEEBB1" w14:textId="77777777" w:rsidR="00802DDD" w:rsidRPr="001E7C5D" w:rsidRDefault="00802DDD" w:rsidP="00433D7D">
            <w:pPr>
              <w:pStyle w:val="Table-Left7"/>
              <w:rPr>
                <w:lang w:eastAsia="en-AU"/>
              </w:rPr>
            </w:pPr>
            <w:r w:rsidRPr="001E7C5D">
              <w:rPr>
                <w:lang w:eastAsia="en-AU"/>
              </w:rPr>
              <w:t>Cross-Sectional Research</w:t>
            </w:r>
          </w:p>
        </w:tc>
        <w:tc>
          <w:tcPr>
            <w:tcW w:w="1560" w:type="dxa"/>
            <w:shd w:val="clear" w:color="auto" w:fill="auto"/>
            <w:vAlign w:val="center"/>
            <w:hideMark/>
          </w:tcPr>
          <w:p w14:paraId="35D4B45A" w14:textId="77777777" w:rsidR="00802DDD" w:rsidRPr="001E7C5D" w:rsidRDefault="00802DDD" w:rsidP="00433D7D">
            <w:pPr>
              <w:pStyle w:val="Table-Left7"/>
              <w:rPr>
                <w:lang w:eastAsia="en-AU"/>
              </w:rPr>
            </w:pPr>
            <w:r w:rsidRPr="001E7C5D">
              <w:rPr>
                <w:lang w:eastAsia="en-AU"/>
              </w:rPr>
              <w:t>Collects data at a single time for a snapshot of a phenomenon.</w:t>
            </w:r>
          </w:p>
        </w:tc>
        <w:tc>
          <w:tcPr>
            <w:tcW w:w="4626" w:type="dxa"/>
            <w:shd w:val="clear" w:color="auto" w:fill="auto"/>
            <w:vAlign w:val="center"/>
            <w:hideMark/>
          </w:tcPr>
          <w:p w14:paraId="3C17AC60" w14:textId="2266BA7D" w:rsidR="00802DDD" w:rsidRPr="00EA0DD2" w:rsidRDefault="00802DDD" w:rsidP="00433D7D">
            <w:pPr>
              <w:pStyle w:val="Table-Left7"/>
              <w:rPr>
                <w:lang w:eastAsia="en-AU"/>
              </w:rPr>
            </w:pPr>
            <w:r w:rsidRPr="00EA0DD2">
              <w:rPr>
                <w:lang w:eastAsia="en-AU"/>
              </w:rPr>
              <w:t xml:space="preserve">Helpful in identifying immediate patterns, trends, or correlations that can lead to short-term policy interventions and societal shifts </w:t>
            </w:r>
            <w:r w:rsidR="00D62859">
              <w:rPr>
                <w:noProof/>
                <w:lang w:eastAsia="en-AU"/>
              </w:rPr>
              <w:t>(</w:t>
            </w:r>
            <w:r w:rsidR="00D62859" w:rsidRPr="00D62859">
              <w:t>Muhonen et al., 2020</w:t>
            </w:r>
            <w:r w:rsidR="00D62859">
              <w:rPr>
                <w:noProof/>
                <w:lang w:eastAsia="en-AU"/>
              </w:rPr>
              <w:t>)</w:t>
            </w:r>
            <w:r w:rsidRPr="00EA0DD2">
              <w:rPr>
                <w:lang w:eastAsia="en-AU"/>
              </w:rPr>
              <w:t xml:space="preserve">. For example, cross-sectional studies on public health behaviours or market research can inform urgent responses but are limited in capturing long-term effects </w:t>
            </w:r>
            <w:r w:rsidR="00D62859">
              <w:rPr>
                <w:noProof/>
                <w:lang w:eastAsia="en-AU"/>
              </w:rPr>
              <w:t>(</w:t>
            </w:r>
            <w:r w:rsidR="00D62859" w:rsidRPr="00D62859">
              <w:t>Arsalan et al., 2024</w:t>
            </w:r>
            <w:r w:rsidR="00D62859">
              <w:rPr>
                <w:noProof/>
                <w:lang w:eastAsia="en-AU"/>
              </w:rPr>
              <w:t>)</w:t>
            </w:r>
            <w:r w:rsidRPr="00EA0DD2">
              <w:rPr>
                <w:lang w:eastAsia="en-AU"/>
              </w:rPr>
              <w:t>.</w:t>
            </w:r>
          </w:p>
        </w:tc>
      </w:tr>
      <w:tr w:rsidR="00802DDD" w:rsidRPr="001E7C5D" w14:paraId="76D51C52" w14:textId="77777777" w:rsidTr="00F55019">
        <w:trPr>
          <w:trHeight w:val="20"/>
        </w:trPr>
        <w:tc>
          <w:tcPr>
            <w:tcW w:w="1413" w:type="dxa"/>
            <w:vMerge/>
            <w:shd w:val="clear" w:color="auto" w:fill="auto"/>
            <w:noWrap/>
            <w:vAlign w:val="center"/>
          </w:tcPr>
          <w:p w14:paraId="7867FA1A" w14:textId="77777777" w:rsidR="00802DDD" w:rsidRPr="001E7C5D" w:rsidRDefault="00802DDD" w:rsidP="00433D7D">
            <w:pPr>
              <w:pStyle w:val="Table-Left7"/>
              <w:rPr>
                <w:lang w:eastAsia="en-AU"/>
              </w:rPr>
            </w:pPr>
          </w:p>
        </w:tc>
        <w:tc>
          <w:tcPr>
            <w:tcW w:w="1417" w:type="dxa"/>
            <w:shd w:val="clear" w:color="auto" w:fill="auto"/>
            <w:vAlign w:val="center"/>
            <w:hideMark/>
          </w:tcPr>
          <w:p w14:paraId="47F2B1F4" w14:textId="77777777" w:rsidR="00802DDD" w:rsidRPr="001E7C5D" w:rsidRDefault="00802DDD" w:rsidP="00433D7D">
            <w:pPr>
              <w:pStyle w:val="Table-Left7"/>
              <w:rPr>
                <w:lang w:eastAsia="en-AU"/>
              </w:rPr>
            </w:pPr>
            <w:r w:rsidRPr="001E7C5D">
              <w:rPr>
                <w:lang w:eastAsia="en-AU"/>
              </w:rPr>
              <w:t>Longitudinal Research</w:t>
            </w:r>
          </w:p>
        </w:tc>
        <w:tc>
          <w:tcPr>
            <w:tcW w:w="1560" w:type="dxa"/>
            <w:shd w:val="clear" w:color="auto" w:fill="auto"/>
            <w:vAlign w:val="center"/>
            <w:hideMark/>
          </w:tcPr>
          <w:p w14:paraId="44A1B6E1" w14:textId="77777777" w:rsidR="00802DDD" w:rsidRPr="001E7C5D" w:rsidRDefault="00802DDD" w:rsidP="00433D7D">
            <w:pPr>
              <w:pStyle w:val="Table-Left7"/>
              <w:rPr>
                <w:lang w:eastAsia="en-AU"/>
              </w:rPr>
            </w:pPr>
            <w:r w:rsidRPr="001E7C5D">
              <w:rPr>
                <w:lang w:eastAsia="en-AU"/>
              </w:rPr>
              <w:t>Collects data over time to observe trends and developments.</w:t>
            </w:r>
          </w:p>
        </w:tc>
        <w:tc>
          <w:tcPr>
            <w:tcW w:w="4626" w:type="dxa"/>
            <w:shd w:val="clear" w:color="auto" w:fill="auto"/>
            <w:vAlign w:val="center"/>
            <w:hideMark/>
          </w:tcPr>
          <w:p w14:paraId="0AF1BC65" w14:textId="7A98DD15" w:rsidR="00802DDD" w:rsidRPr="00EA0DD2" w:rsidRDefault="00802DDD" w:rsidP="00433D7D">
            <w:pPr>
              <w:pStyle w:val="Table-Left7"/>
              <w:rPr>
                <w:lang w:eastAsia="en-AU"/>
              </w:rPr>
            </w:pPr>
            <w:r>
              <w:rPr>
                <w:lang w:eastAsia="en-AU"/>
              </w:rPr>
              <w:t>Longitudinal research c</w:t>
            </w:r>
            <w:r w:rsidRPr="00EA0DD2">
              <w:rPr>
                <w:lang w:eastAsia="en-AU"/>
              </w:rPr>
              <w:t xml:space="preserve">aptures long-term changes, making it invaluable for understanding sustained impacts in healthcare, education, and environmental sustainability </w:t>
            </w:r>
            <w:r w:rsidR="00D62859">
              <w:rPr>
                <w:noProof/>
                <w:lang w:eastAsia="en-AU"/>
              </w:rPr>
              <w:t>(</w:t>
            </w:r>
            <w:proofErr w:type="spellStart"/>
            <w:r w:rsidR="00D62859" w:rsidRPr="00D62859">
              <w:t>Benneworth</w:t>
            </w:r>
            <w:proofErr w:type="spellEnd"/>
            <w:r w:rsidR="00D62859" w:rsidRPr="00D62859">
              <w:t xml:space="preserve"> &amp; Cunha, 2015</w:t>
            </w:r>
            <w:r w:rsidR="00D62859">
              <w:rPr>
                <w:noProof/>
                <w:lang w:eastAsia="en-AU"/>
              </w:rPr>
              <w:t>)</w:t>
            </w:r>
            <w:r w:rsidRPr="00EA0DD2">
              <w:rPr>
                <w:lang w:eastAsia="en-AU"/>
              </w:rPr>
              <w:t xml:space="preserve">. </w:t>
            </w:r>
            <w:r>
              <w:rPr>
                <w:lang w:eastAsia="en-AU"/>
              </w:rPr>
              <w:t>I</w:t>
            </w:r>
            <w:r w:rsidRPr="00EA0DD2">
              <w:rPr>
                <w:lang w:eastAsia="en-AU"/>
              </w:rPr>
              <w:t xml:space="preserve">t supports evolving policies and practices and enables tracking societal progress in areas like chronic disease management or economic development </w:t>
            </w:r>
            <w:r w:rsidR="00D62859">
              <w:rPr>
                <w:noProof/>
                <w:lang w:eastAsia="en-AU"/>
              </w:rPr>
              <w:t>(</w:t>
            </w:r>
            <w:r w:rsidR="00D62859" w:rsidRPr="00D62859">
              <w:t>Hughes &amp; Kitson, 2012</w:t>
            </w:r>
            <w:r w:rsidR="00D62859">
              <w:rPr>
                <w:noProof/>
                <w:lang w:eastAsia="en-AU"/>
              </w:rPr>
              <w:t>)</w:t>
            </w:r>
            <w:r w:rsidRPr="00EA0DD2">
              <w:rPr>
                <w:lang w:eastAsia="en-AU"/>
              </w:rPr>
              <w:t>.</w:t>
            </w:r>
          </w:p>
        </w:tc>
      </w:tr>
      <w:tr w:rsidR="00802DDD" w:rsidRPr="001E7C5D" w14:paraId="7AD5C81C" w14:textId="77777777" w:rsidTr="00F55019">
        <w:trPr>
          <w:trHeight w:val="20"/>
        </w:trPr>
        <w:tc>
          <w:tcPr>
            <w:tcW w:w="1413" w:type="dxa"/>
            <w:vMerge w:val="restart"/>
            <w:shd w:val="clear" w:color="auto" w:fill="auto"/>
            <w:noWrap/>
            <w:vAlign w:val="center"/>
            <w:hideMark/>
          </w:tcPr>
          <w:p w14:paraId="68AC6761" w14:textId="77777777" w:rsidR="00802DDD" w:rsidRPr="001E7C5D" w:rsidRDefault="00802DDD" w:rsidP="00433D7D">
            <w:pPr>
              <w:pStyle w:val="Table-Left7"/>
              <w:rPr>
                <w:lang w:eastAsia="en-AU"/>
              </w:rPr>
            </w:pPr>
            <w:r w:rsidRPr="001E7C5D">
              <w:rPr>
                <w:lang w:eastAsia="en-AU"/>
              </w:rPr>
              <w:t>Data Sources</w:t>
            </w:r>
          </w:p>
        </w:tc>
        <w:tc>
          <w:tcPr>
            <w:tcW w:w="1417" w:type="dxa"/>
            <w:shd w:val="clear" w:color="auto" w:fill="auto"/>
            <w:vAlign w:val="center"/>
            <w:hideMark/>
          </w:tcPr>
          <w:p w14:paraId="3906DC2A" w14:textId="77777777" w:rsidR="00802DDD" w:rsidRPr="001E7C5D" w:rsidRDefault="00802DDD" w:rsidP="00433D7D">
            <w:pPr>
              <w:pStyle w:val="Table-Left7"/>
              <w:rPr>
                <w:lang w:eastAsia="en-AU"/>
              </w:rPr>
            </w:pPr>
            <w:r w:rsidRPr="001E7C5D">
              <w:rPr>
                <w:lang w:eastAsia="en-AU"/>
              </w:rPr>
              <w:t>Primary Research</w:t>
            </w:r>
          </w:p>
        </w:tc>
        <w:tc>
          <w:tcPr>
            <w:tcW w:w="1560" w:type="dxa"/>
            <w:shd w:val="clear" w:color="auto" w:fill="auto"/>
            <w:vAlign w:val="center"/>
            <w:hideMark/>
          </w:tcPr>
          <w:p w14:paraId="57390EA0" w14:textId="77777777" w:rsidR="00802DDD" w:rsidRPr="001E7C5D" w:rsidRDefault="00802DDD" w:rsidP="00433D7D">
            <w:pPr>
              <w:pStyle w:val="Table-Left7"/>
              <w:rPr>
                <w:lang w:eastAsia="en-AU"/>
              </w:rPr>
            </w:pPr>
            <w:r w:rsidRPr="001E7C5D">
              <w:rPr>
                <w:lang w:eastAsia="en-AU"/>
              </w:rPr>
              <w:t>I</w:t>
            </w:r>
            <w:r>
              <w:rPr>
                <w:lang w:eastAsia="en-AU"/>
              </w:rPr>
              <w:t>t i</w:t>
            </w:r>
            <w:r w:rsidRPr="001E7C5D">
              <w:rPr>
                <w:lang w:eastAsia="en-AU"/>
              </w:rPr>
              <w:t>nvolves collectin</w:t>
            </w:r>
            <w:r>
              <w:rPr>
                <w:lang w:eastAsia="en-AU"/>
              </w:rPr>
              <w:t>g</w:t>
            </w:r>
            <w:r w:rsidRPr="001E7C5D">
              <w:rPr>
                <w:lang w:eastAsia="en-AU"/>
              </w:rPr>
              <w:t xml:space="preserve"> original data directly from experiments, surveys, or interviews.</w:t>
            </w:r>
          </w:p>
        </w:tc>
        <w:tc>
          <w:tcPr>
            <w:tcW w:w="4626" w:type="dxa"/>
            <w:shd w:val="clear" w:color="auto" w:fill="auto"/>
            <w:vAlign w:val="center"/>
            <w:hideMark/>
          </w:tcPr>
          <w:p w14:paraId="42F2E206" w14:textId="28EBFD5C" w:rsidR="00802DDD" w:rsidRPr="00EA0DD2" w:rsidRDefault="00802DDD" w:rsidP="00433D7D">
            <w:pPr>
              <w:pStyle w:val="Table-Left7"/>
              <w:rPr>
                <w:lang w:eastAsia="en-AU"/>
              </w:rPr>
            </w:pPr>
            <w:r w:rsidRPr="00EA0DD2">
              <w:rPr>
                <w:lang w:eastAsia="en-AU"/>
              </w:rPr>
              <w:t xml:space="preserve">Creates novel insights that can directly influence policy and societal practices. For instance, primary research in environmental science can lead to the development of new conservation strategies, while sociological surveys can impact public health campaigns </w:t>
            </w:r>
            <w:r w:rsidR="00D62859">
              <w:rPr>
                <w:noProof/>
                <w:lang w:eastAsia="en-AU"/>
              </w:rPr>
              <w:t>(</w:t>
            </w:r>
            <w:proofErr w:type="spellStart"/>
            <w:r w:rsidR="00D62859" w:rsidRPr="00D62859">
              <w:t>Spaapen</w:t>
            </w:r>
            <w:proofErr w:type="spellEnd"/>
            <w:r w:rsidR="00D62859" w:rsidRPr="00D62859">
              <w:t xml:space="preserve"> &amp; Van </w:t>
            </w:r>
            <w:proofErr w:type="spellStart"/>
            <w:r w:rsidR="00D62859" w:rsidRPr="00D62859">
              <w:t>Drooge</w:t>
            </w:r>
            <w:proofErr w:type="spellEnd"/>
            <w:r w:rsidR="00D62859" w:rsidRPr="00D62859">
              <w:t>, 2011</w:t>
            </w:r>
            <w:r w:rsidR="00D62859">
              <w:rPr>
                <w:noProof/>
                <w:lang w:eastAsia="en-AU"/>
              </w:rPr>
              <w:t>)</w:t>
            </w:r>
            <w:r w:rsidRPr="00EA0DD2">
              <w:rPr>
                <w:lang w:eastAsia="en-AU"/>
              </w:rPr>
              <w:t xml:space="preserve">. Primary data forms the basis for technological innovations and new business models in engineering and biotechnology </w:t>
            </w:r>
            <w:r w:rsidR="00D62859">
              <w:rPr>
                <w:noProof/>
                <w:lang w:eastAsia="en-AU"/>
              </w:rPr>
              <w:t>(</w:t>
            </w:r>
            <w:r w:rsidR="00D62859" w:rsidRPr="00D62859">
              <w:t xml:space="preserve">Rowe &amp; </w:t>
            </w:r>
            <w:proofErr w:type="spellStart"/>
            <w:r w:rsidR="00D62859" w:rsidRPr="00D62859">
              <w:t>Frewer</w:t>
            </w:r>
            <w:proofErr w:type="spellEnd"/>
            <w:r w:rsidR="00D62859" w:rsidRPr="00D62859">
              <w:t>, 2005</w:t>
            </w:r>
            <w:r w:rsidR="00D62859">
              <w:rPr>
                <w:noProof/>
                <w:lang w:eastAsia="en-AU"/>
              </w:rPr>
              <w:t>)</w:t>
            </w:r>
            <w:r w:rsidRPr="00EA0DD2">
              <w:rPr>
                <w:lang w:eastAsia="en-AU"/>
              </w:rPr>
              <w:t>.</w:t>
            </w:r>
          </w:p>
        </w:tc>
      </w:tr>
      <w:tr w:rsidR="00802DDD" w:rsidRPr="001E7C5D" w14:paraId="6FF59AF5" w14:textId="77777777" w:rsidTr="00F55019">
        <w:trPr>
          <w:trHeight w:val="20"/>
        </w:trPr>
        <w:tc>
          <w:tcPr>
            <w:tcW w:w="1413" w:type="dxa"/>
            <w:vMerge/>
            <w:shd w:val="clear" w:color="auto" w:fill="auto"/>
            <w:noWrap/>
            <w:vAlign w:val="center"/>
            <w:hideMark/>
          </w:tcPr>
          <w:p w14:paraId="766AC265" w14:textId="77777777" w:rsidR="00802DDD" w:rsidRPr="001E7C5D" w:rsidRDefault="00802DDD" w:rsidP="00433D7D">
            <w:pPr>
              <w:pStyle w:val="Table-Left7"/>
              <w:rPr>
                <w:lang w:eastAsia="en-AU"/>
              </w:rPr>
            </w:pPr>
          </w:p>
        </w:tc>
        <w:tc>
          <w:tcPr>
            <w:tcW w:w="1417" w:type="dxa"/>
            <w:shd w:val="clear" w:color="auto" w:fill="auto"/>
            <w:vAlign w:val="center"/>
            <w:hideMark/>
          </w:tcPr>
          <w:p w14:paraId="78B09001" w14:textId="77777777" w:rsidR="00802DDD" w:rsidRPr="001E7C5D" w:rsidRDefault="00802DDD" w:rsidP="00433D7D">
            <w:pPr>
              <w:pStyle w:val="Table-Left7"/>
              <w:rPr>
                <w:lang w:eastAsia="en-AU"/>
              </w:rPr>
            </w:pPr>
            <w:r w:rsidRPr="001E7C5D">
              <w:rPr>
                <w:lang w:eastAsia="en-AU"/>
              </w:rPr>
              <w:t>Secondary Research</w:t>
            </w:r>
          </w:p>
        </w:tc>
        <w:tc>
          <w:tcPr>
            <w:tcW w:w="1560" w:type="dxa"/>
            <w:shd w:val="clear" w:color="auto" w:fill="auto"/>
            <w:vAlign w:val="center"/>
            <w:hideMark/>
          </w:tcPr>
          <w:p w14:paraId="2891652F" w14:textId="77777777" w:rsidR="00802DDD" w:rsidRPr="001E7C5D" w:rsidRDefault="00802DDD" w:rsidP="00433D7D">
            <w:pPr>
              <w:pStyle w:val="Table-Left7"/>
              <w:rPr>
                <w:lang w:eastAsia="en-AU"/>
              </w:rPr>
            </w:pPr>
            <w:r w:rsidRPr="001E7C5D">
              <w:rPr>
                <w:lang w:eastAsia="en-AU"/>
              </w:rPr>
              <w:t>Uses existing data to analy</w:t>
            </w:r>
            <w:r>
              <w:rPr>
                <w:lang w:eastAsia="en-AU"/>
              </w:rPr>
              <w:t>s</w:t>
            </w:r>
            <w:r w:rsidRPr="001E7C5D">
              <w:rPr>
                <w:lang w:eastAsia="en-AU"/>
              </w:rPr>
              <w:t>e or conclu</w:t>
            </w:r>
            <w:r>
              <w:rPr>
                <w:lang w:eastAsia="en-AU"/>
              </w:rPr>
              <w:t>de</w:t>
            </w:r>
            <w:r w:rsidRPr="001E7C5D">
              <w:rPr>
                <w:lang w:eastAsia="en-AU"/>
              </w:rPr>
              <w:t xml:space="preserve"> (e.g., literature reviews, databases).</w:t>
            </w:r>
          </w:p>
        </w:tc>
        <w:tc>
          <w:tcPr>
            <w:tcW w:w="4626" w:type="dxa"/>
            <w:shd w:val="clear" w:color="auto" w:fill="auto"/>
            <w:vAlign w:val="center"/>
            <w:hideMark/>
          </w:tcPr>
          <w:p w14:paraId="6CE3886C" w14:textId="6648073E" w:rsidR="00802DDD" w:rsidRPr="00EA0DD2" w:rsidRDefault="00802DDD" w:rsidP="00433D7D">
            <w:pPr>
              <w:pStyle w:val="Table-Left7"/>
              <w:rPr>
                <w:lang w:eastAsia="en-AU"/>
              </w:rPr>
            </w:pPr>
            <w:r w:rsidRPr="00EA0DD2">
              <w:rPr>
                <w:lang w:eastAsia="en-AU"/>
              </w:rPr>
              <w:t xml:space="preserve">Strengthens evidence-based policymaking and enhances societal impact by synthesising previous research </w:t>
            </w:r>
            <w:r w:rsidR="00D62859">
              <w:rPr>
                <w:noProof/>
                <w:lang w:eastAsia="en-AU"/>
              </w:rPr>
              <w:t>(</w:t>
            </w:r>
            <w:r w:rsidR="00D62859" w:rsidRPr="00D62859">
              <w:t xml:space="preserve">Rowe &amp; </w:t>
            </w:r>
            <w:proofErr w:type="spellStart"/>
            <w:r w:rsidR="00D62859" w:rsidRPr="00D62859">
              <w:t>Frewer</w:t>
            </w:r>
            <w:proofErr w:type="spellEnd"/>
            <w:r w:rsidR="00D62859" w:rsidRPr="00D62859">
              <w:t>, 2005</w:t>
            </w:r>
            <w:r w:rsidR="00D62859">
              <w:rPr>
                <w:noProof/>
                <w:lang w:eastAsia="en-AU"/>
              </w:rPr>
              <w:t>)</w:t>
            </w:r>
            <w:r w:rsidRPr="00EA0DD2">
              <w:rPr>
                <w:lang w:eastAsia="en-AU"/>
              </w:rPr>
              <w:t xml:space="preserve">. For instance, meta-analyses in healthcare or historical economic data analyses can aggregate past findings to guide policy or business decisions </w:t>
            </w:r>
            <w:r w:rsidR="00D62859">
              <w:rPr>
                <w:noProof/>
                <w:lang w:eastAsia="en-AU"/>
              </w:rPr>
              <w:t>(</w:t>
            </w:r>
            <w:r w:rsidR="00D62859" w:rsidRPr="00D62859">
              <w:t>Klein, 2010</w:t>
            </w:r>
            <w:r w:rsidR="00D62859">
              <w:rPr>
                <w:noProof/>
                <w:lang w:eastAsia="en-AU"/>
              </w:rPr>
              <w:t xml:space="preserve">; </w:t>
            </w:r>
            <w:r w:rsidR="00D62859" w:rsidRPr="00D62859">
              <w:t>Muhonen et al., 2020</w:t>
            </w:r>
            <w:r w:rsidR="00D62859">
              <w:rPr>
                <w:noProof/>
                <w:lang w:eastAsia="en-AU"/>
              </w:rPr>
              <w:t>)</w:t>
            </w:r>
            <w:r w:rsidRPr="00EA0DD2">
              <w:rPr>
                <w:lang w:eastAsia="en-AU"/>
              </w:rPr>
              <w:t>.</w:t>
            </w:r>
          </w:p>
        </w:tc>
      </w:tr>
      <w:tr w:rsidR="00802DDD" w:rsidRPr="001E7C5D" w14:paraId="18696F0E" w14:textId="77777777" w:rsidTr="00F55019">
        <w:trPr>
          <w:trHeight w:val="20"/>
        </w:trPr>
        <w:tc>
          <w:tcPr>
            <w:tcW w:w="1413" w:type="dxa"/>
            <w:vMerge w:val="restart"/>
            <w:shd w:val="clear" w:color="auto" w:fill="auto"/>
            <w:noWrap/>
            <w:vAlign w:val="center"/>
            <w:hideMark/>
          </w:tcPr>
          <w:p w14:paraId="3C468F6E" w14:textId="77777777" w:rsidR="00802DDD" w:rsidRPr="001E7C5D" w:rsidRDefault="00802DDD" w:rsidP="00433D7D">
            <w:pPr>
              <w:pStyle w:val="Table-Left7"/>
              <w:rPr>
                <w:lang w:eastAsia="en-AU"/>
              </w:rPr>
            </w:pPr>
            <w:r w:rsidRPr="001E7C5D">
              <w:rPr>
                <w:lang w:eastAsia="en-AU"/>
              </w:rPr>
              <w:t>Experimental vs. Non-Experimental Research</w:t>
            </w:r>
          </w:p>
        </w:tc>
        <w:tc>
          <w:tcPr>
            <w:tcW w:w="1417" w:type="dxa"/>
            <w:shd w:val="clear" w:color="auto" w:fill="auto"/>
            <w:vAlign w:val="center"/>
            <w:hideMark/>
          </w:tcPr>
          <w:p w14:paraId="79F9547C" w14:textId="77777777" w:rsidR="00802DDD" w:rsidRPr="001E7C5D" w:rsidRDefault="00802DDD" w:rsidP="00433D7D">
            <w:pPr>
              <w:pStyle w:val="Table-Left7"/>
              <w:rPr>
                <w:lang w:eastAsia="en-AU"/>
              </w:rPr>
            </w:pPr>
            <w:r w:rsidRPr="001E7C5D">
              <w:rPr>
                <w:lang w:eastAsia="en-AU"/>
              </w:rPr>
              <w:t>Experimental Research</w:t>
            </w:r>
          </w:p>
        </w:tc>
        <w:tc>
          <w:tcPr>
            <w:tcW w:w="1560" w:type="dxa"/>
            <w:shd w:val="clear" w:color="auto" w:fill="auto"/>
            <w:vAlign w:val="center"/>
            <w:hideMark/>
          </w:tcPr>
          <w:p w14:paraId="6D2B1DF8" w14:textId="77777777" w:rsidR="00802DDD" w:rsidRPr="001E7C5D" w:rsidRDefault="00802DDD" w:rsidP="00433D7D">
            <w:pPr>
              <w:pStyle w:val="Table-Left7"/>
              <w:rPr>
                <w:lang w:eastAsia="en-AU"/>
              </w:rPr>
            </w:pPr>
            <w:r w:rsidRPr="001E7C5D">
              <w:rPr>
                <w:lang w:eastAsia="en-AU"/>
              </w:rPr>
              <w:t>Manipulates variables under controlled conditions to establish cause-and-effect relationships.</w:t>
            </w:r>
          </w:p>
        </w:tc>
        <w:tc>
          <w:tcPr>
            <w:tcW w:w="4626" w:type="dxa"/>
            <w:shd w:val="clear" w:color="auto" w:fill="auto"/>
            <w:vAlign w:val="center"/>
            <w:hideMark/>
          </w:tcPr>
          <w:p w14:paraId="2A2995ED" w14:textId="5759D7DB" w:rsidR="00802DDD" w:rsidRPr="00EA0DD2" w:rsidRDefault="00802DDD" w:rsidP="00433D7D">
            <w:pPr>
              <w:pStyle w:val="Table-Left7"/>
              <w:rPr>
                <w:lang w:eastAsia="en-AU"/>
              </w:rPr>
            </w:pPr>
            <w:r w:rsidRPr="00EA0DD2">
              <w:rPr>
                <w:lang w:eastAsia="en-AU"/>
              </w:rPr>
              <w:t xml:space="preserve">Drives significant innovation by testing hypotheses in controlled environments, leading to breakthroughs in science and technology. Experimental research, such as in medical drug trials or engineering tests, leads to societal and economic impacts by providing safe, proven solutions </w:t>
            </w:r>
            <w:r w:rsidR="00D62859">
              <w:rPr>
                <w:noProof/>
                <w:lang w:eastAsia="en-AU"/>
              </w:rPr>
              <w:t>(</w:t>
            </w:r>
            <w:r w:rsidR="00D62859" w:rsidRPr="00D62859">
              <w:t>Bartels et al., 2012</w:t>
            </w:r>
            <w:r w:rsidR="00D62859">
              <w:rPr>
                <w:noProof/>
                <w:lang w:eastAsia="en-AU"/>
              </w:rPr>
              <w:t xml:space="preserve">; </w:t>
            </w:r>
            <w:proofErr w:type="spellStart"/>
            <w:r w:rsidR="00D62859" w:rsidRPr="00D62859">
              <w:t>Larédo</w:t>
            </w:r>
            <w:proofErr w:type="spellEnd"/>
            <w:r w:rsidR="00D62859" w:rsidRPr="00D62859">
              <w:t xml:space="preserve"> &amp; </w:t>
            </w:r>
            <w:proofErr w:type="spellStart"/>
            <w:r w:rsidR="00D62859" w:rsidRPr="00D62859">
              <w:t>Mustar</w:t>
            </w:r>
            <w:proofErr w:type="spellEnd"/>
            <w:r w:rsidR="00D62859" w:rsidRPr="00D62859">
              <w:t>, 2004</w:t>
            </w:r>
            <w:r w:rsidR="00D62859">
              <w:rPr>
                <w:noProof/>
                <w:lang w:eastAsia="en-AU"/>
              </w:rPr>
              <w:t>)</w:t>
            </w:r>
            <w:r w:rsidRPr="00EA0DD2">
              <w:rPr>
                <w:lang w:eastAsia="en-AU"/>
              </w:rPr>
              <w:t>.</w:t>
            </w:r>
          </w:p>
        </w:tc>
      </w:tr>
      <w:tr w:rsidR="00802DDD" w:rsidRPr="001E7C5D" w14:paraId="32AF5107" w14:textId="77777777" w:rsidTr="00F55019">
        <w:trPr>
          <w:trHeight w:val="20"/>
        </w:trPr>
        <w:tc>
          <w:tcPr>
            <w:tcW w:w="1413" w:type="dxa"/>
            <w:vMerge/>
            <w:shd w:val="clear" w:color="auto" w:fill="auto"/>
            <w:noWrap/>
            <w:vAlign w:val="center"/>
            <w:hideMark/>
          </w:tcPr>
          <w:p w14:paraId="1FD62A47" w14:textId="77777777" w:rsidR="00802DDD" w:rsidRPr="001E7C5D" w:rsidRDefault="00802DDD" w:rsidP="00433D7D">
            <w:pPr>
              <w:pStyle w:val="Table-Left7"/>
              <w:rPr>
                <w:lang w:eastAsia="en-AU"/>
              </w:rPr>
            </w:pPr>
          </w:p>
        </w:tc>
        <w:tc>
          <w:tcPr>
            <w:tcW w:w="1417" w:type="dxa"/>
            <w:shd w:val="clear" w:color="auto" w:fill="auto"/>
            <w:vAlign w:val="center"/>
            <w:hideMark/>
          </w:tcPr>
          <w:p w14:paraId="7620B67D" w14:textId="77777777" w:rsidR="00802DDD" w:rsidRPr="001E7C5D" w:rsidRDefault="00802DDD" w:rsidP="00433D7D">
            <w:pPr>
              <w:pStyle w:val="Table-Left7"/>
              <w:rPr>
                <w:lang w:eastAsia="en-AU"/>
              </w:rPr>
            </w:pPr>
            <w:r w:rsidRPr="001E7C5D">
              <w:rPr>
                <w:lang w:eastAsia="en-AU"/>
              </w:rPr>
              <w:t>Non-Experimental Research</w:t>
            </w:r>
          </w:p>
        </w:tc>
        <w:tc>
          <w:tcPr>
            <w:tcW w:w="1560" w:type="dxa"/>
            <w:shd w:val="clear" w:color="auto" w:fill="auto"/>
            <w:vAlign w:val="center"/>
            <w:hideMark/>
          </w:tcPr>
          <w:p w14:paraId="6005CB4D" w14:textId="77777777" w:rsidR="00802DDD" w:rsidRPr="001E7C5D" w:rsidRDefault="00802DDD" w:rsidP="00433D7D">
            <w:pPr>
              <w:pStyle w:val="Table-Left7"/>
              <w:rPr>
                <w:lang w:eastAsia="en-AU"/>
              </w:rPr>
            </w:pPr>
            <w:r w:rsidRPr="001E7C5D">
              <w:rPr>
                <w:lang w:eastAsia="en-AU"/>
              </w:rPr>
              <w:t>Observe and analy</w:t>
            </w:r>
            <w:r>
              <w:rPr>
                <w:lang w:eastAsia="en-AU"/>
              </w:rPr>
              <w:t>s</w:t>
            </w:r>
            <w:r w:rsidRPr="001E7C5D">
              <w:rPr>
                <w:lang w:eastAsia="en-AU"/>
              </w:rPr>
              <w:t>e phenomena without manipulating variables.</w:t>
            </w:r>
          </w:p>
        </w:tc>
        <w:tc>
          <w:tcPr>
            <w:tcW w:w="4626" w:type="dxa"/>
            <w:shd w:val="clear" w:color="auto" w:fill="auto"/>
            <w:vAlign w:val="center"/>
            <w:hideMark/>
          </w:tcPr>
          <w:p w14:paraId="59552668" w14:textId="35DDA783" w:rsidR="00802DDD" w:rsidRPr="00EA0DD2" w:rsidRDefault="00802DDD" w:rsidP="00433D7D">
            <w:pPr>
              <w:pStyle w:val="Table-Left7"/>
              <w:rPr>
                <w:lang w:eastAsia="en-AU"/>
              </w:rPr>
            </w:pPr>
            <w:r w:rsidRPr="00EA0DD2">
              <w:rPr>
                <w:lang w:eastAsia="en-AU"/>
              </w:rPr>
              <w:t xml:space="preserve">Valid in areas where experimentation is impractical or unethical, such as education or social work </w:t>
            </w:r>
            <w:r w:rsidR="00D62859">
              <w:rPr>
                <w:noProof/>
                <w:lang w:eastAsia="en-AU"/>
              </w:rPr>
              <w:t>(</w:t>
            </w:r>
            <w:proofErr w:type="spellStart"/>
            <w:r w:rsidR="00D62859" w:rsidRPr="00D62859">
              <w:t>Benneworth</w:t>
            </w:r>
            <w:proofErr w:type="spellEnd"/>
            <w:r w:rsidR="00D62859" w:rsidRPr="00D62859">
              <w:t xml:space="preserve"> &amp; </w:t>
            </w:r>
            <w:proofErr w:type="spellStart"/>
            <w:r w:rsidR="00D62859" w:rsidRPr="00D62859">
              <w:t>Jongbloed</w:t>
            </w:r>
            <w:proofErr w:type="spellEnd"/>
            <w:r w:rsidR="00D62859" w:rsidRPr="00D62859">
              <w:t>, 2012</w:t>
            </w:r>
            <w:r w:rsidR="00D62859">
              <w:rPr>
                <w:noProof/>
                <w:lang w:eastAsia="en-AU"/>
              </w:rPr>
              <w:t>)</w:t>
            </w:r>
            <w:r w:rsidRPr="00EA0DD2">
              <w:rPr>
                <w:lang w:eastAsia="en-AU"/>
              </w:rPr>
              <w:t xml:space="preserve">. Non-experimental research offers real-world insights that inform policy decisions in areas like </w:t>
            </w:r>
            <w:r w:rsidRPr="00EA0DD2">
              <w:rPr>
                <w:lang w:eastAsia="en-AU"/>
              </w:rPr>
              <w:lastRenderedPageBreak/>
              <w:t xml:space="preserve">environmental regulation and education reform </w:t>
            </w:r>
            <w:r w:rsidR="00D62859">
              <w:rPr>
                <w:noProof/>
                <w:lang w:eastAsia="en-AU"/>
              </w:rPr>
              <w:t>(</w:t>
            </w:r>
            <w:proofErr w:type="spellStart"/>
            <w:r w:rsidR="00D62859" w:rsidRPr="00D62859">
              <w:t>Spaapen</w:t>
            </w:r>
            <w:proofErr w:type="spellEnd"/>
            <w:r w:rsidR="00D62859" w:rsidRPr="00D62859">
              <w:t xml:space="preserve"> &amp; Van </w:t>
            </w:r>
            <w:proofErr w:type="spellStart"/>
            <w:r w:rsidR="00D62859" w:rsidRPr="00D62859">
              <w:t>Drooge</w:t>
            </w:r>
            <w:proofErr w:type="spellEnd"/>
            <w:r w:rsidR="00D62859" w:rsidRPr="00D62859">
              <w:t>, 2011</w:t>
            </w:r>
            <w:r w:rsidR="00D62859">
              <w:rPr>
                <w:noProof/>
                <w:lang w:eastAsia="en-AU"/>
              </w:rPr>
              <w:t>)</w:t>
            </w:r>
            <w:r w:rsidRPr="00EA0DD2">
              <w:rPr>
                <w:lang w:eastAsia="en-AU"/>
              </w:rPr>
              <w:t>.</w:t>
            </w:r>
          </w:p>
        </w:tc>
      </w:tr>
      <w:tr w:rsidR="00802DDD" w:rsidRPr="001E7C5D" w14:paraId="7B6075F8" w14:textId="77777777" w:rsidTr="00F55019">
        <w:trPr>
          <w:trHeight w:val="20"/>
        </w:trPr>
        <w:tc>
          <w:tcPr>
            <w:tcW w:w="1413" w:type="dxa"/>
            <w:vMerge w:val="restart"/>
            <w:shd w:val="clear" w:color="auto" w:fill="auto"/>
            <w:noWrap/>
            <w:vAlign w:val="center"/>
            <w:hideMark/>
          </w:tcPr>
          <w:p w14:paraId="0AC44CF1" w14:textId="77777777" w:rsidR="00802DDD" w:rsidRPr="001E7C5D" w:rsidRDefault="00802DDD" w:rsidP="00433D7D">
            <w:pPr>
              <w:pStyle w:val="Table-Left7"/>
              <w:rPr>
                <w:lang w:eastAsia="en-AU"/>
              </w:rPr>
            </w:pPr>
            <w:r w:rsidRPr="001E7C5D">
              <w:rPr>
                <w:lang w:eastAsia="en-AU"/>
              </w:rPr>
              <w:lastRenderedPageBreak/>
              <w:t>Theoretical vs. Empirical Research</w:t>
            </w:r>
          </w:p>
        </w:tc>
        <w:tc>
          <w:tcPr>
            <w:tcW w:w="1417" w:type="dxa"/>
            <w:shd w:val="clear" w:color="auto" w:fill="auto"/>
            <w:vAlign w:val="center"/>
            <w:hideMark/>
          </w:tcPr>
          <w:p w14:paraId="27C87366" w14:textId="77777777" w:rsidR="00802DDD" w:rsidRPr="001E7C5D" w:rsidRDefault="00802DDD" w:rsidP="00433D7D">
            <w:pPr>
              <w:pStyle w:val="Table-Left7"/>
              <w:rPr>
                <w:lang w:eastAsia="en-AU"/>
              </w:rPr>
            </w:pPr>
            <w:r w:rsidRPr="001E7C5D">
              <w:rPr>
                <w:lang w:eastAsia="en-AU"/>
              </w:rPr>
              <w:t>Theoretical Research</w:t>
            </w:r>
          </w:p>
        </w:tc>
        <w:tc>
          <w:tcPr>
            <w:tcW w:w="1560" w:type="dxa"/>
            <w:shd w:val="clear" w:color="auto" w:fill="auto"/>
            <w:vAlign w:val="center"/>
            <w:hideMark/>
          </w:tcPr>
          <w:p w14:paraId="4FFFCC39" w14:textId="77777777" w:rsidR="00802DDD" w:rsidRPr="001E7C5D" w:rsidRDefault="00802DDD" w:rsidP="00433D7D">
            <w:pPr>
              <w:pStyle w:val="Table-Left7"/>
              <w:rPr>
                <w:lang w:eastAsia="en-AU"/>
              </w:rPr>
            </w:pPr>
            <w:r w:rsidRPr="001E7C5D">
              <w:rPr>
                <w:lang w:eastAsia="en-AU"/>
              </w:rPr>
              <w:t>Develops or expands theories without immediate empirical testing.</w:t>
            </w:r>
          </w:p>
        </w:tc>
        <w:tc>
          <w:tcPr>
            <w:tcW w:w="4626" w:type="dxa"/>
            <w:shd w:val="clear" w:color="auto" w:fill="auto"/>
            <w:vAlign w:val="center"/>
            <w:hideMark/>
          </w:tcPr>
          <w:p w14:paraId="234A7B14" w14:textId="2E2385D0" w:rsidR="00802DDD" w:rsidRPr="00EA0DD2" w:rsidRDefault="00802DDD" w:rsidP="00433D7D">
            <w:pPr>
              <w:pStyle w:val="Table-Left7"/>
              <w:rPr>
                <w:lang w:eastAsia="en-AU"/>
              </w:rPr>
            </w:pPr>
            <w:r w:rsidRPr="00EA0DD2">
              <w:rPr>
                <w:lang w:eastAsia="en-AU"/>
              </w:rPr>
              <w:t xml:space="preserve">Provides the intellectual frameworks and paradigms that guide future research. Theoretical contributions, such as game theory or social capital theory, shape future research and can significantly impact policy, scientific advancements, and societal practices </w:t>
            </w:r>
            <w:r w:rsidR="00D62859">
              <w:rPr>
                <w:noProof/>
                <w:lang w:eastAsia="en-AU"/>
              </w:rPr>
              <w:t>(</w:t>
            </w:r>
            <w:r w:rsidR="00D62859" w:rsidRPr="00D62859">
              <w:t>Fricker, 2007</w:t>
            </w:r>
            <w:r w:rsidR="00D62859">
              <w:rPr>
                <w:noProof/>
                <w:lang w:eastAsia="en-AU"/>
              </w:rPr>
              <w:t xml:space="preserve">; </w:t>
            </w:r>
            <w:r w:rsidR="00D62859" w:rsidRPr="00D62859">
              <w:t>Weiss, 1980</w:t>
            </w:r>
            <w:r w:rsidR="00D62859">
              <w:rPr>
                <w:noProof/>
                <w:lang w:eastAsia="en-AU"/>
              </w:rPr>
              <w:t>)</w:t>
            </w:r>
            <w:r w:rsidRPr="00EA0DD2">
              <w:rPr>
                <w:lang w:eastAsia="en-AU"/>
              </w:rPr>
              <w:t>.</w:t>
            </w:r>
          </w:p>
        </w:tc>
      </w:tr>
      <w:tr w:rsidR="00802DDD" w:rsidRPr="001E7C5D" w14:paraId="665C8AB7" w14:textId="77777777" w:rsidTr="00F55019">
        <w:trPr>
          <w:trHeight w:val="20"/>
        </w:trPr>
        <w:tc>
          <w:tcPr>
            <w:tcW w:w="1413" w:type="dxa"/>
            <w:vMerge/>
            <w:shd w:val="clear" w:color="auto" w:fill="auto"/>
            <w:noWrap/>
            <w:vAlign w:val="center"/>
            <w:hideMark/>
          </w:tcPr>
          <w:p w14:paraId="3E9AA4C7" w14:textId="77777777" w:rsidR="00802DDD" w:rsidRPr="001E7C5D" w:rsidRDefault="00802DDD" w:rsidP="00433D7D">
            <w:pPr>
              <w:pStyle w:val="Table-Left7"/>
              <w:rPr>
                <w:lang w:eastAsia="en-AU"/>
              </w:rPr>
            </w:pPr>
          </w:p>
        </w:tc>
        <w:tc>
          <w:tcPr>
            <w:tcW w:w="1417" w:type="dxa"/>
            <w:shd w:val="clear" w:color="auto" w:fill="auto"/>
            <w:vAlign w:val="center"/>
            <w:hideMark/>
          </w:tcPr>
          <w:p w14:paraId="4DB03F88" w14:textId="77777777" w:rsidR="00802DDD" w:rsidRPr="001E7C5D" w:rsidRDefault="00802DDD" w:rsidP="00433D7D">
            <w:pPr>
              <w:pStyle w:val="Table-Left7"/>
              <w:rPr>
                <w:lang w:eastAsia="en-AU"/>
              </w:rPr>
            </w:pPr>
            <w:r w:rsidRPr="001E7C5D">
              <w:rPr>
                <w:lang w:eastAsia="en-AU"/>
              </w:rPr>
              <w:t>Empirical Research</w:t>
            </w:r>
          </w:p>
        </w:tc>
        <w:tc>
          <w:tcPr>
            <w:tcW w:w="1560" w:type="dxa"/>
            <w:shd w:val="clear" w:color="auto" w:fill="auto"/>
            <w:vAlign w:val="center"/>
            <w:hideMark/>
          </w:tcPr>
          <w:p w14:paraId="7D822B0E" w14:textId="77777777" w:rsidR="00802DDD" w:rsidRPr="001E7C5D" w:rsidRDefault="00802DDD" w:rsidP="00433D7D">
            <w:pPr>
              <w:pStyle w:val="Table-Left7"/>
              <w:rPr>
                <w:lang w:eastAsia="en-AU"/>
              </w:rPr>
            </w:pPr>
            <w:r w:rsidRPr="001E7C5D">
              <w:rPr>
                <w:lang w:eastAsia="en-AU"/>
              </w:rPr>
              <w:t>I</w:t>
            </w:r>
            <w:r>
              <w:rPr>
                <w:lang w:eastAsia="en-AU"/>
              </w:rPr>
              <w:t>t i</w:t>
            </w:r>
            <w:r w:rsidRPr="001E7C5D">
              <w:rPr>
                <w:lang w:eastAsia="en-AU"/>
              </w:rPr>
              <w:t>nvolves collecting observable data to test hypotheses.</w:t>
            </w:r>
          </w:p>
        </w:tc>
        <w:tc>
          <w:tcPr>
            <w:tcW w:w="4626" w:type="dxa"/>
            <w:shd w:val="clear" w:color="auto" w:fill="auto"/>
            <w:vAlign w:val="center"/>
            <w:hideMark/>
          </w:tcPr>
          <w:p w14:paraId="05BAB273" w14:textId="4478C789" w:rsidR="00802DDD" w:rsidRPr="00EA0DD2" w:rsidRDefault="00802DDD" w:rsidP="00433D7D">
            <w:pPr>
              <w:pStyle w:val="Table-Left7"/>
              <w:rPr>
                <w:lang w:eastAsia="en-AU"/>
              </w:rPr>
            </w:pPr>
            <w:r w:rsidRPr="00EA0DD2">
              <w:rPr>
                <w:lang w:eastAsia="en-AU"/>
              </w:rPr>
              <w:t xml:space="preserve">Directly contributes to societal and technological advancements by validating or challenging theories based on real-world data </w:t>
            </w:r>
            <w:r w:rsidR="00D62859">
              <w:rPr>
                <w:noProof/>
                <w:lang w:eastAsia="en-AU"/>
              </w:rPr>
              <w:t>(</w:t>
            </w:r>
            <w:r w:rsidR="00D62859" w:rsidRPr="00D62859">
              <w:t xml:space="preserve">Rowe &amp; </w:t>
            </w:r>
            <w:proofErr w:type="spellStart"/>
            <w:r w:rsidR="00D62859" w:rsidRPr="00D62859">
              <w:t>Frewer</w:t>
            </w:r>
            <w:proofErr w:type="spellEnd"/>
            <w:r w:rsidR="00D62859" w:rsidRPr="00D62859">
              <w:t>, 2005</w:t>
            </w:r>
            <w:r w:rsidR="00D62859">
              <w:rPr>
                <w:noProof/>
                <w:lang w:eastAsia="en-AU"/>
              </w:rPr>
              <w:t>)</w:t>
            </w:r>
            <w:r w:rsidRPr="00EA0DD2">
              <w:rPr>
                <w:lang w:eastAsia="en-AU"/>
              </w:rPr>
              <w:t xml:space="preserve">. Empirical studies are essential in public health, economics, and environmental science, where policies and interventions are based on observable, tested outcomes </w:t>
            </w:r>
            <w:r w:rsidR="00D62859">
              <w:rPr>
                <w:noProof/>
                <w:lang w:eastAsia="en-AU"/>
              </w:rPr>
              <w:t>(</w:t>
            </w:r>
            <w:r w:rsidR="00D62859" w:rsidRPr="00D62859">
              <w:t>Hughes &amp; Kitson, 2012</w:t>
            </w:r>
            <w:r w:rsidR="00D62859">
              <w:rPr>
                <w:noProof/>
                <w:lang w:eastAsia="en-AU"/>
              </w:rPr>
              <w:t>)</w:t>
            </w:r>
            <w:r w:rsidRPr="00EA0DD2">
              <w:rPr>
                <w:lang w:eastAsia="en-AU"/>
              </w:rPr>
              <w:t>.</w:t>
            </w:r>
          </w:p>
        </w:tc>
      </w:tr>
      <w:tr w:rsidR="00802DDD" w:rsidRPr="001E7C5D" w14:paraId="6F50DE54" w14:textId="77777777" w:rsidTr="00F55019">
        <w:trPr>
          <w:trHeight w:val="20"/>
        </w:trPr>
        <w:tc>
          <w:tcPr>
            <w:tcW w:w="1413" w:type="dxa"/>
            <w:vMerge w:val="restart"/>
            <w:shd w:val="clear" w:color="auto" w:fill="auto"/>
            <w:noWrap/>
            <w:vAlign w:val="center"/>
            <w:hideMark/>
          </w:tcPr>
          <w:p w14:paraId="07427D61" w14:textId="77777777" w:rsidR="00802DDD" w:rsidRPr="001E7C5D" w:rsidRDefault="00802DDD" w:rsidP="00433D7D">
            <w:pPr>
              <w:pStyle w:val="Table-Left7"/>
              <w:rPr>
                <w:lang w:eastAsia="en-AU"/>
              </w:rPr>
            </w:pPr>
            <w:r w:rsidRPr="001E7C5D">
              <w:rPr>
                <w:lang w:eastAsia="en-AU"/>
              </w:rPr>
              <w:t>Research Settings</w:t>
            </w:r>
          </w:p>
        </w:tc>
        <w:tc>
          <w:tcPr>
            <w:tcW w:w="1417" w:type="dxa"/>
            <w:shd w:val="clear" w:color="auto" w:fill="auto"/>
            <w:vAlign w:val="center"/>
            <w:hideMark/>
          </w:tcPr>
          <w:p w14:paraId="1CD09F1F" w14:textId="77777777" w:rsidR="00802DDD" w:rsidRPr="001E7C5D" w:rsidRDefault="00802DDD" w:rsidP="00433D7D">
            <w:pPr>
              <w:pStyle w:val="Table-Left7"/>
              <w:rPr>
                <w:lang w:eastAsia="en-AU"/>
              </w:rPr>
            </w:pPr>
            <w:r w:rsidRPr="001E7C5D">
              <w:rPr>
                <w:lang w:eastAsia="en-AU"/>
              </w:rPr>
              <w:t>Field Research</w:t>
            </w:r>
          </w:p>
        </w:tc>
        <w:tc>
          <w:tcPr>
            <w:tcW w:w="1560" w:type="dxa"/>
            <w:shd w:val="clear" w:color="auto" w:fill="auto"/>
            <w:vAlign w:val="center"/>
            <w:hideMark/>
          </w:tcPr>
          <w:p w14:paraId="0A753A89" w14:textId="77777777" w:rsidR="00802DDD" w:rsidRPr="001E7C5D" w:rsidRDefault="00802DDD" w:rsidP="00433D7D">
            <w:pPr>
              <w:pStyle w:val="Table-Left7"/>
              <w:rPr>
                <w:lang w:eastAsia="en-AU"/>
              </w:rPr>
            </w:pPr>
            <w:r w:rsidRPr="001E7C5D">
              <w:rPr>
                <w:lang w:eastAsia="en-AU"/>
              </w:rPr>
              <w:t>Conducted in natural environments to study complex real-world phenomena.</w:t>
            </w:r>
          </w:p>
        </w:tc>
        <w:tc>
          <w:tcPr>
            <w:tcW w:w="4626" w:type="dxa"/>
            <w:shd w:val="clear" w:color="auto" w:fill="auto"/>
            <w:vAlign w:val="center"/>
            <w:hideMark/>
          </w:tcPr>
          <w:p w14:paraId="4E535E2E" w14:textId="518557B6" w:rsidR="00802DDD" w:rsidRPr="00EA0DD2" w:rsidRDefault="00802DDD" w:rsidP="00433D7D">
            <w:pPr>
              <w:pStyle w:val="Table-Left7"/>
              <w:rPr>
                <w:lang w:eastAsia="en-AU"/>
              </w:rPr>
            </w:pPr>
            <w:r w:rsidRPr="00EA0DD2">
              <w:rPr>
                <w:lang w:eastAsia="en-AU"/>
              </w:rPr>
              <w:t xml:space="preserve">Generates direct societal impact through context-specific findings, particularly in conservation biology, anthropology, and environmental science </w:t>
            </w:r>
            <w:r w:rsidR="00D62859">
              <w:rPr>
                <w:noProof/>
                <w:lang w:eastAsia="en-AU"/>
              </w:rPr>
              <w:t>(</w:t>
            </w:r>
            <w:proofErr w:type="spellStart"/>
            <w:r w:rsidR="00D62859" w:rsidRPr="00D62859">
              <w:t>Benneworth</w:t>
            </w:r>
            <w:proofErr w:type="spellEnd"/>
            <w:r w:rsidR="00D62859" w:rsidRPr="00D62859">
              <w:t xml:space="preserve"> &amp; </w:t>
            </w:r>
            <w:proofErr w:type="spellStart"/>
            <w:r w:rsidR="00D62859" w:rsidRPr="00D62859">
              <w:t>Jongbloed</w:t>
            </w:r>
            <w:proofErr w:type="spellEnd"/>
            <w:r w:rsidR="00D62859" w:rsidRPr="00D62859">
              <w:t>, 2012</w:t>
            </w:r>
            <w:r w:rsidR="00D62859">
              <w:rPr>
                <w:noProof/>
                <w:lang w:eastAsia="en-AU"/>
              </w:rPr>
              <w:t>)</w:t>
            </w:r>
            <w:r w:rsidRPr="00EA0DD2">
              <w:rPr>
                <w:lang w:eastAsia="en-AU"/>
              </w:rPr>
              <w:t xml:space="preserve">. Field research informs public policy and community practices, such as creating wildlife conservation areas or social interventions for inequality </w:t>
            </w:r>
            <w:r w:rsidR="00D62859">
              <w:rPr>
                <w:noProof/>
                <w:lang w:eastAsia="en-AU"/>
              </w:rPr>
              <w:t>(</w:t>
            </w:r>
            <w:proofErr w:type="spellStart"/>
            <w:r w:rsidR="00D62859" w:rsidRPr="00D62859">
              <w:t>Spaapen</w:t>
            </w:r>
            <w:proofErr w:type="spellEnd"/>
            <w:r w:rsidR="00D62859" w:rsidRPr="00D62859">
              <w:t xml:space="preserve"> &amp; Van </w:t>
            </w:r>
            <w:proofErr w:type="spellStart"/>
            <w:r w:rsidR="00D62859" w:rsidRPr="00D62859">
              <w:t>Drooge</w:t>
            </w:r>
            <w:proofErr w:type="spellEnd"/>
            <w:r w:rsidR="00D62859" w:rsidRPr="00D62859">
              <w:t>, 2011</w:t>
            </w:r>
            <w:r w:rsidR="00D62859">
              <w:rPr>
                <w:noProof/>
                <w:lang w:eastAsia="en-AU"/>
              </w:rPr>
              <w:t>)</w:t>
            </w:r>
            <w:r w:rsidRPr="00EA0DD2">
              <w:rPr>
                <w:lang w:eastAsia="en-AU"/>
              </w:rPr>
              <w:t>.</w:t>
            </w:r>
          </w:p>
        </w:tc>
      </w:tr>
      <w:tr w:rsidR="00802DDD" w:rsidRPr="001E7C5D" w14:paraId="02177641" w14:textId="77777777" w:rsidTr="00F55019">
        <w:trPr>
          <w:trHeight w:val="20"/>
        </w:trPr>
        <w:tc>
          <w:tcPr>
            <w:tcW w:w="1413" w:type="dxa"/>
            <w:vMerge/>
            <w:shd w:val="clear" w:color="auto" w:fill="auto"/>
            <w:noWrap/>
            <w:vAlign w:val="center"/>
          </w:tcPr>
          <w:p w14:paraId="0C6E31A2" w14:textId="77777777" w:rsidR="00802DDD" w:rsidRPr="001E7C5D" w:rsidRDefault="00802DDD" w:rsidP="00433D7D">
            <w:pPr>
              <w:pStyle w:val="Table-Left7"/>
              <w:rPr>
                <w:lang w:eastAsia="en-AU"/>
              </w:rPr>
            </w:pPr>
          </w:p>
        </w:tc>
        <w:tc>
          <w:tcPr>
            <w:tcW w:w="1417" w:type="dxa"/>
            <w:shd w:val="clear" w:color="auto" w:fill="auto"/>
            <w:vAlign w:val="center"/>
            <w:hideMark/>
          </w:tcPr>
          <w:p w14:paraId="7A72C3BA" w14:textId="77777777" w:rsidR="00802DDD" w:rsidRPr="001E7C5D" w:rsidRDefault="00802DDD" w:rsidP="00433D7D">
            <w:pPr>
              <w:pStyle w:val="Table-Left7"/>
              <w:rPr>
                <w:lang w:eastAsia="en-AU"/>
              </w:rPr>
            </w:pPr>
            <w:r w:rsidRPr="001E7C5D">
              <w:rPr>
                <w:lang w:eastAsia="en-AU"/>
              </w:rPr>
              <w:t>Laboratory Research</w:t>
            </w:r>
          </w:p>
        </w:tc>
        <w:tc>
          <w:tcPr>
            <w:tcW w:w="1560" w:type="dxa"/>
            <w:shd w:val="clear" w:color="auto" w:fill="auto"/>
            <w:vAlign w:val="center"/>
            <w:hideMark/>
          </w:tcPr>
          <w:p w14:paraId="1FCBB966" w14:textId="77777777" w:rsidR="00802DDD" w:rsidRPr="001E7C5D" w:rsidRDefault="00802DDD" w:rsidP="00433D7D">
            <w:pPr>
              <w:pStyle w:val="Table-Left7"/>
              <w:rPr>
                <w:lang w:eastAsia="en-AU"/>
              </w:rPr>
            </w:pPr>
            <w:r>
              <w:rPr>
                <w:lang w:eastAsia="en-AU"/>
              </w:rPr>
              <w:t>C</w:t>
            </w:r>
            <w:r w:rsidRPr="001E7C5D">
              <w:rPr>
                <w:lang w:eastAsia="en-AU"/>
              </w:rPr>
              <w:t>onducted in controlled environments, allowing precise experimental manipulation.</w:t>
            </w:r>
          </w:p>
        </w:tc>
        <w:tc>
          <w:tcPr>
            <w:tcW w:w="4626" w:type="dxa"/>
            <w:shd w:val="clear" w:color="auto" w:fill="auto"/>
            <w:vAlign w:val="center"/>
            <w:hideMark/>
          </w:tcPr>
          <w:p w14:paraId="65943739" w14:textId="0FA9F520" w:rsidR="00802DDD" w:rsidRPr="00EA0DD2" w:rsidRDefault="00802DDD" w:rsidP="00433D7D">
            <w:pPr>
              <w:pStyle w:val="Table-Left7"/>
              <w:rPr>
                <w:lang w:eastAsia="en-AU"/>
              </w:rPr>
            </w:pPr>
            <w:r w:rsidRPr="00EA0DD2">
              <w:rPr>
                <w:lang w:eastAsia="en-AU"/>
              </w:rPr>
              <w:t xml:space="preserve">Contributes significantly to healthcare, technology, and scientific understanding. Laboratory research in biomedical sciences or materials engineering leads to advancements in drug development and technological innovation </w:t>
            </w:r>
            <w:r w:rsidR="00D62859">
              <w:rPr>
                <w:noProof/>
                <w:lang w:eastAsia="en-AU"/>
              </w:rPr>
              <w:t>(</w:t>
            </w:r>
            <w:r w:rsidR="00D62859" w:rsidRPr="00D62859">
              <w:t>Van Norman &amp; Eisenkot, 2017</w:t>
            </w:r>
            <w:r w:rsidR="00D62859">
              <w:rPr>
                <w:noProof/>
                <w:lang w:eastAsia="en-AU"/>
              </w:rPr>
              <w:t>)</w:t>
            </w:r>
            <w:r w:rsidRPr="00EA0DD2">
              <w:rPr>
                <w:lang w:eastAsia="en-AU"/>
              </w:rPr>
              <w:t>.</w:t>
            </w:r>
          </w:p>
        </w:tc>
      </w:tr>
      <w:tr w:rsidR="00802DDD" w:rsidRPr="001E7C5D" w14:paraId="63CC66B3" w14:textId="77777777" w:rsidTr="00F55019">
        <w:trPr>
          <w:trHeight w:val="20"/>
        </w:trPr>
        <w:tc>
          <w:tcPr>
            <w:tcW w:w="1413" w:type="dxa"/>
            <w:vMerge/>
            <w:shd w:val="clear" w:color="auto" w:fill="auto"/>
            <w:noWrap/>
            <w:vAlign w:val="center"/>
          </w:tcPr>
          <w:p w14:paraId="59204858" w14:textId="77777777" w:rsidR="00802DDD" w:rsidRPr="001E7C5D" w:rsidRDefault="00802DDD" w:rsidP="00433D7D">
            <w:pPr>
              <w:pStyle w:val="Table-Left7"/>
              <w:rPr>
                <w:lang w:eastAsia="en-AU"/>
              </w:rPr>
            </w:pPr>
          </w:p>
        </w:tc>
        <w:tc>
          <w:tcPr>
            <w:tcW w:w="1417" w:type="dxa"/>
            <w:shd w:val="clear" w:color="auto" w:fill="auto"/>
            <w:vAlign w:val="center"/>
            <w:hideMark/>
          </w:tcPr>
          <w:p w14:paraId="468442AB" w14:textId="77777777" w:rsidR="00802DDD" w:rsidRPr="001E7C5D" w:rsidRDefault="00802DDD" w:rsidP="00433D7D">
            <w:pPr>
              <w:pStyle w:val="Table-Left7"/>
              <w:rPr>
                <w:lang w:eastAsia="en-AU"/>
              </w:rPr>
            </w:pPr>
            <w:r w:rsidRPr="001E7C5D">
              <w:rPr>
                <w:lang w:eastAsia="en-AU"/>
              </w:rPr>
              <w:t>Simulation Research</w:t>
            </w:r>
          </w:p>
        </w:tc>
        <w:tc>
          <w:tcPr>
            <w:tcW w:w="1560" w:type="dxa"/>
            <w:shd w:val="clear" w:color="auto" w:fill="auto"/>
            <w:vAlign w:val="center"/>
            <w:hideMark/>
          </w:tcPr>
          <w:p w14:paraId="5AFE7DC6" w14:textId="77777777" w:rsidR="00802DDD" w:rsidRPr="001E7C5D" w:rsidRDefault="00802DDD" w:rsidP="00433D7D">
            <w:pPr>
              <w:pStyle w:val="Table-Left7"/>
              <w:rPr>
                <w:lang w:eastAsia="en-AU"/>
              </w:rPr>
            </w:pPr>
            <w:r w:rsidRPr="001E7C5D">
              <w:rPr>
                <w:lang w:eastAsia="en-AU"/>
              </w:rPr>
              <w:t>Uses artificial models to mimic real-world systems, predicting and analy</w:t>
            </w:r>
            <w:r>
              <w:rPr>
                <w:lang w:eastAsia="en-AU"/>
              </w:rPr>
              <w:t>s</w:t>
            </w:r>
            <w:r w:rsidRPr="001E7C5D">
              <w:rPr>
                <w:lang w:eastAsia="en-AU"/>
              </w:rPr>
              <w:t>ing outcomes.</w:t>
            </w:r>
          </w:p>
        </w:tc>
        <w:tc>
          <w:tcPr>
            <w:tcW w:w="4626" w:type="dxa"/>
            <w:shd w:val="clear" w:color="auto" w:fill="auto"/>
            <w:vAlign w:val="center"/>
            <w:hideMark/>
          </w:tcPr>
          <w:p w14:paraId="702C0518" w14:textId="35802F6C" w:rsidR="00802DDD" w:rsidRPr="00EA0DD2" w:rsidRDefault="00802DDD" w:rsidP="00433D7D">
            <w:pPr>
              <w:pStyle w:val="Table-Left7"/>
              <w:rPr>
                <w:lang w:eastAsia="en-AU"/>
              </w:rPr>
            </w:pPr>
            <w:r w:rsidRPr="00EA0DD2">
              <w:rPr>
                <w:lang w:eastAsia="en-AU"/>
              </w:rPr>
              <w:t xml:space="preserve">Provides a predictive framework for decision-making in policy, engineering, and environmental sciences </w:t>
            </w:r>
            <w:r w:rsidR="00D62859">
              <w:rPr>
                <w:noProof/>
                <w:lang w:eastAsia="en-AU"/>
              </w:rPr>
              <w:t>(</w:t>
            </w:r>
            <w:r w:rsidR="00D62859" w:rsidRPr="00D62859">
              <w:t>Molas-Gallart et al., 2002</w:t>
            </w:r>
            <w:r w:rsidR="00D62859">
              <w:rPr>
                <w:noProof/>
                <w:lang w:eastAsia="en-AU"/>
              </w:rPr>
              <w:t xml:space="preserve">; </w:t>
            </w:r>
            <w:r w:rsidR="00D62859" w:rsidRPr="00D62859">
              <w:t>Ochi et al., 2022</w:t>
            </w:r>
            <w:r w:rsidR="00D62859">
              <w:rPr>
                <w:noProof/>
                <w:lang w:eastAsia="en-AU"/>
              </w:rPr>
              <w:t>)</w:t>
            </w:r>
            <w:r w:rsidRPr="00EA0DD2">
              <w:rPr>
                <w:lang w:eastAsia="en-AU"/>
              </w:rPr>
              <w:t xml:space="preserve">. Simulation models are crucial for forecasting scenarios like climate change impacts or market trends, leading to pre-emptive actions and enhanced societal preparedness </w:t>
            </w:r>
            <w:r w:rsidR="00D62859">
              <w:rPr>
                <w:noProof/>
                <w:lang w:eastAsia="en-AU"/>
              </w:rPr>
              <w:t>(</w:t>
            </w:r>
            <w:proofErr w:type="spellStart"/>
            <w:r w:rsidR="00D62859" w:rsidRPr="00D62859">
              <w:t>Benneworth</w:t>
            </w:r>
            <w:proofErr w:type="spellEnd"/>
            <w:r w:rsidR="00D62859" w:rsidRPr="00D62859">
              <w:t xml:space="preserve"> &amp; Cunha, 2015</w:t>
            </w:r>
            <w:r w:rsidR="00D62859">
              <w:rPr>
                <w:noProof/>
                <w:lang w:eastAsia="en-AU"/>
              </w:rPr>
              <w:t>)</w:t>
            </w:r>
            <w:r w:rsidRPr="00EA0DD2">
              <w:rPr>
                <w:lang w:eastAsia="en-AU"/>
              </w:rPr>
              <w:t>.</w:t>
            </w:r>
          </w:p>
        </w:tc>
      </w:tr>
      <w:tr w:rsidR="00802DDD" w:rsidRPr="001E7C5D" w14:paraId="209E1784" w14:textId="77777777" w:rsidTr="00F55019">
        <w:trPr>
          <w:trHeight w:val="20"/>
        </w:trPr>
        <w:tc>
          <w:tcPr>
            <w:tcW w:w="1413" w:type="dxa"/>
            <w:vMerge w:val="restart"/>
            <w:shd w:val="clear" w:color="auto" w:fill="auto"/>
            <w:noWrap/>
            <w:vAlign w:val="center"/>
            <w:hideMark/>
          </w:tcPr>
          <w:p w14:paraId="338CB9F8" w14:textId="77777777" w:rsidR="00802DDD" w:rsidRPr="001E7C5D" w:rsidRDefault="00802DDD" w:rsidP="00433D7D">
            <w:pPr>
              <w:pStyle w:val="Table-Left7"/>
              <w:rPr>
                <w:lang w:eastAsia="en-AU"/>
              </w:rPr>
            </w:pPr>
            <w:r w:rsidRPr="001E7C5D">
              <w:rPr>
                <w:lang w:eastAsia="en-AU"/>
              </w:rPr>
              <w:t>Outcome Perspective</w:t>
            </w:r>
          </w:p>
        </w:tc>
        <w:tc>
          <w:tcPr>
            <w:tcW w:w="1417" w:type="dxa"/>
            <w:shd w:val="clear" w:color="auto" w:fill="auto"/>
            <w:vAlign w:val="center"/>
            <w:hideMark/>
          </w:tcPr>
          <w:p w14:paraId="38C729DF" w14:textId="77777777" w:rsidR="00802DDD" w:rsidRPr="001E7C5D" w:rsidRDefault="00802DDD" w:rsidP="00433D7D">
            <w:pPr>
              <w:pStyle w:val="Table-Left7"/>
              <w:rPr>
                <w:lang w:eastAsia="en-AU"/>
              </w:rPr>
            </w:pPr>
            <w:r w:rsidRPr="001E7C5D">
              <w:rPr>
                <w:lang w:eastAsia="en-AU"/>
              </w:rPr>
              <w:t>Exploratory Research</w:t>
            </w:r>
          </w:p>
        </w:tc>
        <w:tc>
          <w:tcPr>
            <w:tcW w:w="1560" w:type="dxa"/>
            <w:shd w:val="clear" w:color="auto" w:fill="auto"/>
            <w:vAlign w:val="center"/>
            <w:hideMark/>
          </w:tcPr>
          <w:p w14:paraId="4B9E347D" w14:textId="77777777" w:rsidR="00802DDD" w:rsidRPr="001E7C5D" w:rsidRDefault="00802DDD" w:rsidP="00433D7D">
            <w:pPr>
              <w:pStyle w:val="Table-Left7"/>
              <w:rPr>
                <w:lang w:eastAsia="en-AU"/>
              </w:rPr>
            </w:pPr>
            <w:r w:rsidRPr="001E7C5D">
              <w:rPr>
                <w:lang w:eastAsia="en-AU"/>
              </w:rPr>
              <w:t>Conducted when there is limited knowledge about a phenomenon, aiming to generate hypotheses.</w:t>
            </w:r>
          </w:p>
        </w:tc>
        <w:tc>
          <w:tcPr>
            <w:tcW w:w="4626" w:type="dxa"/>
            <w:shd w:val="clear" w:color="auto" w:fill="auto"/>
            <w:vAlign w:val="center"/>
            <w:hideMark/>
          </w:tcPr>
          <w:p w14:paraId="0F508F82" w14:textId="7D04A618" w:rsidR="00802DDD" w:rsidRPr="00EA0DD2" w:rsidRDefault="00802DDD" w:rsidP="00433D7D">
            <w:pPr>
              <w:pStyle w:val="Table-Left7"/>
              <w:rPr>
                <w:lang w:eastAsia="en-AU"/>
              </w:rPr>
            </w:pPr>
            <w:r w:rsidRPr="00EA0DD2">
              <w:rPr>
                <w:lang w:eastAsia="en-AU"/>
              </w:rPr>
              <w:t xml:space="preserve">Identifies gaps and generates innovative ideas, sparking deeper inquiry and often leading to breakthroughs in science, policy, or societal interventions </w:t>
            </w:r>
            <w:r w:rsidR="00D62859">
              <w:rPr>
                <w:noProof/>
                <w:lang w:eastAsia="en-AU"/>
              </w:rPr>
              <w:t>(</w:t>
            </w:r>
            <w:r w:rsidR="00D62859" w:rsidRPr="00D62859">
              <w:t>Fricker, 2007</w:t>
            </w:r>
            <w:r w:rsidR="00D62859">
              <w:rPr>
                <w:noProof/>
                <w:lang w:eastAsia="en-AU"/>
              </w:rPr>
              <w:t>)</w:t>
            </w:r>
            <w:r w:rsidRPr="00EA0DD2">
              <w:rPr>
                <w:lang w:eastAsia="en-AU"/>
              </w:rPr>
              <w:t xml:space="preserve">. Exploratory research is essential in fields like disease discovery or emerging technologies, where initial insights shape future studies </w:t>
            </w:r>
            <w:r w:rsidR="00D62859">
              <w:rPr>
                <w:noProof/>
                <w:lang w:eastAsia="en-AU"/>
              </w:rPr>
              <w:t>(</w:t>
            </w:r>
            <w:r w:rsidR="00D62859" w:rsidRPr="00D62859">
              <w:t>Muhonen et al., 2020</w:t>
            </w:r>
            <w:r w:rsidR="00D62859">
              <w:rPr>
                <w:noProof/>
                <w:lang w:eastAsia="en-AU"/>
              </w:rPr>
              <w:t>)</w:t>
            </w:r>
            <w:r w:rsidRPr="00EA0DD2">
              <w:rPr>
                <w:lang w:eastAsia="en-AU"/>
              </w:rPr>
              <w:t>.</w:t>
            </w:r>
          </w:p>
        </w:tc>
      </w:tr>
      <w:tr w:rsidR="00802DDD" w:rsidRPr="001E7C5D" w14:paraId="44CC3743" w14:textId="77777777" w:rsidTr="00F55019">
        <w:trPr>
          <w:trHeight w:val="20"/>
        </w:trPr>
        <w:tc>
          <w:tcPr>
            <w:tcW w:w="1413" w:type="dxa"/>
            <w:vMerge/>
            <w:shd w:val="clear" w:color="auto" w:fill="auto"/>
            <w:noWrap/>
            <w:vAlign w:val="center"/>
          </w:tcPr>
          <w:p w14:paraId="6BF8D9A6" w14:textId="77777777" w:rsidR="00802DDD" w:rsidRPr="001E7C5D" w:rsidRDefault="00802DDD" w:rsidP="00433D7D">
            <w:pPr>
              <w:pStyle w:val="Table-Left7"/>
              <w:rPr>
                <w:lang w:eastAsia="en-AU"/>
              </w:rPr>
            </w:pPr>
          </w:p>
        </w:tc>
        <w:tc>
          <w:tcPr>
            <w:tcW w:w="1417" w:type="dxa"/>
            <w:shd w:val="clear" w:color="auto" w:fill="auto"/>
            <w:vAlign w:val="center"/>
            <w:hideMark/>
          </w:tcPr>
          <w:p w14:paraId="44C2A612" w14:textId="77777777" w:rsidR="00802DDD" w:rsidRPr="001E7C5D" w:rsidRDefault="00802DDD" w:rsidP="00433D7D">
            <w:pPr>
              <w:pStyle w:val="Table-Left7"/>
              <w:rPr>
                <w:lang w:eastAsia="en-AU"/>
              </w:rPr>
            </w:pPr>
            <w:r w:rsidRPr="001E7C5D">
              <w:rPr>
                <w:lang w:eastAsia="en-AU"/>
              </w:rPr>
              <w:t>Descriptive Research</w:t>
            </w:r>
          </w:p>
        </w:tc>
        <w:tc>
          <w:tcPr>
            <w:tcW w:w="1560" w:type="dxa"/>
            <w:shd w:val="clear" w:color="auto" w:fill="auto"/>
            <w:vAlign w:val="center"/>
            <w:hideMark/>
          </w:tcPr>
          <w:p w14:paraId="7A69E89C" w14:textId="77777777" w:rsidR="00802DDD" w:rsidRPr="001E7C5D" w:rsidRDefault="00802DDD" w:rsidP="00433D7D">
            <w:pPr>
              <w:pStyle w:val="Table-Left7"/>
              <w:rPr>
                <w:lang w:eastAsia="en-AU"/>
              </w:rPr>
            </w:pPr>
            <w:r w:rsidRPr="001E7C5D">
              <w:rPr>
                <w:lang w:eastAsia="en-AU"/>
              </w:rPr>
              <w:t>Systematically describes characteristics or functions of a phenomenon.</w:t>
            </w:r>
          </w:p>
        </w:tc>
        <w:tc>
          <w:tcPr>
            <w:tcW w:w="4626" w:type="dxa"/>
            <w:shd w:val="clear" w:color="auto" w:fill="auto"/>
            <w:vAlign w:val="center"/>
            <w:hideMark/>
          </w:tcPr>
          <w:p w14:paraId="4C0DB456" w14:textId="51507BC2" w:rsidR="00802DDD" w:rsidRPr="00EA0DD2" w:rsidRDefault="00802DDD" w:rsidP="00433D7D">
            <w:pPr>
              <w:pStyle w:val="Table-Left7"/>
              <w:rPr>
                <w:lang w:eastAsia="en-AU"/>
              </w:rPr>
            </w:pPr>
            <w:r w:rsidRPr="00EA0DD2">
              <w:rPr>
                <w:lang w:eastAsia="en-AU"/>
              </w:rPr>
              <w:t xml:space="preserve">Informs public policies or societal practices by documenting existing phenomena. For example, descriptive research on population health or environmental conditions is a foundation for policy frameworks and resource allocation </w:t>
            </w:r>
            <w:r w:rsidR="00D62859">
              <w:rPr>
                <w:noProof/>
                <w:lang w:eastAsia="en-AU"/>
              </w:rPr>
              <w:t>(</w:t>
            </w:r>
            <w:r w:rsidR="00D62859" w:rsidRPr="00D62859">
              <w:t xml:space="preserve">Rowe &amp; </w:t>
            </w:r>
            <w:proofErr w:type="spellStart"/>
            <w:r w:rsidR="00D62859" w:rsidRPr="00D62859">
              <w:t>Frewer</w:t>
            </w:r>
            <w:proofErr w:type="spellEnd"/>
            <w:r w:rsidR="00D62859" w:rsidRPr="00D62859">
              <w:t>, 2005</w:t>
            </w:r>
            <w:r w:rsidR="00D62859">
              <w:rPr>
                <w:noProof/>
                <w:lang w:eastAsia="en-AU"/>
              </w:rPr>
              <w:t>)</w:t>
            </w:r>
            <w:r w:rsidRPr="00EA0DD2">
              <w:rPr>
                <w:lang w:eastAsia="en-AU"/>
              </w:rPr>
              <w:t>.</w:t>
            </w:r>
          </w:p>
        </w:tc>
      </w:tr>
      <w:tr w:rsidR="00802DDD" w:rsidRPr="001E7C5D" w14:paraId="7E255DC0" w14:textId="77777777" w:rsidTr="00F55019">
        <w:trPr>
          <w:trHeight w:val="20"/>
        </w:trPr>
        <w:tc>
          <w:tcPr>
            <w:tcW w:w="1413" w:type="dxa"/>
            <w:vMerge/>
            <w:shd w:val="clear" w:color="auto" w:fill="auto"/>
            <w:noWrap/>
            <w:vAlign w:val="center"/>
          </w:tcPr>
          <w:p w14:paraId="6970CE05" w14:textId="77777777" w:rsidR="00802DDD" w:rsidRPr="001E7C5D" w:rsidRDefault="00802DDD" w:rsidP="00433D7D">
            <w:pPr>
              <w:pStyle w:val="Table-Left7"/>
              <w:rPr>
                <w:lang w:eastAsia="en-AU"/>
              </w:rPr>
            </w:pPr>
          </w:p>
        </w:tc>
        <w:tc>
          <w:tcPr>
            <w:tcW w:w="1417" w:type="dxa"/>
            <w:shd w:val="clear" w:color="auto" w:fill="auto"/>
            <w:vAlign w:val="center"/>
            <w:hideMark/>
          </w:tcPr>
          <w:p w14:paraId="279C7700" w14:textId="77777777" w:rsidR="00802DDD" w:rsidRPr="001E7C5D" w:rsidRDefault="00802DDD" w:rsidP="00433D7D">
            <w:pPr>
              <w:pStyle w:val="Table-Left7"/>
              <w:rPr>
                <w:lang w:eastAsia="en-AU"/>
              </w:rPr>
            </w:pPr>
            <w:r w:rsidRPr="001E7C5D">
              <w:rPr>
                <w:lang w:eastAsia="en-AU"/>
              </w:rPr>
              <w:t>Explanatory Research</w:t>
            </w:r>
          </w:p>
        </w:tc>
        <w:tc>
          <w:tcPr>
            <w:tcW w:w="1560" w:type="dxa"/>
            <w:shd w:val="clear" w:color="auto" w:fill="auto"/>
            <w:vAlign w:val="center"/>
            <w:hideMark/>
          </w:tcPr>
          <w:p w14:paraId="388E0508" w14:textId="77777777" w:rsidR="00802DDD" w:rsidRPr="001E7C5D" w:rsidRDefault="00802DDD" w:rsidP="00433D7D">
            <w:pPr>
              <w:pStyle w:val="Table-Left7"/>
              <w:rPr>
                <w:lang w:eastAsia="en-AU"/>
              </w:rPr>
            </w:pPr>
            <w:r w:rsidRPr="001E7C5D">
              <w:rPr>
                <w:lang w:eastAsia="en-AU"/>
              </w:rPr>
              <w:t>Seeks to understand the reasons or causes behind observed phenomena.</w:t>
            </w:r>
          </w:p>
        </w:tc>
        <w:tc>
          <w:tcPr>
            <w:tcW w:w="4626" w:type="dxa"/>
            <w:shd w:val="clear" w:color="auto" w:fill="auto"/>
            <w:vAlign w:val="center"/>
            <w:hideMark/>
          </w:tcPr>
          <w:p w14:paraId="3B63C911" w14:textId="133BC8E3" w:rsidR="00802DDD" w:rsidRPr="00EA0DD2" w:rsidRDefault="00802DDD" w:rsidP="00433D7D">
            <w:pPr>
              <w:pStyle w:val="Table-Left7"/>
              <w:rPr>
                <w:lang w:eastAsia="en-AU"/>
              </w:rPr>
            </w:pPr>
            <w:r w:rsidRPr="00EA0DD2">
              <w:rPr>
                <w:lang w:eastAsia="en-AU"/>
              </w:rPr>
              <w:t xml:space="preserve">Provides deep insights into mechanisms behind societal issues, leading to policy interventions or technological advances. Understanding educational inequality, for instance, informs teaching reforms while explaining climate change drivers leads to effective environmental policies </w:t>
            </w:r>
            <w:r w:rsidR="00D62859">
              <w:rPr>
                <w:noProof/>
                <w:lang w:eastAsia="en-AU"/>
              </w:rPr>
              <w:t>(</w:t>
            </w:r>
            <w:r w:rsidR="00D62859" w:rsidRPr="00D62859">
              <w:t>Weiss, 1980</w:t>
            </w:r>
            <w:r w:rsidR="00D62859">
              <w:rPr>
                <w:noProof/>
                <w:lang w:eastAsia="en-AU"/>
              </w:rPr>
              <w:t>)</w:t>
            </w:r>
            <w:r w:rsidRPr="00EA0DD2">
              <w:rPr>
                <w:lang w:eastAsia="en-AU"/>
              </w:rPr>
              <w:t>.</w:t>
            </w:r>
          </w:p>
        </w:tc>
      </w:tr>
      <w:tr w:rsidR="00802DDD" w:rsidRPr="001E7C5D" w14:paraId="442D6F5C" w14:textId="77777777" w:rsidTr="00F55019">
        <w:trPr>
          <w:trHeight w:val="20"/>
        </w:trPr>
        <w:tc>
          <w:tcPr>
            <w:tcW w:w="1413" w:type="dxa"/>
            <w:vMerge/>
            <w:shd w:val="clear" w:color="auto" w:fill="auto"/>
            <w:noWrap/>
            <w:vAlign w:val="center"/>
            <w:hideMark/>
          </w:tcPr>
          <w:p w14:paraId="7A8A8103" w14:textId="77777777" w:rsidR="00802DDD" w:rsidRPr="001E7C5D" w:rsidRDefault="00802DDD" w:rsidP="00433D7D">
            <w:pPr>
              <w:pStyle w:val="Table-Left7"/>
              <w:rPr>
                <w:lang w:eastAsia="en-AU"/>
              </w:rPr>
            </w:pPr>
          </w:p>
        </w:tc>
        <w:tc>
          <w:tcPr>
            <w:tcW w:w="1417" w:type="dxa"/>
            <w:shd w:val="clear" w:color="auto" w:fill="auto"/>
            <w:vAlign w:val="center"/>
            <w:hideMark/>
          </w:tcPr>
          <w:p w14:paraId="2E845072" w14:textId="77777777" w:rsidR="00802DDD" w:rsidRPr="001E7C5D" w:rsidRDefault="00802DDD" w:rsidP="00433D7D">
            <w:pPr>
              <w:pStyle w:val="Table-Left7"/>
              <w:rPr>
                <w:lang w:eastAsia="en-AU"/>
              </w:rPr>
            </w:pPr>
            <w:r w:rsidRPr="001E7C5D">
              <w:rPr>
                <w:lang w:eastAsia="en-AU"/>
              </w:rPr>
              <w:t>Predictive Research</w:t>
            </w:r>
          </w:p>
        </w:tc>
        <w:tc>
          <w:tcPr>
            <w:tcW w:w="1560" w:type="dxa"/>
            <w:shd w:val="clear" w:color="auto" w:fill="auto"/>
            <w:vAlign w:val="center"/>
            <w:hideMark/>
          </w:tcPr>
          <w:p w14:paraId="250EDEBC" w14:textId="77777777" w:rsidR="00802DDD" w:rsidRPr="001E7C5D" w:rsidRDefault="00802DDD" w:rsidP="00433D7D">
            <w:pPr>
              <w:pStyle w:val="Table-Left7"/>
              <w:rPr>
                <w:lang w:eastAsia="en-AU"/>
              </w:rPr>
            </w:pPr>
            <w:r w:rsidRPr="001E7C5D">
              <w:rPr>
                <w:lang w:eastAsia="en-AU"/>
              </w:rPr>
              <w:t>Forecasts future events or outcomes based on existing data.</w:t>
            </w:r>
          </w:p>
        </w:tc>
        <w:tc>
          <w:tcPr>
            <w:tcW w:w="4626" w:type="dxa"/>
            <w:shd w:val="clear" w:color="auto" w:fill="auto"/>
            <w:vAlign w:val="center"/>
            <w:hideMark/>
          </w:tcPr>
          <w:p w14:paraId="4683AA6A" w14:textId="65FFC9B3" w:rsidR="00802DDD" w:rsidRPr="00EA0DD2" w:rsidRDefault="00802DDD" w:rsidP="00433D7D">
            <w:pPr>
              <w:pStyle w:val="Table-Left7"/>
              <w:rPr>
                <w:lang w:eastAsia="en-AU"/>
              </w:rPr>
            </w:pPr>
            <w:r w:rsidRPr="00EA0DD2">
              <w:rPr>
                <w:lang w:eastAsia="en-AU"/>
              </w:rPr>
              <w:t xml:space="preserve">Shapes long-term policies by anticipating societal or environmental trends. Predictive research plays a significant role in sectors like economics (e.g., forecasting market trends), healthcare (e.g., predicting disease outbreaks), and environmental science (e.g., climate change models). Predictive research informs strategic decision-making processes by identifying future risks and opportunities, enabling governments, industries, and organisations to prepare for upcoming challenges </w:t>
            </w:r>
            <w:r w:rsidR="00D62859">
              <w:rPr>
                <w:noProof/>
                <w:lang w:eastAsia="en-AU"/>
              </w:rPr>
              <w:t>(</w:t>
            </w:r>
            <w:r w:rsidR="00D62859" w:rsidRPr="00D62859">
              <w:t>Lee, 2019</w:t>
            </w:r>
            <w:r w:rsidR="00D62859">
              <w:rPr>
                <w:noProof/>
                <w:lang w:eastAsia="en-AU"/>
              </w:rPr>
              <w:t xml:space="preserve">; </w:t>
            </w:r>
            <w:r w:rsidR="00D62859" w:rsidRPr="00D62859">
              <w:t>Ochi et al., 2022</w:t>
            </w:r>
            <w:r w:rsidR="00D62859">
              <w:rPr>
                <w:noProof/>
                <w:lang w:eastAsia="en-AU"/>
              </w:rPr>
              <w:t xml:space="preserve">; </w:t>
            </w:r>
            <w:r w:rsidR="00D62859" w:rsidRPr="00D62859">
              <w:t>Simonton, 1997</w:t>
            </w:r>
            <w:r w:rsidR="00D62859">
              <w:rPr>
                <w:noProof/>
                <w:lang w:eastAsia="en-AU"/>
              </w:rPr>
              <w:t>)</w:t>
            </w:r>
            <w:r w:rsidRPr="00EA0DD2">
              <w:rPr>
                <w:lang w:eastAsia="en-AU"/>
              </w:rPr>
              <w:t>.</w:t>
            </w:r>
          </w:p>
        </w:tc>
      </w:tr>
      <w:tr w:rsidR="00802DDD" w:rsidRPr="001E7C5D" w14:paraId="4DDD042F" w14:textId="77777777" w:rsidTr="00F55019">
        <w:trPr>
          <w:trHeight w:val="20"/>
        </w:trPr>
        <w:tc>
          <w:tcPr>
            <w:tcW w:w="1413" w:type="dxa"/>
            <w:vMerge w:val="restart"/>
            <w:shd w:val="clear" w:color="auto" w:fill="auto"/>
            <w:noWrap/>
            <w:vAlign w:val="center"/>
            <w:hideMark/>
          </w:tcPr>
          <w:p w14:paraId="1E1607DF" w14:textId="77777777" w:rsidR="00802DDD" w:rsidRPr="001E7C5D" w:rsidRDefault="00802DDD" w:rsidP="00433D7D">
            <w:pPr>
              <w:pStyle w:val="Table-Left7"/>
              <w:rPr>
                <w:lang w:eastAsia="en-AU"/>
              </w:rPr>
            </w:pPr>
            <w:r w:rsidRPr="001E7C5D">
              <w:rPr>
                <w:lang w:eastAsia="en-AU"/>
              </w:rPr>
              <w:t>Reasoning Process</w:t>
            </w:r>
          </w:p>
        </w:tc>
        <w:tc>
          <w:tcPr>
            <w:tcW w:w="1417" w:type="dxa"/>
            <w:shd w:val="clear" w:color="auto" w:fill="auto"/>
            <w:vAlign w:val="center"/>
            <w:hideMark/>
          </w:tcPr>
          <w:p w14:paraId="4E38BB9F" w14:textId="77777777" w:rsidR="00802DDD" w:rsidRPr="001E7C5D" w:rsidRDefault="00802DDD" w:rsidP="00433D7D">
            <w:pPr>
              <w:pStyle w:val="Table-Left7"/>
              <w:rPr>
                <w:lang w:eastAsia="en-AU"/>
              </w:rPr>
            </w:pPr>
            <w:r w:rsidRPr="001E7C5D">
              <w:rPr>
                <w:lang w:eastAsia="en-AU"/>
              </w:rPr>
              <w:t>Deductive Research</w:t>
            </w:r>
          </w:p>
        </w:tc>
        <w:tc>
          <w:tcPr>
            <w:tcW w:w="1560" w:type="dxa"/>
            <w:shd w:val="clear" w:color="auto" w:fill="auto"/>
            <w:vAlign w:val="center"/>
            <w:hideMark/>
          </w:tcPr>
          <w:p w14:paraId="718292C8" w14:textId="77777777" w:rsidR="00802DDD" w:rsidRPr="001E7C5D" w:rsidRDefault="00802DDD" w:rsidP="00433D7D">
            <w:pPr>
              <w:pStyle w:val="Table-Left7"/>
              <w:rPr>
                <w:lang w:eastAsia="en-AU"/>
              </w:rPr>
            </w:pPr>
            <w:r w:rsidRPr="001E7C5D">
              <w:rPr>
                <w:lang w:eastAsia="en-AU"/>
              </w:rPr>
              <w:t>Starts with a theory or hypothesis and tests it with empirical data.</w:t>
            </w:r>
          </w:p>
        </w:tc>
        <w:tc>
          <w:tcPr>
            <w:tcW w:w="4626" w:type="dxa"/>
            <w:shd w:val="clear" w:color="auto" w:fill="auto"/>
            <w:vAlign w:val="center"/>
            <w:hideMark/>
          </w:tcPr>
          <w:p w14:paraId="3946028F" w14:textId="2E3413C8" w:rsidR="00802DDD" w:rsidRPr="00EA0DD2" w:rsidRDefault="00802DDD" w:rsidP="00433D7D">
            <w:pPr>
              <w:pStyle w:val="Table-Left7"/>
              <w:rPr>
                <w:lang w:eastAsia="en-AU"/>
              </w:rPr>
            </w:pPr>
            <w:r w:rsidRPr="00EA0DD2">
              <w:rPr>
                <w:lang w:eastAsia="en-AU"/>
              </w:rPr>
              <w:t xml:space="preserve">Confirms, refines, or challenges existing theories, leading to </w:t>
            </w:r>
            <w:r>
              <w:rPr>
                <w:lang w:eastAsia="en-AU"/>
              </w:rPr>
              <w:t xml:space="preserve">advancements in </w:t>
            </w:r>
            <w:r w:rsidRPr="00EA0DD2">
              <w:rPr>
                <w:lang w:eastAsia="en-AU"/>
              </w:rPr>
              <w:t>polic</w:t>
            </w:r>
            <w:r>
              <w:rPr>
                <w:lang w:eastAsia="en-AU"/>
              </w:rPr>
              <w:t>y</w:t>
            </w:r>
            <w:r w:rsidRPr="00EA0DD2">
              <w:rPr>
                <w:lang w:eastAsia="en-AU"/>
              </w:rPr>
              <w:t>, technolog</w:t>
            </w:r>
            <w:r>
              <w:rPr>
                <w:lang w:eastAsia="en-AU"/>
              </w:rPr>
              <w:t>y</w:t>
            </w:r>
            <w:r w:rsidRPr="00EA0DD2">
              <w:rPr>
                <w:lang w:eastAsia="en-AU"/>
              </w:rPr>
              <w:t xml:space="preserve">, or social framework. Deductive research forms the basis of experimental studies where hypotheses are rigorously evaluated (e.g., clinical trials in healthcare or policy assessments). This process directly influences public health, economics, and engineering decision-making by providing evidence-based validation of established theories </w:t>
            </w:r>
            <w:r w:rsidR="00D62859">
              <w:rPr>
                <w:noProof/>
                <w:lang w:eastAsia="en-AU"/>
              </w:rPr>
              <w:t>(</w:t>
            </w:r>
            <w:r w:rsidR="00D62859" w:rsidRPr="00D62859">
              <w:t xml:space="preserve">Rowe &amp; </w:t>
            </w:r>
            <w:proofErr w:type="spellStart"/>
            <w:r w:rsidR="00D62859" w:rsidRPr="00D62859">
              <w:t>Frewer</w:t>
            </w:r>
            <w:proofErr w:type="spellEnd"/>
            <w:r w:rsidR="00D62859" w:rsidRPr="00D62859">
              <w:t>, 2005</w:t>
            </w:r>
            <w:r w:rsidR="00D62859">
              <w:rPr>
                <w:noProof/>
                <w:lang w:eastAsia="en-AU"/>
              </w:rPr>
              <w:t xml:space="preserve">; </w:t>
            </w:r>
            <w:proofErr w:type="spellStart"/>
            <w:r w:rsidR="00D62859" w:rsidRPr="00D62859">
              <w:t>Spaapen</w:t>
            </w:r>
            <w:proofErr w:type="spellEnd"/>
            <w:r w:rsidR="00D62859" w:rsidRPr="00D62859">
              <w:t xml:space="preserve"> &amp; Van </w:t>
            </w:r>
            <w:proofErr w:type="spellStart"/>
            <w:r w:rsidR="00D62859" w:rsidRPr="00D62859">
              <w:t>Drooge</w:t>
            </w:r>
            <w:proofErr w:type="spellEnd"/>
            <w:r w:rsidR="00D62859" w:rsidRPr="00D62859">
              <w:t>, 2011</w:t>
            </w:r>
            <w:r w:rsidR="00D62859">
              <w:rPr>
                <w:noProof/>
                <w:lang w:eastAsia="en-AU"/>
              </w:rPr>
              <w:t>)</w:t>
            </w:r>
            <w:r w:rsidRPr="00EA0DD2">
              <w:rPr>
                <w:lang w:eastAsia="en-AU"/>
              </w:rPr>
              <w:t>.</w:t>
            </w:r>
          </w:p>
        </w:tc>
      </w:tr>
      <w:tr w:rsidR="00802DDD" w:rsidRPr="001E7C5D" w14:paraId="4E5B5205" w14:textId="77777777" w:rsidTr="00F55019">
        <w:trPr>
          <w:trHeight w:val="20"/>
        </w:trPr>
        <w:tc>
          <w:tcPr>
            <w:tcW w:w="1413" w:type="dxa"/>
            <w:vMerge/>
            <w:shd w:val="clear" w:color="auto" w:fill="auto"/>
            <w:noWrap/>
            <w:vAlign w:val="center"/>
            <w:hideMark/>
          </w:tcPr>
          <w:p w14:paraId="32F66FEB" w14:textId="77777777" w:rsidR="00802DDD" w:rsidRPr="001E7C5D" w:rsidRDefault="00802DDD" w:rsidP="00433D7D">
            <w:pPr>
              <w:pStyle w:val="Table-Left7"/>
              <w:rPr>
                <w:lang w:eastAsia="en-AU"/>
              </w:rPr>
            </w:pPr>
          </w:p>
        </w:tc>
        <w:tc>
          <w:tcPr>
            <w:tcW w:w="1417" w:type="dxa"/>
            <w:shd w:val="clear" w:color="auto" w:fill="auto"/>
            <w:vAlign w:val="center"/>
            <w:hideMark/>
          </w:tcPr>
          <w:p w14:paraId="333052FA" w14:textId="77777777" w:rsidR="00802DDD" w:rsidRPr="001E7C5D" w:rsidRDefault="00802DDD" w:rsidP="00433D7D">
            <w:pPr>
              <w:pStyle w:val="Table-Left7"/>
              <w:rPr>
                <w:lang w:eastAsia="en-AU"/>
              </w:rPr>
            </w:pPr>
            <w:r w:rsidRPr="001E7C5D">
              <w:rPr>
                <w:lang w:eastAsia="en-AU"/>
              </w:rPr>
              <w:t>Inductive Research</w:t>
            </w:r>
          </w:p>
        </w:tc>
        <w:tc>
          <w:tcPr>
            <w:tcW w:w="1560" w:type="dxa"/>
            <w:shd w:val="clear" w:color="auto" w:fill="auto"/>
            <w:vAlign w:val="center"/>
            <w:hideMark/>
          </w:tcPr>
          <w:p w14:paraId="5FEC1B08" w14:textId="77777777" w:rsidR="00802DDD" w:rsidRPr="001E7C5D" w:rsidRDefault="00802DDD" w:rsidP="00433D7D">
            <w:pPr>
              <w:pStyle w:val="Table-Left7"/>
              <w:rPr>
                <w:lang w:eastAsia="en-AU"/>
              </w:rPr>
            </w:pPr>
            <w:r w:rsidRPr="001E7C5D">
              <w:rPr>
                <w:lang w:eastAsia="en-AU"/>
              </w:rPr>
              <w:t>Begins with specific observations to develop broader generali</w:t>
            </w:r>
            <w:r>
              <w:rPr>
                <w:lang w:eastAsia="en-AU"/>
              </w:rPr>
              <w:t>s</w:t>
            </w:r>
            <w:r w:rsidRPr="001E7C5D">
              <w:rPr>
                <w:lang w:eastAsia="en-AU"/>
              </w:rPr>
              <w:t>ations or theories.</w:t>
            </w:r>
          </w:p>
        </w:tc>
        <w:tc>
          <w:tcPr>
            <w:tcW w:w="4626" w:type="dxa"/>
            <w:shd w:val="clear" w:color="auto" w:fill="auto"/>
            <w:vAlign w:val="center"/>
            <w:hideMark/>
          </w:tcPr>
          <w:p w14:paraId="7FD5F66B" w14:textId="0FAE207C" w:rsidR="00802DDD" w:rsidRPr="00EA0DD2" w:rsidRDefault="00802DDD" w:rsidP="00433D7D">
            <w:pPr>
              <w:pStyle w:val="Table-Left7"/>
              <w:rPr>
                <w:lang w:eastAsia="en-AU"/>
              </w:rPr>
            </w:pPr>
            <w:r w:rsidRPr="00EA0DD2">
              <w:rPr>
                <w:lang w:eastAsia="en-AU"/>
              </w:rPr>
              <w:t xml:space="preserve">Generates new theories or frameworks that can lead to innovation and societal transformation. Inductive research is critical in fields where existing theories do not explain new phenomena (e.g., digital economies or shifts in social behaviour). By creating new conceptual models, inductive research can drive technological advancements, legislative reforms, and societal shifts based on emergent patterns </w:t>
            </w:r>
            <w:r w:rsidR="00D62859">
              <w:rPr>
                <w:noProof/>
                <w:lang w:eastAsia="en-AU"/>
              </w:rPr>
              <w:t>(</w:t>
            </w:r>
            <w:proofErr w:type="spellStart"/>
            <w:r w:rsidR="00D62859" w:rsidRPr="00D62859">
              <w:t>Benneworth</w:t>
            </w:r>
            <w:proofErr w:type="spellEnd"/>
            <w:r w:rsidR="00D62859" w:rsidRPr="00D62859">
              <w:t xml:space="preserve"> &amp; Cunha, 2015</w:t>
            </w:r>
            <w:r w:rsidR="00D62859">
              <w:rPr>
                <w:noProof/>
                <w:lang w:eastAsia="en-AU"/>
              </w:rPr>
              <w:t xml:space="preserve">; </w:t>
            </w:r>
            <w:r w:rsidR="00D62859" w:rsidRPr="00D62859">
              <w:t>Fricker, 2007</w:t>
            </w:r>
            <w:r w:rsidR="00D62859">
              <w:rPr>
                <w:noProof/>
                <w:lang w:eastAsia="en-AU"/>
              </w:rPr>
              <w:t>)</w:t>
            </w:r>
            <w:r w:rsidRPr="00EA0DD2">
              <w:rPr>
                <w:lang w:eastAsia="en-AU"/>
              </w:rPr>
              <w:t>.</w:t>
            </w:r>
          </w:p>
        </w:tc>
      </w:tr>
    </w:tbl>
    <w:p w14:paraId="20665A11" w14:textId="77777777" w:rsidR="00802DDD" w:rsidRDefault="00802DDD" w:rsidP="00802DDD"/>
    <w:p w14:paraId="5CEEE1C6" w14:textId="77777777" w:rsidR="00802DDD" w:rsidRDefault="00802DDD" w:rsidP="00D6332D">
      <w:pPr>
        <w:pStyle w:val="Heading2-withoutNumbers"/>
      </w:pPr>
      <w:r>
        <w:t>References</w:t>
      </w:r>
    </w:p>
    <w:p w14:paraId="0CBEF8F3" w14:textId="7E346E1F" w:rsidR="00802DDD" w:rsidRPr="00802DDD" w:rsidRDefault="00802DDD" w:rsidP="00802DDD">
      <w:pPr>
        <w:pStyle w:val="EndNoteBibliography"/>
        <w:spacing w:after="0"/>
        <w:ind w:left="720" w:hanging="720"/>
      </w:pPr>
      <w:bookmarkStart w:id="0" w:name="_ENREF_1"/>
      <w:r w:rsidRPr="00802DDD">
        <w:t xml:space="preserve">ARC. (2017). </w:t>
      </w:r>
      <w:r w:rsidRPr="00802DDD">
        <w:rPr>
          <w:i/>
        </w:rPr>
        <w:t>Engagement and Impact 2018 Submission Guidelines</w:t>
      </w:r>
      <w:r w:rsidRPr="00802DDD">
        <w:t xml:space="preserve">. </w:t>
      </w:r>
      <w:bookmarkEnd w:id="0"/>
    </w:p>
    <w:p w14:paraId="0C6540B3" w14:textId="69B0FC85" w:rsidR="00802DDD" w:rsidRPr="00802DDD" w:rsidRDefault="00802DDD" w:rsidP="00802DDD">
      <w:pPr>
        <w:pStyle w:val="EndNoteBibliography"/>
        <w:spacing w:after="0"/>
        <w:ind w:left="720" w:hanging="720"/>
      </w:pPr>
      <w:bookmarkStart w:id="1" w:name="_ENREF_2"/>
      <w:r w:rsidRPr="00802DDD">
        <w:t xml:space="preserve">ARC. (2018). </w:t>
      </w:r>
      <w:r w:rsidRPr="00802DDD">
        <w:rPr>
          <w:i/>
        </w:rPr>
        <w:t>Excellence in Research for Australia (ERA) 2018: Submission Guidelines</w:t>
      </w:r>
      <w:r w:rsidRPr="00802DDD">
        <w:t xml:space="preserve">. </w:t>
      </w:r>
      <w:r w:rsidRPr="00D62859">
        <w:t>http://www.arc.gov.au/sites/default/files/filedepot/Public/ERA/ERA%202018/ERA%202018%20Submission%20Guidelines.pdf</w:t>
      </w:r>
      <w:bookmarkEnd w:id="1"/>
    </w:p>
    <w:p w14:paraId="66B8CB86" w14:textId="726C8048" w:rsidR="00802DDD" w:rsidRPr="00802DDD" w:rsidRDefault="00802DDD" w:rsidP="00802DDD">
      <w:pPr>
        <w:pStyle w:val="EndNoteBibliography"/>
        <w:spacing w:after="0"/>
        <w:ind w:left="720" w:hanging="720"/>
      </w:pPr>
      <w:bookmarkStart w:id="2" w:name="_ENREF_3"/>
      <w:r w:rsidRPr="00802DDD">
        <w:t xml:space="preserve">Arsalan, M., Mubin, O., &amp; Al Mahmud, A. (2024). Dynamic interactions of research, publication, researchers, institutions, and countries: A Quintuple Helix model perspective on research impact. </w:t>
      </w:r>
      <w:r w:rsidRPr="00802DDD">
        <w:rPr>
          <w:i/>
        </w:rPr>
        <w:t>Malaysian Journal of Library &amp; Information Science</w:t>
      </w:r>
      <w:r w:rsidRPr="00802DDD">
        <w:t>,</w:t>
      </w:r>
      <w:r w:rsidRPr="00802DDD">
        <w:rPr>
          <w:i/>
        </w:rPr>
        <w:t xml:space="preserve"> 29</w:t>
      </w:r>
      <w:r w:rsidRPr="00802DDD">
        <w:t xml:space="preserve">(2), 19-59. </w:t>
      </w:r>
      <w:r w:rsidRPr="00D62859">
        <w:t>https://doi.org/10.22452/mjlis.vol29no2.2</w:t>
      </w:r>
      <w:r w:rsidRPr="00802DDD">
        <w:t xml:space="preserve"> </w:t>
      </w:r>
      <w:bookmarkEnd w:id="2"/>
    </w:p>
    <w:p w14:paraId="5F6AD60D" w14:textId="77777777" w:rsidR="00802DDD" w:rsidRPr="00802DDD" w:rsidRDefault="00802DDD" w:rsidP="00802DDD">
      <w:pPr>
        <w:pStyle w:val="EndNoteBibliography"/>
        <w:spacing w:after="0"/>
        <w:ind w:left="720" w:hanging="720"/>
      </w:pPr>
      <w:bookmarkStart w:id="3" w:name="_ENREF_4"/>
      <w:r w:rsidRPr="00802DDD">
        <w:t xml:space="preserve">Banzi, R., Moja, L., Pistotti, V., Facchini, A., &amp; Liberati, A. (2011). Conceptual frameworks and empirical approaches used to assess the impact of health research: an overview of reviews. </w:t>
      </w:r>
      <w:r w:rsidRPr="00802DDD">
        <w:rPr>
          <w:i/>
        </w:rPr>
        <w:t>Health research policy and systems</w:t>
      </w:r>
      <w:r w:rsidRPr="00802DDD">
        <w:t>,</w:t>
      </w:r>
      <w:r w:rsidRPr="00802DDD">
        <w:rPr>
          <w:i/>
        </w:rPr>
        <w:t xml:space="preserve"> 9</w:t>
      </w:r>
      <w:r w:rsidRPr="00802DDD">
        <w:t xml:space="preserve">, 1-10. </w:t>
      </w:r>
      <w:bookmarkEnd w:id="3"/>
    </w:p>
    <w:p w14:paraId="179EDCFF" w14:textId="77777777" w:rsidR="00802DDD" w:rsidRPr="00802DDD" w:rsidRDefault="00802DDD" w:rsidP="00D62859">
      <w:pPr>
        <w:pStyle w:val="EndNoteBibliography"/>
      </w:pPr>
      <w:bookmarkStart w:id="4" w:name="_ENREF_5"/>
      <w:r w:rsidRPr="00802DDD">
        <w:lastRenderedPageBreak/>
        <w:t xml:space="preserve">Bartels, F. L., Voss, H., Lederer, S., &amp; Bachtrog, C. (2012). Determinants of National Innovation Systems: Policy </w:t>
      </w:r>
      <w:r w:rsidRPr="00D62859">
        <w:t>implications</w:t>
      </w:r>
      <w:r w:rsidRPr="00802DDD">
        <w:t xml:space="preserve"> for developing countries. </w:t>
      </w:r>
      <w:r w:rsidRPr="00802DDD">
        <w:rPr>
          <w:i/>
        </w:rPr>
        <w:t>Innovation</w:t>
      </w:r>
      <w:r w:rsidRPr="00802DDD">
        <w:t>,</w:t>
      </w:r>
      <w:r w:rsidRPr="00802DDD">
        <w:rPr>
          <w:i/>
        </w:rPr>
        <w:t xml:space="preserve"> 14</w:t>
      </w:r>
      <w:r w:rsidRPr="00802DDD">
        <w:t xml:space="preserve">(1), 2-18. </w:t>
      </w:r>
      <w:bookmarkEnd w:id="4"/>
    </w:p>
    <w:p w14:paraId="782EE09F" w14:textId="77777777" w:rsidR="00802DDD" w:rsidRPr="00802DDD" w:rsidRDefault="00802DDD" w:rsidP="00802DDD">
      <w:pPr>
        <w:pStyle w:val="EndNoteBibliography"/>
        <w:spacing w:after="0"/>
        <w:ind w:left="720" w:hanging="720"/>
      </w:pPr>
      <w:bookmarkStart w:id="5" w:name="_ENREF_6"/>
      <w:r w:rsidRPr="00802DDD">
        <w:t xml:space="preserve">Benneworth, P., &amp; Cunha, J. (2015). Universities’ contributions to social innovation: reflections in theory &amp; practice. </w:t>
      </w:r>
      <w:r w:rsidRPr="00802DDD">
        <w:rPr>
          <w:i/>
        </w:rPr>
        <w:t>European journal of innovation management</w:t>
      </w:r>
      <w:r w:rsidRPr="00802DDD">
        <w:t>,</w:t>
      </w:r>
      <w:r w:rsidRPr="00802DDD">
        <w:rPr>
          <w:i/>
        </w:rPr>
        <w:t xml:space="preserve"> 18</w:t>
      </w:r>
      <w:r w:rsidRPr="00802DDD">
        <w:t xml:space="preserve">(4), 508-527. </w:t>
      </w:r>
      <w:bookmarkEnd w:id="5"/>
    </w:p>
    <w:p w14:paraId="77AEDDFA" w14:textId="77777777" w:rsidR="00802DDD" w:rsidRPr="00802DDD" w:rsidRDefault="00802DDD" w:rsidP="00802DDD">
      <w:pPr>
        <w:pStyle w:val="EndNoteBibliography"/>
        <w:spacing w:after="0"/>
        <w:ind w:left="720" w:hanging="720"/>
      </w:pPr>
      <w:bookmarkStart w:id="6" w:name="_ENREF_7"/>
      <w:r w:rsidRPr="00802DDD">
        <w:t xml:space="preserve">Benneworth, P., &amp; Jongbloed, B. (2012). Policies for Promoting University–Community Engagement in Practice. In </w:t>
      </w:r>
      <w:r w:rsidRPr="00802DDD">
        <w:rPr>
          <w:i/>
        </w:rPr>
        <w:t>University engagement with socially excluded communities</w:t>
      </w:r>
      <w:r w:rsidRPr="00802DDD">
        <w:t xml:space="preserve"> (pp. 243-261). Springer. </w:t>
      </w:r>
      <w:bookmarkEnd w:id="6"/>
    </w:p>
    <w:p w14:paraId="35468393" w14:textId="77777777" w:rsidR="00802DDD" w:rsidRPr="00802DDD" w:rsidRDefault="00802DDD" w:rsidP="00802DDD">
      <w:pPr>
        <w:pStyle w:val="EndNoteBibliography"/>
        <w:spacing w:after="0"/>
        <w:ind w:left="720" w:hanging="720"/>
      </w:pPr>
      <w:bookmarkStart w:id="7" w:name="_ENREF_8"/>
      <w:r w:rsidRPr="00802DDD">
        <w:t xml:space="preserve">Bernstein, A., Hicks, V., Borbey, P., Campbell, T., McAuley, L., &amp; GRAHAM, I. (2006). A framework to measure the impact of investments in health research. presentation to the Blue Sky II conference, What Indicators for Science, Technology and Innovation Policies in the 21st Century, </w:t>
      </w:r>
      <w:bookmarkEnd w:id="7"/>
    </w:p>
    <w:p w14:paraId="74E1B712" w14:textId="77777777" w:rsidR="00802DDD" w:rsidRPr="00802DDD" w:rsidRDefault="00802DDD" w:rsidP="00802DDD">
      <w:pPr>
        <w:pStyle w:val="EndNoteBibliography"/>
        <w:spacing w:after="0"/>
        <w:ind w:left="720" w:hanging="720"/>
      </w:pPr>
      <w:bookmarkStart w:id="8" w:name="_ENREF_9"/>
      <w:r w:rsidRPr="00802DDD">
        <w:t xml:space="preserve">Boaden, R. J., &amp; Cilliers, J. J. (2001). Quality and the research assessment exercise: just one aspect of performance? </w:t>
      </w:r>
      <w:r w:rsidRPr="00802DDD">
        <w:rPr>
          <w:i/>
        </w:rPr>
        <w:t>Quality Assurance in Education</w:t>
      </w:r>
      <w:r w:rsidRPr="00802DDD">
        <w:t>,</w:t>
      </w:r>
      <w:r w:rsidRPr="00802DDD">
        <w:rPr>
          <w:i/>
        </w:rPr>
        <w:t xml:space="preserve"> 9</w:t>
      </w:r>
      <w:r w:rsidRPr="00802DDD">
        <w:t xml:space="preserve">(1), 5-13. </w:t>
      </w:r>
      <w:bookmarkEnd w:id="8"/>
    </w:p>
    <w:p w14:paraId="1A9A0048" w14:textId="0DA837FD" w:rsidR="00802DDD" w:rsidRPr="00802DDD" w:rsidRDefault="00802DDD" w:rsidP="00802DDD">
      <w:pPr>
        <w:pStyle w:val="EndNoteBibliography"/>
        <w:spacing w:after="0"/>
        <w:ind w:left="720" w:hanging="720"/>
      </w:pPr>
      <w:bookmarkStart w:id="9" w:name="_ENREF_10"/>
      <w:r w:rsidRPr="00802DDD">
        <w:t xml:space="preserve">Buykx, P., Humphreys, J., Wakerman, J., Perkins, D., Lyle, D., McGrail, M., &amp; Kinsman, L. (2012). 'Making evidence count': a framework to monitor the impact of health services research. </w:t>
      </w:r>
      <w:r w:rsidRPr="00802DDD">
        <w:rPr>
          <w:i/>
        </w:rPr>
        <w:t>Aust J Rural Health</w:t>
      </w:r>
      <w:r w:rsidRPr="00802DDD">
        <w:t>,</w:t>
      </w:r>
      <w:r w:rsidRPr="00802DDD">
        <w:rPr>
          <w:i/>
        </w:rPr>
        <w:t xml:space="preserve"> 20</w:t>
      </w:r>
      <w:r w:rsidRPr="00802DDD">
        <w:t xml:space="preserve">(2), 51-58. </w:t>
      </w:r>
      <w:r w:rsidRPr="00D62859">
        <w:t>https://doi.org/10.1111/j.1440-1584.2012.01256.x</w:t>
      </w:r>
      <w:r w:rsidRPr="00802DDD">
        <w:t xml:space="preserve"> </w:t>
      </w:r>
      <w:bookmarkEnd w:id="9"/>
    </w:p>
    <w:p w14:paraId="083612B6" w14:textId="77777777" w:rsidR="00802DDD" w:rsidRPr="00802DDD" w:rsidRDefault="00802DDD" w:rsidP="00802DDD">
      <w:pPr>
        <w:pStyle w:val="EndNoteBibliography"/>
        <w:spacing w:after="0"/>
        <w:ind w:left="720" w:hanging="720"/>
      </w:pPr>
      <w:bookmarkStart w:id="10" w:name="_ENREF_11"/>
      <w:r w:rsidRPr="00802DDD">
        <w:t xml:space="preserve">CAHS. (2009). </w:t>
      </w:r>
      <w:r w:rsidRPr="00802DDD">
        <w:rPr>
          <w:i/>
        </w:rPr>
        <w:t>Making an Impact: A Preferred Framework and Indicators to Measure Returns on Investment in Health Research</w:t>
      </w:r>
      <w:r w:rsidRPr="00802DDD">
        <w:t xml:space="preserve">. </w:t>
      </w:r>
      <w:bookmarkEnd w:id="10"/>
    </w:p>
    <w:p w14:paraId="7F509987" w14:textId="73F69383" w:rsidR="00802DDD" w:rsidRPr="00802DDD" w:rsidRDefault="00802DDD" w:rsidP="00802DDD">
      <w:pPr>
        <w:pStyle w:val="EndNoteBibliography"/>
        <w:spacing w:after="0"/>
        <w:ind w:left="720" w:hanging="720"/>
      </w:pPr>
      <w:bookmarkStart w:id="11" w:name="_ENREF_12"/>
      <w:r w:rsidRPr="00802DDD">
        <w:t xml:space="preserve">Commonwealth Scientific Industrial Research Organisation (CSIRO). (2020). </w:t>
      </w:r>
      <w:r w:rsidRPr="00802DDD">
        <w:rPr>
          <w:i/>
        </w:rPr>
        <w:t>CSIRO Impact Evaluation Guide</w:t>
      </w:r>
      <w:r w:rsidRPr="00802DDD">
        <w:t xml:space="preserve">. </w:t>
      </w:r>
      <w:r w:rsidRPr="00D62859">
        <w:t>https://www.csiro.au/~/media/About/Files/Our-impact-framework/CSIROImpactEvaluationGuide_WEB.pdf</w:t>
      </w:r>
      <w:bookmarkEnd w:id="11"/>
    </w:p>
    <w:p w14:paraId="64A6FFDB" w14:textId="77777777" w:rsidR="00802DDD" w:rsidRPr="00802DDD" w:rsidRDefault="00802DDD" w:rsidP="00802DDD">
      <w:pPr>
        <w:pStyle w:val="EndNoteBibliography"/>
        <w:spacing w:after="0"/>
        <w:ind w:left="720" w:hanging="720"/>
      </w:pPr>
      <w:bookmarkStart w:id="12" w:name="_ENREF_13"/>
      <w:r w:rsidRPr="00802DDD">
        <w:t xml:space="preserve">Deloitte Access Economics. (2011). Returns on NHMRC funded Research and Development. </w:t>
      </w:r>
      <w:r w:rsidRPr="00802DDD">
        <w:rPr>
          <w:i/>
        </w:rPr>
        <w:t>Commissioned by the Australian Society for Medical Research Sydney, Australia: Author</w:t>
      </w:r>
      <w:r w:rsidRPr="00802DDD">
        <w:t xml:space="preserve">. </w:t>
      </w:r>
      <w:bookmarkEnd w:id="12"/>
    </w:p>
    <w:p w14:paraId="589E00E0" w14:textId="77777777" w:rsidR="00802DDD" w:rsidRPr="00802DDD" w:rsidRDefault="00802DDD" w:rsidP="00802DDD">
      <w:pPr>
        <w:pStyle w:val="EndNoteBibliography"/>
        <w:spacing w:after="0"/>
        <w:ind w:left="720" w:hanging="720"/>
      </w:pPr>
      <w:bookmarkStart w:id="13" w:name="_ENREF_14"/>
      <w:r w:rsidRPr="00802DDD">
        <w:t xml:space="preserve">Dembe, A. E., Lynch, M. S., Gugiu, P. C., &amp; Jackson, R. D. (2014). The translational research impact scale: development, construct validity, and reliability testing. </w:t>
      </w:r>
      <w:r w:rsidRPr="00802DDD">
        <w:rPr>
          <w:i/>
        </w:rPr>
        <w:t>Evaluation &amp; the health professions</w:t>
      </w:r>
      <w:r w:rsidRPr="00802DDD">
        <w:t>,</w:t>
      </w:r>
      <w:r w:rsidRPr="00802DDD">
        <w:rPr>
          <w:i/>
        </w:rPr>
        <w:t xml:space="preserve"> 37</w:t>
      </w:r>
      <w:r w:rsidRPr="00802DDD">
        <w:t xml:space="preserve">(1), 50-70. </w:t>
      </w:r>
      <w:bookmarkEnd w:id="13"/>
    </w:p>
    <w:p w14:paraId="18A8A081" w14:textId="77777777" w:rsidR="00802DDD" w:rsidRPr="00802DDD" w:rsidRDefault="00802DDD" w:rsidP="00802DDD">
      <w:pPr>
        <w:pStyle w:val="EndNoteBibliography"/>
        <w:spacing w:after="0"/>
        <w:ind w:left="720" w:hanging="720"/>
      </w:pPr>
      <w:bookmarkStart w:id="14" w:name="_ENREF_15"/>
      <w:r w:rsidRPr="00802DDD">
        <w:t xml:space="preserve">Donovan, C., &amp; Hanney, S. (2011). The ‘payback framework’explained. </w:t>
      </w:r>
      <w:r w:rsidRPr="00802DDD">
        <w:rPr>
          <w:i/>
        </w:rPr>
        <w:t>Research Evaluation</w:t>
      </w:r>
      <w:r w:rsidRPr="00802DDD">
        <w:t>,</w:t>
      </w:r>
      <w:r w:rsidRPr="00802DDD">
        <w:rPr>
          <w:i/>
        </w:rPr>
        <w:t xml:space="preserve"> 20</w:t>
      </w:r>
      <w:r w:rsidRPr="00802DDD">
        <w:t xml:space="preserve">(3), 181-183. </w:t>
      </w:r>
      <w:bookmarkEnd w:id="14"/>
    </w:p>
    <w:p w14:paraId="0D6A0353" w14:textId="77777777" w:rsidR="00802DDD" w:rsidRPr="00802DDD" w:rsidRDefault="00802DDD" w:rsidP="00802DDD">
      <w:pPr>
        <w:pStyle w:val="EndNoteBibliography"/>
        <w:spacing w:after="0"/>
        <w:ind w:left="720" w:hanging="720"/>
      </w:pPr>
      <w:bookmarkStart w:id="15" w:name="_ENREF_16"/>
      <w:r w:rsidRPr="00802DDD">
        <w:t xml:space="preserve">Engel-Cox, J. A., Van Houten, B., Phelps, J., &amp; Rose, S. W. (2008). Conceptual model of comprehensive research metrics for improved human health and environment. </w:t>
      </w:r>
      <w:r w:rsidRPr="00802DDD">
        <w:rPr>
          <w:i/>
        </w:rPr>
        <w:t>Environmental Health Perspectives</w:t>
      </w:r>
      <w:r w:rsidRPr="00802DDD">
        <w:t>,</w:t>
      </w:r>
      <w:r w:rsidRPr="00802DDD">
        <w:rPr>
          <w:i/>
        </w:rPr>
        <w:t xml:space="preserve"> 116</w:t>
      </w:r>
      <w:r w:rsidRPr="00802DDD">
        <w:t xml:space="preserve">(5), 583-592. </w:t>
      </w:r>
      <w:bookmarkEnd w:id="15"/>
    </w:p>
    <w:p w14:paraId="5E83BCBA" w14:textId="4915EA84" w:rsidR="00802DDD" w:rsidRPr="00802DDD" w:rsidRDefault="00802DDD" w:rsidP="00802DDD">
      <w:pPr>
        <w:pStyle w:val="EndNoteBibliography"/>
        <w:spacing w:after="0"/>
        <w:ind w:left="720" w:hanging="720"/>
      </w:pPr>
      <w:bookmarkStart w:id="16" w:name="_ENREF_17"/>
      <w:r w:rsidRPr="00802DDD">
        <w:t xml:space="preserve">European, C. (2021). </w:t>
      </w:r>
      <w:r w:rsidRPr="00802DDD">
        <w:rPr>
          <w:i/>
        </w:rPr>
        <w:t>Horizon Europe Key Impact Pathways</w:t>
      </w:r>
      <w:r w:rsidRPr="00802DDD">
        <w:t xml:space="preserve">. </w:t>
      </w:r>
      <w:r w:rsidRPr="00D62859">
        <w:t>https://research-and-innovation.ec.europa.eu/strategy/support-policy-making/shaping-eu-research-and-innovation-policy/evaluation-impact-assessment-and-monitoring/horizon-europe-programme-analysis_en#publications</w:t>
      </w:r>
      <w:bookmarkEnd w:id="16"/>
    </w:p>
    <w:p w14:paraId="3F1144E5" w14:textId="77777777" w:rsidR="00802DDD" w:rsidRPr="00802DDD" w:rsidRDefault="00802DDD" w:rsidP="00802DDD">
      <w:pPr>
        <w:pStyle w:val="EndNoteBibliography"/>
        <w:spacing w:after="0"/>
        <w:ind w:left="720" w:hanging="720"/>
      </w:pPr>
      <w:bookmarkStart w:id="17" w:name="_ENREF_18"/>
      <w:r w:rsidRPr="00802DDD">
        <w:t xml:space="preserve">Fricker, M. (2007). </w:t>
      </w:r>
      <w:r w:rsidRPr="00802DDD">
        <w:rPr>
          <w:i/>
        </w:rPr>
        <w:t>Epistemic injustice: Power and the ethics of knowing</w:t>
      </w:r>
      <w:r w:rsidRPr="00802DDD">
        <w:t xml:space="preserve">. Oxford University Press. </w:t>
      </w:r>
      <w:bookmarkEnd w:id="17"/>
    </w:p>
    <w:p w14:paraId="2590D7F8" w14:textId="29DFF757" w:rsidR="00802DDD" w:rsidRPr="00802DDD" w:rsidRDefault="00802DDD" w:rsidP="00802DDD">
      <w:pPr>
        <w:pStyle w:val="EndNoteBibliography"/>
        <w:spacing w:after="0"/>
        <w:ind w:left="720" w:hanging="720"/>
      </w:pPr>
      <w:bookmarkStart w:id="18" w:name="_ENREF_19"/>
      <w:r w:rsidRPr="00802DDD">
        <w:t xml:space="preserve">Glasgow, R. E., Vogt, T. M., &amp; Boles, S. M. (1999). Evaluating the public health impact of health promotion interventions: the RE-AIM framework. </w:t>
      </w:r>
      <w:r w:rsidRPr="00802DDD">
        <w:rPr>
          <w:i/>
        </w:rPr>
        <w:t>Am J Public Health</w:t>
      </w:r>
      <w:r w:rsidRPr="00802DDD">
        <w:t>,</w:t>
      </w:r>
      <w:r w:rsidRPr="00802DDD">
        <w:rPr>
          <w:i/>
        </w:rPr>
        <w:t xml:space="preserve"> 89</w:t>
      </w:r>
      <w:r w:rsidRPr="00802DDD">
        <w:t xml:space="preserve">(9), 1322-1327. </w:t>
      </w:r>
      <w:r w:rsidRPr="00D62859">
        <w:t>https://www.ncbi.nlm.nih.gov/pubmed/10474547</w:t>
      </w:r>
      <w:r w:rsidRPr="00802DDD">
        <w:t xml:space="preserve"> </w:t>
      </w:r>
      <w:bookmarkEnd w:id="18"/>
    </w:p>
    <w:p w14:paraId="0D43F36F" w14:textId="77777777" w:rsidR="00802DDD" w:rsidRPr="00802DDD" w:rsidRDefault="00802DDD" w:rsidP="00802DDD">
      <w:pPr>
        <w:pStyle w:val="EndNoteBibliography"/>
        <w:spacing w:after="0"/>
        <w:ind w:left="720" w:hanging="720"/>
      </w:pPr>
      <w:bookmarkStart w:id="19" w:name="_ENREF_20"/>
      <w:r w:rsidRPr="00802DDD">
        <w:t xml:space="preserve">Hinrichs, S., Montague, E., &amp; Grant, J. (2015). Researchfish: A forward look. </w:t>
      </w:r>
      <w:r w:rsidRPr="00802DDD">
        <w:rPr>
          <w:i/>
        </w:rPr>
        <w:t>Challenges and Opportunities for using Researchfish to Support Research Assessment. UK: Policy Institute at King's College London</w:t>
      </w:r>
      <w:r w:rsidRPr="00802DDD">
        <w:t xml:space="preserve">. </w:t>
      </w:r>
      <w:bookmarkEnd w:id="19"/>
    </w:p>
    <w:p w14:paraId="6841FF52" w14:textId="77777777" w:rsidR="00802DDD" w:rsidRPr="00802DDD" w:rsidRDefault="00802DDD" w:rsidP="00802DDD">
      <w:pPr>
        <w:pStyle w:val="EndNoteBibliography"/>
        <w:spacing w:after="0"/>
        <w:ind w:left="720" w:hanging="720"/>
      </w:pPr>
      <w:bookmarkStart w:id="20" w:name="_ENREF_21"/>
      <w:r w:rsidRPr="00802DDD">
        <w:t xml:space="preserve">Hughes, A., &amp; Kitson, M. (2012). Pathways to impact and the strategic role of universities: new evidence on the breadth and depth of university knowledge exchange in the UK and the factors constraining its development. </w:t>
      </w:r>
      <w:r w:rsidRPr="00802DDD">
        <w:rPr>
          <w:i/>
        </w:rPr>
        <w:t>Cambridge journal of economics</w:t>
      </w:r>
      <w:r w:rsidRPr="00802DDD">
        <w:t>,</w:t>
      </w:r>
      <w:r w:rsidRPr="00802DDD">
        <w:rPr>
          <w:i/>
        </w:rPr>
        <w:t xml:space="preserve"> 36</w:t>
      </w:r>
      <w:r w:rsidRPr="00802DDD">
        <w:t xml:space="preserve">(3), 723-750. </w:t>
      </w:r>
      <w:bookmarkEnd w:id="20"/>
    </w:p>
    <w:p w14:paraId="7A216415" w14:textId="71064184" w:rsidR="00802DDD" w:rsidRPr="00802DDD" w:rsidRDefault="00802DDD" w:rsidP="00802DDD">
      <w:pPr>
        <w:pStyle w:val="EndNoteBibliography"/>
        <w:spacing w:after="0"/>
        <w:ind w:left="720" w:hanging="720"/>
      </w:pPr>
      <w:bookmarkStart w:id="21" w:name="_ENREF_22"/>
      <w:r w:rsidRPr="00802DDD">
        <w:t xml:space="preserve">Jacob, R., &amp; McGregor, M. (1997). Assessing the impact of health technology assessment. </w:t>
      </w:r>
      <w:r w:rsidRPr="00802DDD">
        <w:rPr>
          <w:i/>
        </w:rPr>
        <w:t>Int J Technol Assess Health Care</w:t>
      </w:r>
      <w:r w:rsidRPr="00802DDD">
        <w:t>,</w:t>
      </w:r>
      <w:r w:rsidRPr="00802DDD">
        <w:rPr>
          <w:i/>
        </w:rPr>
        <w:t xml:space="preserve"> 13</w:t>
      </w:r>
      <w:r w:rsidRPr="00802DDD">
        <w:t xml:space="preserve">(1), 68-80. </w:t>
      </w:r>
      <w:r w:rsidRPr="00D62859">
        <w:t>https://www.ncbi.nlm.nih.gov/pubmed/9119625</w:t>
      </w:r>
      <w:r w:rsidRPr="00802DDD">
        <w:t xml:space="preserve"> </w:t>
      </w:r>
      <w:bookmarkEnd w:id="21"/>
    </w:p>
    <w:p w14:paraId="794C57E3" w14:textId="77777777" w:rsidR="00802DDD" w:rsidRPr="00802DDD" w:rsidRDefault="00802DDD" w:rsidP="00802DDD">
      <w:pPr>
        <w:pStyle w:val="EndNoteBibliography"/>
        <w:spacing w:after="0"/>
        <w:ind w:left="720" w:hanging="720"/>
      </w:pPr>
      <w:bookmarkStart w:id="22" w:name="_ENREF_23"/>
      <w:r w:rsidRPr="00802DDD">
        <w:t xml:space="preserve">Klein, J. T. (2010). A taxonomy of interdisciplinarity. </w:t>
      </w:r>
      <w:r w:rsidRPr="00802DDD">
        <w:rPr>
          <w:i/>
        </w:rPr>
        <w:t>The Oxford handbook of interdisciplinarity</w:t>
      </w:r>
      <w:r w:rsidRPr="00802DDD">
        <w:t>,</w:t>
      </w:r>
      <w:r w:rsidRPr="00802DDD">
        <w:rPr>
          <w:i/>
        </w:rPr>
        <w:t xml:space="preserve"> 15</w:t>
      </w:r>
      <w:r w:rsidRPr="00802DDD">
        <w:t xml:space="preserve">(6), 15. </w:t>
      </w:r>
      <w:bookmarkEnd w:id="22"/>
    </w:p>
    <w:p w14:paraId="45556AD0" w14:textId="3A822985" w:rsidR="00802DDD" w:rsidRPr="00802DDD" w:rsidRDefault="00802DDD" w:rsidP="00802DDD">
      <w:pPr>
        <w:pStyle w:val="EndNoteBibliography"/>
        <w:spacing w:after="0"/>
        <w:ind w:left="720" w:hanging="720"/>
      </w:pPr>
      <w:bookmarkStart w:id="23" w:name="_ENREF_24"/>
      <w:r w:rsidRPr="00802DDD">
        <w:lastRenderedPageBreak/>
        <w:t xml:space="preserve">Kuruvilla, S., Mays, N., Pleasant, A., &amp; Walt, G. (2006). Describing the impact of health research: a Research Impact Framework. </w:t>
      </w:r>
      <w:r w:rsidRPr="00802DDD">
        <w:rPr>
          <w:i/>
        </w:rPr>
        <w:t>BMC Health Serv Res</w:t>
      </w:r>
      <w:r w:rsidRPr="00802DDD">
        <w:t>,</w:t>
      </w:r>
      <w:r w:rsidRPr="00802DDD">
        <w:rPr>
          <w:i/>
        </w:rPr>
        <w:t xml:space="preserve"> 6</w:t>
      </w:r>
      <w:r w:rsidRPr="00802DDD">
        <w:t xml:space="preserve">(1), 134. </w:t>
      </w:r>
      <w:r w:rsidRPr="00D62859">
        <w:t>https://doi.org/10.1186/1472-6963-6-134</w:t>
      </w:r>
      <w:r w:rsidRPr="00802DDD">
        <w:t xml:space="preserve"> </w:t>
      </w:r>
      <w:bookmarkEnd w:id="23"/>
    </w:p>
    <w:p w14:paraId="57663713" w14:textId="2963E9BF" w:rsidR="00802DDD" w:rsidRPr="00802DDD" w:rsidRDefault="00802DDD" w:rsidP="00802DDD">
      <w:pPr>
        <w:pStyle w:val="EndNoteBibliography"/>
        <w:spacing w:after="0"/>
        <w:ind w:left="720" w:hanging="720"/>
      </w:pPr>
      <w:bookmarkStart w:id="24" w:name="_ENREF_25"/>
      <w:r w:rsidRPr="00802DDD">
        <w:t xml:space="preserve">Landry, R., Amara, N., &amp; Lamari, M. (2001). Climbing the ladder of research utilization - Evidence from social science research. </w:t>
      </w:r>
      <w:r w:rsidRPr="00802DDD">
        <w:rPr>
          <w:i/>
        </w:rPr>
        <w:t>Science Communication</w:t>
      </w:r>
      <w:r w:rsidRPr="00802DDD">
        <w:t>,</w:t>
      </w:r>
      <w:r w:rsidRPr="00802DDD">
        <w:rPr>
          <w:i/>
        </w:rPr>
        <w:t xml:space="preserve"> 22</w:t>
      </w:r>
      <w:r w:rsidRPr="00802DDD">
        <w:t xml:space="preserve">(4), 396-422. </w:t>
      </w:r>
      <w:r w:rsidRPr="00D62859">
        <w:t>https://doi.org/Doi</w:t>
      </w:r>
      <w:r w:rsidRPr="00802DDD">
        <w:t xml:space="preserve"> 10.1177/1075547001022004003 </w:t>
      </w:r>
      <w:bookmarkEnd w:id="24"/>
    </w:p>
    <w:p w14:paraId="6316C457" w14:textId="77777777" w:rsidR="00802DDD" w:rsidRPr="00802DDD" w:rsidRDefault="00802DDD" w:rsidP="00802DDD">
      <w:pPr>
        <w:pStyle w:val="EndNoteBibliography"/>
        <w:spacing w:after="0"/>
        <w:ind w:left="720" w:hanging="720"/>
      </w:pPr>
      <w:bookmarkStart w:id="25" w:name="_ENREF_26"/>
      <w:r w:rsidRPr="00802DDD">
        <w:t xml:space="preserve">Larédo, P., &amp; Mustar, P. (2004). Public sector research: a growing role in innovation systems. </w:t>
      </w:r>
      <w:r w:rsidRPr="00802DDD">
        <w:rPr>
          <w:i/>
        </w:rPr>
        <w:t>Minerva</w:t>
      </w:r>
      <w:r w:rsidRPr="00802DDD">
        <w:t>,</w:t>
      </w:r>
      <w:r w:rsidRPr="00802DDD">
        <w:rPr>
          <w:i/>
        </w:rPr>
        <w:t xml:space="preserve"> 42</w:t>
      </w:r>
      <w:r w:rsidRPr="00802DDD">
        <w:t xml:space="preserve">(1), 11-27. </w:t>
      </w:r>
      <w:bookmarkEnd w:id="25"/>
    </w:p>
    <w:p w14:paraId="4AB0640B" w14:textId="21F7CF39" w:rsidR="00802DDD" w:rsidRPr="00802DDD" w:rsidRDefault="00802DDD" w:rsidP="00802DDD">
      <w:pPr>
        <w:pStyle w:val="EndNoteBibliography"/>
        <w:spacing w:after="0"/>
        <w:ind w:left="720" w:hanging="720"/>
      </w:pPr>
      <w:bookmarkStart w:id="26" w:name="_ENREF_27"/>
      <w:r w:rsidRPr="00802DDD">
        <w:t xml:space="preserve">Lavis, J., Ross, S., McLeod, C., &amp; Gildiner, A. (2003). Measuring the impact of health research. </w:t>
      </w:r>
      <w:r w:rsidRPr="00802DDD">
        <w:rPr>
          <w:i/>
        </w:rPr>
        <w:t>J Health Serv Res Policy</w:t>
      </w:r>
      <w:r w:rsidRPr="00802DDD">
        <w:t>,</w:t>
      </w:r>
      <w:r w:rsidRPr="00802DDD">
        <w:rPr>
          <w:i/>
        </w:rPr>
        <w:t xml:space="preserve"> 8</w:t>
      </w:r>
      <w:r w:rsidRPr="00802DDD">
        <w:t xml:space="preserve">(3), 165-170. </w:t>
      </w:r>
      <w:r w:rsidRPr="00D62859">
        <w:t>https://doi.org/10.1258/135581903322029520</w:t>
      </w:r>
      <w:r w:rsidRPr="00802DDD">
        <w:t xml:space="preserve"> </w:t>
      </w:r>
      <w:bookmarkEnd w:id="26"/>
    </w:p>
    <w:p w14:paraId="138608EC" w14:textId="77777777" w:rsidR="00802DDD" w:rsidRPr="00802DDD" w:rsidRDefault="00802DDD" w:rsidP="00802DDD">
      <w:pPr>
        <w:pStyle w:val="EndNoteBibliography"/>
        <w:spacing w:after="0"/>
        <w:ind w:left="720" w:hanging="720"/>
      </w:pPr>
      <w:bookmarkStart w:id="27" w:name="_ENREF_28"/>
      <w:r w:rsidRPr="00802DDD">
        <w:t xml:space="preserve">Lee, D. H. (2019). Predictive power of conference-related factors on citation rates of conference papers. </w:t>
      </w:r>
      <w:r w:rsidRPr="00802DDD">
        <w:rPr>
          <w:i/>
        </w:rPr>
        <w:t>Scientometrics</w:t>
      </w:r>
      <w:r w:rsidRPr="00802DDD">
        <w:t>,</w:t>
      </w:r>
      <w:r w:rsidRPr="00802DDD">
        <w:rPr>
          <w:i/>
        </w:rPr>
        <w:t xml:space="preserve"> 118</w:t>
      </w:r>
      <w:r w:rsidRPr="00802DDD">
        <w:t xml:space="preserve">(1), 281-304. </w:t>
      </w:r>
      <w:bookmarkEnd w:id="27"/>
    </w:p>
    <w:p w14:paraId="4C16A8DE" w14:textId="77777777" w:rsidR="00802DDD" w:rsidRPr="00802DDD" w:rsidRDefault="00802DDD" w:rsidP="00802DDD">
      <w:pPr>
        <w:pStyle w:val="EndNoteBibliography"/>
        <w:spacing w:after="0"/>
        <w:ind w:left="720" w:hanging="720"/>
      </w:pPr>
      <w:bookmarkStart w:id="28" w:name="_ENREF_29"/>
      <w:r w:rsidRPr="00802DDD">
        <w:t xml:space="preserve">Marika Kolbenstvedt, R. E., Beate Elvebakk, Arild Hervik &amp; Lasse Braein. (2007). </w:t>
      </w:r>
      <w:r w:rsidRPr="00802DDD">
        <w:rPr>
          <w:i/>
        </w:rPr>
        <w:t>Effects of Swedish traffic safety research 1971 - 2004</w:t>
      </w:r>
      <w:r w:rsidRPr="00802DDD">
        <w:t xml:space="preserve">. t. S. G. A. f. I. S. VINNOVA. </w:t>
      </w:r>
      <w:bookmarkEnd w:id="28"/>
    </w:p>
    <w:p w14:paraId="0724CDF4" w14:textId="77777777" w:rsidR="00802DDD" w:rsidRPr="00802DDD" w:rsidRDefault="00802DDD" w:rsidP="00802DDD">
      <w:pPr>
        <w:pStyle w:val="EndNoteBibliography"/>
        <w:spacing w:after="0"/>
        <w:ind w:left="720" w:hanging="720"/>
      </w:pPr>
      <w:bookmarkStart w:id="29" w:name="_ENREF_30"/>
      <w:r w:rsidRPr="00802DDD">
        <w:t xml:space="preserve">Meagher, L., Lyall, C., &amp; Nutley, S. (2008). Flows of knowledge, expertise and influence: a method for assessing policy and practice impacts from social science research. </w:t>
      </w:r>
      <w:r w:rsidRPr="00802DDD">
        <w:rPr>
          <w:i/>
        </w:rPr>
        <w:t>Research Evaluation</w:t>
      </w:r>
      <w:r w:rsidRPr="00802DDD">
        <w:t>,</w:t>
      </w:r>
      <w:r w:rsidRPr="00802DDD">
        <w:rPr>
          <w:i/>
        </w:rPr>
        <w:t xml:space="preserve"> 17</w:t>
      </w:r>
      <w:r w:rsidRPr="00802DDD">
        <w:t xml:space="preserve">(3), 163-173. </w:t>
      </w:r>
      <w:bookmarkEnd w:id="29"/>
    </w:p>
    <w:p w14:paraId="3FF84200" w14:textId="670A222E" w:rsidR="00802DDD" w:rsidRPr="00802DDD" w:rsidRDefault="00802DDD" w:rsidP="00802DDD">
      <w:pPr>
        <w:pStyle w:val="EndNoteBibliography"/>
        <w:spacing w:after="0"/>
        <w:ind w:left="720" w:hanging="720"/>
      </w:pPr>
      <w:bookmarkStart w:id="30" w:name="_ENREF_31"/>
      <w:r w:rsidRPr="00802DDD">
        <w:t xml:space="preserve">Moed, H. F., &amp; Halevi, G. (2015). Multidimensional assessment of scholarly research impact. </w:t>
      </w:r>
      <w:r w:rsidRPr="00802DDD">
        <w:rPr>
          <w:i/>
        </w:rPr>
        <w:t>Journal of the Association for Information Science and Technology</w:t>
      </w:r>
      <w:r w:rsidRPr="00802DDD">
        <w:t>,</w:t>
      </w:r>
      <w:r w:rsidRPr="00802DDD">
        <w:rPr>
          <w:i/>
        </w:rPr>
        <w:t xml:space="preserve"> 66</w:t>
      </w:r>
      <w:r w:rsidRPr="00802DDD">
        <w:t xml:space="preserve">(10), 1988-2002. </w:t>
      </w:r>
      <w:r w:rsidRPr="00D62859">
        <w:t>https://doi.org/10.1002/asi.23314</w:t>
      </w:r>
      <w:r w:rsidRPr="00802DDD">
        <w:t xml:space="preserve"> </w:t>
      </w:r>
      <w:bookmarkEnd w:id="30"/>
    </w:p>
    <w:p w14:paraId="2AD54B71" w14:textId="77777777" w:rsidR="00802DDD" w:rsidRPr="00802DDD" w:rsidRDefault="00802DDD" w:rsidP="00802DDD">
      <w:pPr>
        <w:pStyle w:val="EndNoteBibliography"/>
        <w:spacing w:after="0"/>
        <w:ind w:left="720" w:hanging="720"/>
      </w:pPr>
      <w:bookmarkStart w:id="31" w:name="_ENREF_32"/>
      <w:r w:rsidRPr="00802DDD">
        <w:t xml:space="preserve">Molas-Gallart, J., Salter, A., Patel, P., Scott, A., &amp; Duran, X. (2002). Measuring third stream activities. </w:t>
      </w:r>
      <w:r w:rsidRPr="00802DDD">
        <w:rPr>
          <w:i/>
        </w:rPr>
        <w:t>Final report to the Russell Group of Universities. Brighton: SPRU, University of Sussex</w:t>
      </w:r>
      <w:r w:rsidRPr="00802DDD">
        <w:t>,</w:t>
      </w:r>
      <w:r w:rsidRPr="00802DDD">
        <w:rPr>
          <w:i/>
        </w:rPr>
        <w:t xml:space="preserve"> 81</w:t>
      </w:r>
      <w:r w:rsidRPr="00802DDD">
        <w:t xml:space="preserve">. </w:t>
      </w:r>
      <w:bookmarkEnd w:id="31"/>
    </w:p>
    <w:p w14:paraId="6E1D57CB" w14:textId="2F309A90" w:rsidR="00802DDD" w:rsidRPr="00802DDD" w:rsidRDefault="00802DDD" w:rsidP="00802DDD">
      <w:pPr>
        <w:pStyle w:val="EndNoteBibliography"/>
        <w:ind w:left="720" w:hanging="720"/>
      </w:pPr>
      <w:bookmarkStart w:id="32" w:name="_ENREF_33"/>
      <w:r w:rsidRPr="00802DDD">
        <w:t xml:space="preserve">Mostert, S. P., Ellenbroek, S. P. H., Meijer, I., van Ark, G., &amp; Klasen, E. C. (2010). Societal output and use of research performed by health research groups. </w:t>
      </w:r>
      <w:r w:rsidRPr="00802DDD">
        <w:rPr>
          <w:i/>
        </w:rPr>
        <w:t>Health research policy and systems</w:t>
      </w:r>
      <w:r w:rsidRPr="00802DDD">
        <w:t>,</w:t>
      </w:r>
      <w:r w:rsidRPr="00802DDD">
        <w:rPr>
          <w:i/>
        </w:rPr>
        <w:t xml:space="preserve"> 8</w:t>
      </w:r>
      <w:r w:rsidRPr="00802DDD">
        <w:t xml:space="preserve">(1), 30. </w:t>
      </w:r>
      <w:r w:rsidRPr="00D62859">
        <w:t>https://doi.org/Artn</w:t>
      </w:r>
      <w:r w:rsidRPr="00802DDD">
        <w:t xml:space="preserve"> 30</w:t>
      </w:r>
    </w:p>
    <w:p w14:paraId="2F5C5B4B" w14:textId="77777777" w:rsidR="00802DDD" w:rsidRPr="00802DDD" w:rsidRDefault="00802DDD" w:rsidP="00802DDD">
      <w:pPr>
        <w:pStyle w:val="EndNoteBibliography"/>
        <w:spacing w:after="0"/>
        <w:ind w:left="720" w:hanging="720"/>
      </w:pPr>
      <w:r w:rsidRPr="00802DDD">
        <w:t xml:space="preserve">10.1186/1478-4505-8-30 </w:t>
      </w:r>
      <w:bookmarkEnd w:id="32"/>
    </w:p>
    <w:p w14:paraId="466C1403" w14:textId="77777777" w:rsidR="00802DDD" w:rsidRPr="00802DDD" w:rsidRDefault="00802DDD" w:rsidP="00802DDD">
      <w:pPr>
        <w:pStyle w:val="EndNoteBibliography"/>
        <w:spacing w:after="0"/>
        <w:ind w:left="720" w:hanging="720"/>
      </w:pPr>
      <w:bookmarkStart w:id="33" w:name="_ENREF_34"/>
      <w:r w:rsidRPr="00802DDD">
        <w:t xml:space="preserve">Muhonen, R., Benneworth, P., &amp; Olmos-Peñuela, J. (2020). From productive interactions to impact pathways: Understanding the key dimensions in developing SSH research societal impact. </w:t>
      </w:r>
      <w:r w:rsidRPr="00802DDD">
        <w:rPr>
          <w:i/>
        </w:rPr>
        <w:t>Research Evaluation</w:t>
      </w:r>
      <w:r w:rsidRPr="00802DDD">
        <w:t>,</w:t>
      </w:r>
      <w:r w:rsidRPr="00802DDD">
        <w:rPr>
          <w:i/>
        </w:rPr>
        <w:t xml:space="preserve"> 29</w:t>
      </w:r>
      <w:r w:rsidRPr="00802DDD">
        <w:t xml:space="preserve">(1), 34-47. </w:t>
      </w:r>
      <w:bookmarkEnd w:id="33"/>
    </w:p>
    <w:p w14:paraId="5F56C588" w14:textId="168C4332" w:rsidR="00802DDD" w:rsidRPr="00802DDD" w:rsidRDefault="00802DDD" w:rsidP="00802DDD">
      <w:pPr>
        <w:pStyle w:val="EndNoteBibliography"/>
        <w:spacing w:after="0"/>
        <w:ind w:left="720" w:hanging="720"/>
      </w:pPr>
      <w:bookmarkStart w:id="34" w:name="_ENREF_35"/>
      <w:r w:rsidRPr="00802DDD">
        <w:t xml:space="preserve">Ochi, M., Shiro, M., Mori, J., &amp; Sakata, I. (2022). Predictive analysis of multiple future scientific impacts by embedding a heterogeneous network [Article]. </w:t>
      </w:r>
      <w:r w:rsidRPr="00802DDD">
        <w:rPr>
          <w:i/>
        </w:rPr>
        <w:t>PLoS ONE</w:t>
      </w:r>
      <w:r w:rsidRPr="00802DDD">
        <w:t>,</w:t>
      </w:r>
      <w:r w:rsidRPr="00802DDD">
        <w:rPr>
          <w:i/>
        </w:rPr>
        <w:t xml:space="preserve"> 17</w:t>
      </w:r>
      <w:r w:rsidRPr="00802DDD">
        <w:t xml:space="preserve">(9 September), Article e0274253. </w:t>
      </w:r>
      <w:r w:rsidRPr="00D62859">
        <w:t>https://doi.org/10.1371/journal.pone.0274253</w:t>
      </w:r>
      <w:r w:rsidRPr="00802DDD">
        <w:t xml:space="preserve"> </w:t>
      </w:r>
      <w:bookmarkEnd w:id="34"/>
    </w:p>
    <w:p w14:paraId="5F12C117" w14:textId="5CF6C268" w:rsidR="00802DDD" w:rsidRPr="00802DDD" w:rsidRDefault="00802DDD" w:rsidP="00802DDD">
      <w:pPr>
        <w:pStyle w:val="EndNoteBibliography"/>
        <w:spacing w:after="0"/>
        <w:ind w:left="720" w:hanging="720"/>
      </w:pPr>
      <w:bookmarkStart w:id="35" w:name="_ENREF_36"/>
      <w:r w:rsidRPr="00802DDD">
        <w:t xml:space="preserve">Pozen, R., &amp; Kline, H. (2011). Defining success for translational research organizations. </w:t>
      </w:r>
      <w:r w:rsidRPr="00802DDD">
        <w:rPr>
          <w:i/>
        </w:rPr>
        <w:t>Sci Transl Med</w:t>
      </w:r>
      <w:r w:rsidRPr="00802DDD">
        <w:t>,</w:t>
      </w:r>
      <w:r w:rsidRPr="00802DDD">
        <w:rPr>
          <w:i/>
        </w:rPr>
        <w:t xml:space="preserve"> 3</w:t>
      </w:r>
      <w:r w:rsidRPr="00802DDD">
        <w:t xml:space="preserve">(94), 94cm20. </w:t>
      </w:r>
      <w:r w:rsidRPr="00D62859">
        <w:t>https://doi.org/10.1126/scitranslmed.3002085</w:t>
      </w:r>
      <w:r w:rsidRPr="00802DDD">
        <w:t xml:space="preserve"> </w:t>
      </w:r>
      <w:bookmarkEnd w:id="35"/>
    </w:p>
    <w:p w14:paraId="5D0AA075" w14:textId="11FEB846" w:rsidR="00802DDD" w:rsidRPr="00802DDD" w:rsidRDefault="00802DDD" w:rsidP="00802DDD">
      <w:pPr>
        <w:pStyle w:val="EndNoteBibliography"/>
        <w:spacing w:after="0"/>
        <w:ind w:left="720" w:hanging="720"/>
      </w:pPr>
      <w:bookmarkStart w:id="36" w:name="_ENREF_37"/>
      <w:r w:rsidRPr="00802DDD">
        <w:t xml:space="preserve">Research Excellence Framework. (2014). </w:t>
      </w:r>
      <w:r w:rsidRPr="00802DDD">
        <w:rPr>
          <w:i/>
        </w:rPr>
        <w:t>REF 2014</w:t>
      </w:r>
      <w:r w:rsidRPr="00802DDD">
        <w:t xml:space="preserve">. </w:t>
      </w:r>
      <w:r w:rsidRPr="00D62859">
        <w:t>http://www.ref.ac.uk/about/</w:t>
      </w:r>
      <w:bookmarkEnd w:id="36"/>
    </w:p>
    <w:p w14:paraId="795E7100" w14:textId="77777777" w:rsidR="00802DDD" w:rsidRPr="00802DDD" w:rsidRDefault="00802DDD" w:rsidP="00802DDD">
      <w:pPr>
        <w:pStyle w:val="EndNoteBibliography"/>
        <w:spacing w:after="0"/>
        <w:ind w:left="720" w:hanging="720"/>
      </w:pPr>
      <w:bookmarkStart w:id="37" w:name="_ENREF_38"/>
      <w:r w:rsidRPr="00802DDD">
        <w:t xml:space="preserve">Rowe, G., &amp; Frewer, L. J. (2005). A typology of public engagement mechanisms. </w:t>
      </w:r>
      <w:r w:rsidRPr="00802DDD">
        <w:rPr>
          <w:i/>
        </w:rPr>
        <w:t>Science, Technology, &amp; Human Values</w:t>
      </w:r>
      <w:r w:rsidRPr="00802DDD">
        <w:t>,</w:t>
      </w:r>
      <w:r w:rsidRPr="00802DDD">
        <w:rPr>
          <w:i/>
        </w:rPr>
        <w:t xml:space="preserve"> 30</w:t>
      </w:r>
      <w:r w:rsidRPr="00802DDD">
        <w:t xml:space="preserve">(2), 251-290. </w:t>
      </w:r>
      <w:bookmarkEnd w:id="37"/>
    </w:p>
    <w:p w14:paraId="7A3E716A" w14:textId="4A4CF8B4" w:rsidR="00802DDD" w:rsidRPr="00802DDD" w:rsidRDefault="00802DDD" w:rsidP="00802DDD">
      <w:pPr>
        <w:pStyle w:val="EndNoteBibliography"/>
        <w:spacing w:after="0"/>
        <w:ind w:left="720" w:hanging="720"/>
      </w:pPr>
      <w:bookmarkStart w:id="38" w:name="_ENREF_39"/>
      <w:r w:rsidRPr="00802DDD">
        <w:t xml:space="preserve">Rycroft-Malone, J., Burton, C., Wilkinson, J. E., Harvey, G., McCormack, B., Baker, R., Dopson, S., Graham, I., Staniszewska, S., &amp; Thompson, C. (2015). Collective action for knowledge moblisation: a realist evaluation of the Collaborations for Leadership in applied Health Research and Care. In </w:t>
      </w:r>
      <w:r w:rsidRPr="00802DDD">
        <w:rPr>
          <w:i/>
        </w:rPr>
        <w:t>Health Services and Delivery Research</w:t>
      </w:r>
      <w:r w:rsidRPr="00802DDD">
        <w:t xml:space="preserve"> (Vol. 3). </w:t>
      </w:r>
      <w:r w:rsidRPr="00D62859">
        <w:t>https://doi.org/10.3310/hsdr03440</w:t>
      </w:r>
      <w:r w:rsidRPr="00802DDD">
        <w:t xml:space="preserve"> </w:t>
      </w:r>
      <w:bookmarkEnd w:id="38"/>
    </w:p>
    <w:p w14:paraId="3255AA8C" w14:textId="77777777" w:rsidR="00802DDD" w:rsidRPr="00802DDD" w:rsidRDefault="00802DDD" w:rsidP="00802DDD">
      <w:pPr>
        <w:pStyle w:val="EndNoteBibliography"/>
        <w:spacing w:after="0"/>
        <w:ind w:left="720" w:hanging="720"/>
      </w:pPr>
      <w:bookmarkStart w:id="39" w:name="_ENREF_40"/>
      <w:r w:rsidRPr="00802DDD">
        <w:t xml:space="preserve">Sarli, C. C., Dubinsky, E. K., &amp; Holmes, K. L. (2010). Beyond citation analysis: a model for assessment of research impact. </w:t>
      </w:r>
      <w:r w:rsidRPr="00802DDD">
        <w:rPr>
          <w:i/>
        </w:rPr>
        <w:t>Journal of the Medical Library Association: JMLA</w:t>
      </w:r>
      <w:r w:rsidRPr="00802DDD">
        <w:t>,</w:t>
      </w:r>
      <w:r w:rsidRPr="00802DDD">
        <w:rPr>
          <w:i/>
        </w:rPr>
        <w:t xml:space="preserve"> 98</w:t>
      </w:r>
      <w:r w:rsidRPr="00802DDD">
        <w:t xml:space="preserve">(1), 17. </w:t>
      </w:r>
      <w:bookmarkEnd w:id="39"/>
    </w:p>
    <w:p w14:paraId="1D4342EC" w14:textId="2B84FB0F" w:rsidR="00802DDD" w:rsidRPr="00802DDD" w:rsidRDefault="00802DDD" w:rsidP="00802DDD">
      <w:pPr>
        <w:pStyle w:val="EndNoteBibliography"/>
        <w:spacing w:after="0"/>
        <w:ind w:left="720" w:hanging="720"/>
      </w:pPr>
      <w:bookmarkStart w:id="40" w:name="_ENREF_41"/>
      <w:r w:rsidRPr="00802DDD">
        <w:t xml:space="preserve">Schapper, C. C., Dwyer, T., Tregear, G. W., Aitken, M., &amp; Clay, M. A. (2012). Research performance evaluation: the experience of an independent medical research institute. </w:t>
      </w:r>
      <w:r w:rsidRPr="00802DDD">
        <w:rPr>
          <w:i/>
        </w:rPr>
        <w:t>Aust Health Rev</w:t>
      </w:r>
      <w:r w:rsidRPr="00802DDD">
        <w:t>,</w:t>
      </w:r>
      <w:r w:rsidRPr="00802DDD">
        <w:rPr>
          <w:i/>
        </w:rPr>
        <w:t xml:space="preserve"> 36</w:t>
      </w:r>
      <w:r w:rsidRPr="00802DDD">
        <w:t xml:space="preserve">(2), 218-223. </w:t>
      </w:r>
      <w:r w:rsidRPr="00D62859">
        <w:t>https://doi.org/10.1071/AH11057</w:t>
      </w:r>
      <w:r w:rsidRPr="00802DDD">
        <w:t xml:space="preserve"> </w:t>
      </w:r>
      <w:bookmarkEnd w:id="40"/>
    </w:p>
    <w:p w14:paraId="3BD149BA" w14:textId="23843EB5" w:rsidR="00802DDD" w:rsidRPr="00802DDD" w:rsidRDefault="00802DDD" w:rsidP="00802DDD">
      <w:pPr>
        <w:pStyle w:val="EndNoteBibliography"/>
        <w:spacing w:after="0"/>
        <w:ind w:left="720" w:hanging="720"/>
      </w:pPr>
      <w:bookmarkStart w:id="41" w:name="_ENREF_42"/>
      <w:r w:rsidRPr="00802DDD">
        <w:t xml:space="preserve">Searles, A., Doran, C., Attia, J., Knight, D., Wiggers, J., Deeming, S., Mattes, J., Webb, B., Hannan, S., Ling, R., Edmunds, K., Reeves, P., &amp; Nilsson, M. (2016). An approach to measuring and </w:t>
      </w:r>
      <w:r w:rsidRPr="00802DDD">
        <w:lastRenderedPageBreak/>
        <w:t xml:space="preserve">encouraging research translation and research impact. </w:t>
      </w:r>
      <w:r w:rsidRPr="00802DDD">
        <w:rPr>
          <w:i/>
        </w:rPr>
        <w:t>Health Res Policy Syst</w:t>
      </w:r>
      <w:r w:rsidRPr="00802DDD">
        <w:t>,</w:t>
      </w:r>
      <w:r w:rsidRPr="00802DDD">
        <w:rPr>
          <w:i/>
        </w:rPr>
        <w:t xml:space="preserve"> 14</w:t>
      </w:r>
      <w:r w:rsidRPr="00802DDD">
        <w:t xml:space="preserve">(1), 60. </w:t>
      </w:r>
      <w:r w:rsidRPr="00D62859">
        <w:t>https://doi.org/10.1186/s12961-016-0131-2</w:t>
      </w:r>
      <w:r w:rsidRPr="00802DDD">
        <w:t xml:space="preserve"> </w:t>
      </w:r>
      <w:bookmarkEnd w:id="41"/>
    </w:p>
    <w:p w14:paraId="4FF1204F" w14:textId="77777777" w:rsidR="00802DDD" w:rsidRPr="00802DDD" w:rsidRDefault="00802DDD" w:rsidP="00802DDD">
      <w:pPr>
        <w:pStyle w:val="EndNoteBibliography"/>
        <w:spacing w:after="0"/>
        <w:ind w:left="720" w:hanging="720"/>
      </w:pPr>
      <w:bookmarkStart w:id="42" w:name="_ENREF_43"/>
      <w:r w:rsidRPr="00802DDD">
        <w:t xml:space="preserve">Simonton, D. K. (1997). Creative productivity: A predictive and explanatory model of career trajectories and landmarks. </w:t>
      </w:r>
      <w:r w:rsidRPr="00802DDD">
        <w:rPr>
          <w:i/>
        </w:rPr>
        <w:t>Psychological review</w:t>
      </w:r>
      <w:r w:rsidRPr="00802DDD">
        <w:t>,</w:t>
      </w:r>
      <w:r w:rsidRPr="00802DDD">
        <w:rPr>
          <w:i/>
        </w:rPr>
        <w:t xml:space="preserve"> 104</w:t>
      </w:r>
      <w:r w:rsidRPr="00802DDD">
        <w:t xml:space="preserve">(1), 66. </w:t>
      </w:r>
      <w:bookmarkEnd w:id="42"/>
    </w:p>
    <w:p w14:paraId="237BCE14" w14:textId="7E01F305" w:rsidR="00802DDD" w:rsidRPr="00802DDD" w:rsidRDefault="00802DDD" w:rsidP="00802DDD">
      <w:pPr>
        <w:pStyle w:val="EndNoteBibliography"/>
        <w:spacing w:after="0"/>
        <w:ind w:left="720" w:hanging="720"/>
      </w:pPr>
      <w:bookmarkStart w:id="43" w:name="_ENREF_44"/>
      <w:r w:rsidRPr="00802DDD">
        <w:t xml:space="preserve">Spaapen, J., Propp, T., Besselaar, P. v. d., Prins, A., Molas-Gallart, J., Tang, P., &amp; Castro-Martínez, E. (2011). </w:t>
      </w:r>
      <w:r w:rsidRPr="00802DDD">
        <w:rPr>
          <w:i/>
        </w:rPr>
        <w:t>Social Impact Assessment Methods for research and funding instruments through the study of Productive Interactions between science and society (SIAMPI)</w:t>
      </w:r>
      <w:r w:rsidRPr="00802DDD">
        <w:t xml:space="preserve">. </w:t>
      </w:r>
      <w:r w:rsidRPr="00D62859">
        <w:t>http://www.siampi.eu/12/625.bGFuZz1FTkc.html</w:t>
      </w:r>
      <w:bookmarkEnd w:id="43"/>
    </w:p>
    <w:p w14:paraId="0114F93F" w14:textId="77777777" w:rsidR="00802DDD" w:rsidRPr="00802DDD" w:rsidRDefault="00802DDD" w:rsidP="00802DDD">
      <w:pPr>
        <w:pStyle w:val="EndNoteBibliography"/>
        <w:spacing w:after="0"/>
        <w:ind w:left="720" w:hanging="720"/>
      </w:pPr>
      <w:bookmarkStart w:id="44" w:name="_ENREF_45"/>
      <w:r w:rsidRPr="00802DDD">
        <w:t xml:space="preserve">Spaapen, J., &amp; Van Drooge, L. (2011). Introducing ‘productive interactions’ in social impact assessment. </w:t>
      </w:r>
      <w:r w:rsidRPr="00802DDD">
        <w:rPr>
          <w:i/>
        </w:rPr>
        <w:t>Research Evaluation</w:t>
      </w:r>
      <w:r w:rsidRPr="00802DDD">
        <w:t>,</w:t>
      </w:r>
      <w:r w:rsidRPr="00802DDD">
        <w:rPr>
          <w:i/>
        </w:rPr>
        <w:t xml:space="preserve"> 20</w:t>
      </w:r>
      <w:r w:rsidRPr="00802DDD">
        <w:t xml:space="preserve">(3), 211-218. </w:t>
      </w:r>
      <w:bookmarkEnd w:id="44"/>
    </w:p>
    <w:p w14:paraId="5AB35C37" w14:textId="5F19149E" w:rsidR="00802DDD" w:rsidRPr="00802DDD" w:rsidRDefault="00802DDD" w:rsidP="00802DDD">
      <w:pPr>
        <w:pStyle w:val="EndNoteBibliography"/>
        <w:spacing w:after="0"/>
        <w:ind w:left="720" w:hanging="720"/>
      </w:pPr>
      <w:bookmarkStart w:id="45" w:name="_ENREF_46"/>
      <w:r w:rsidRPr="00802DDD">
        <w:t xml:space="preserve">Times Higher Education. (2018). </w:t>
      </w:r>
      <w:r w:rsidRPr="00802DDD">
        <w:rPr>
          <w:i/>
        </w:rPr>
        <w:t>World University Rankings 2019: methodology - Times Higher Education (THE)</w:t>
      </w:r>
      <w:r w:rsidRPr="00802DDD">
        <w:t xml:space="preserve">. </w:t>
      </w:r>
      <w:r w:rsidRPr="00D62859">
        <w:t>https://www.timeshighereducation.com/world-university-rankings/2018/world-ranking#!/page/0/length/-1/sort_by/scores_overall/sort_order/asc/cols/stats</w:t>
      </w:r>
      <w:bookmarkEnd w:id="45"/>
    </w:p>
    <w:p w14:paraId="59DC3700" w14:textId="77777777" w:rsidR="00802DDD" w:rsidRPr="00802DDD" w:rsidRDefault="00802DDD" w:rsidP="00802DDD">
      <w:pPr>
        <w:pStyle w:val="EndNoteBibliography"/>
        <w:spacing w:after="0"/>
        <w:ind w:left="720" w:hanging="720"/>
      </w:pPr>
      <w:bookmarkStart w:id="46" w:name="_ENREF_47"/>
      <w:r w:rsidRPr="00802DDD">
        <w:t xml:space="preserve">Van Norman, G. A., &amp; Eisenkot, R. (2017). Technology transfer: from the research bench to commercialization: part 2: the commercialization process. </w:t>
      </w:r>
      <w:r w:rsidRPr="00802DDD">
        <w:rPr>
          <w:i/>
        </w:rPr>
        <w:t>Basic to Translational Science</w:t>
      </w:r>
      <w:r w:rsidRPr="00802DDD">
        <w:t>,</w:t>
      </w:r>
      <w:r w:rsidRPr="00802DDD">
        <w:rPr>
          <w:i/>
        </w:rPr>
        <w:t xml:space="preserve"> 2</w:t>
      </w:r>
      <w:r w:rsidRPr="00802DDD">
        <w:t xml:space="preserve">(2), 197-208. </w:t>
      </w:r>
      <w:bookmarkEnd w:id="46"/>
    </w:p>
    <w:p w14:paraId="025F32A3" w14:textId="77777777" w:rsidR="00802DDD" w:rsidRPr="00802DDD" w:rsidRDefault="00802DDD" w:rsidP="00802DDD">
      <w:pPr>
        <w:pStyle w:val="EndNoteBibliography"/>
        <w:spacing w:after="0"/>
        <w:ind w:left="720" w:hanging="720"/>
      </w:pPr>
      <w:bookmarkStart w:id="47" w:name="_ENREF_48"/>
      <w:r w:rsidRPr="00802DDD">
        <w:t xml:space="preserve">VSNU, KNAW, &amp; NWO. (2010). </w:t>
      </w:r>
      <w:r w:rsidRPr="00802DDD">
        <w:rPr>
          <w:i/>
        </w:rPr>
        <w:t>Standard evaluation Protocol 2009-2015: protocol for research assessment in The Netherlands</w:t>
      </w:r>
      <w:r w:rsidRPr="00802DDD">
        <w:t xml:space="preserve">. </w:t>
      </w:r>
      <w:bookmarkEnd w:id="47"/>
    </w:p>
    <w:p w14:paraId="137535EC" w14:textId="238BB3DC" w:rsidR="00802DDD" w:rsidRPr="00802DDD" w:rsidRDefault="00802DDD" w:rsidP="00802DDD">
      <w:pPr>
        <w:pStyle w:val="EndNoteBibliography"/>
        <w:spacing w:after="0"/>
        <w:ind w:left="720" w:hanging="720"/>
      </w:pPr>
      <w:bookmarkStart w:id="48" w:name="_ENREF_49"/>
      <w:r w:rsidRPr="00802DDD">
        <w:t xml:space="preserve">Ward, R. L., Nutbeam, D., Mijnhardt, W., Nelson, P., Todd, A., Rees, M. I., Richards, J., Khan, N. N., Ho, I., &amp; Chung, S. (2023). Development of a novel and more holistic approach for assessing impact in health and medical research: The Research Impact Assessment Framework [Article]. </w:t>
      </w:r>
      <w:r w:rsidRPr="00802DDD">
        <w:rPr>
          <w:i/>
        </w:rPr>
        <w:t>Australian Health Review</w:t>
      </w:r>
      <w:r w:rsidRPr="00802DDD">
        <w:t>,</w:t>
      </w:r>
      <w:r w:rsidRPr="00802DDD">
        <w:rPr>
          <w:i/>
        </w:rPr>
        <w:t xml:space="preserve"> 47</w:t>
      </w:r>
      <w:r w:rsidRPr="00802DDD">
        <w:t xml:space="preserve">(5), 589-595. </w:t>
      </w:r>
      <w:r w:rsidRPr="00D62859">
        <w:t>https://doi.org/10.1071/AH23152</w:t>
      </w:r>
      <w:r w:rsidRPr="00802DDD">
        <w:t xml:space="preserve"> </w:t>
      </w:r>
      <w:bookmarkEnd w:id="48"/>
    </w:p>
    <w:p w14:paraId="28A165D9" w14:textId="5AEF0709" w:rsidR="00802DDD" w:rsidRPr="00802DDD" w:rsidRDefault="00802DDD" w:rsidP="00802DDD">
      <w:pPr>
        <w:pStyle w:val="EndNoteBibliography"/>
        <w:spacing w:after="0"/>
        <w:ind w:left="720" w:hanging="720"/>
      </w:pPr>
      <w:bookmarkStart w:id="49" w:name="_ENREF_50"/>
      <w:r w:rsidRPr="00802DDD">
        <w:t xml:space="preserve">Weiss, A. P. (2007). Measuring the impact of medical research: moving from outputs to outcomes. </w:t>
      </w:r>
      <w:r w:rsidRPr="00802DDD">
        <w:rPr>
          <w:i/>
        </w:rPr>
        <w:t>Am J Psychiatry</w:t>
      </w:r>
      <w:r w:rsidRPr="00802DDD">
        <w:t>,</w:t>
      </w:r>
      <w:r w:rsidRPr="00802DDD">
        <w:rPr>
          <w:i/>
        </w:rPr>
        <w:t xml:space="preserve"> 164</w:t>
      </w:r>
      <w:r w:rsidRPr="00802DDD">
        <w:t xml:space="preserve">(2), 206-214. </w:t>
      </w:r>
      <w:r w:rsidRPr="00D62859">
        <w:t>https://doi.org/10.1176/ajp.2007.164.2.206</w:t>
      </w:r>
      <w:r w:rsidRPr="00802DDD">
        <w:t xml:space="preserve"> </w:t>
      </w:r>
      <w:bookmarkEnd w:id="49"/>
    </w:p>
    <w:p w14:paraId="1D722718" w14:textId="77777777" w:rsidR="00802DDD" w:rsidRPr="00802DDD" w:rsidRDefault="00802DDD" w:rsidP="00802DDD">
      <w:pPr>
        <w:pStyle w:val="EndNoteBibliography"/>
        <w:spacing w:after="0"/>
        <w:ind w:left="720" w:hanging="720"/>
      </w:pPr>
      <w:bookmarkStart w:id="50" w:name="_ENREF_51"/>
      <w:r w:rsidRPr="00802DDD">
        <w:t xml:space="preserve">Weiss, C. H. (1980). Knowledge creep and decision accretion. </w:t>
      </w:r>
      <w:r w:rsidRPr="00802DDD">
        <w:rPr>
          <w:i/>
        </w:rPr>
        <w:t>Knowledge</w:t>
      </w:r>
      <w:r w:rsidRPr="00802DDD">
        <w:t>,</w:t>
      </w:r>
      <w:r w:rsidRPr="00802DDD">
        <w:rPr>
          <w:i/>
        </w:rPr>
        <w:t xml:space="preserve"> 1</w:t>
      </w:r>
      <w:r w:rsidRPr="00802DDD">
        <w:t xml:space="preserve">(3), 381-404. </w:t>
      </w:r>
      <w:bookmarkEnd w:id="50"/>
    </w:p>
    <w:p w14:paraId="0ED6966C" w14:textId="77777777" w:rsidR="00802DDD" w:rsidRPr="00802DDD" w:rsidRDefault="00802DDD" w:rsidP="00802DDD">
      <w:pPr>
        <w:pStyle w:val="EndNoteBibliography"/>
        <w:spacing w:after="0"/>
        <w:ind w:left="720" w:hanging="720"/>
      </w:pPr>
      <w:bookmarkStart w:id="51" w:name="_ENREF_52"/>
      <w:r w:rsidRPr="00802DDD">
        <w:t xml:space="preserve">Wellcome Trust. (2009). </w:t>
      </w:r>
      <w:r w:rsidRPr="00802DDD">
        <w:rPr>
          <w:i/>
        </w:rPr>
        <w:t>How we are making a difference: Assessment Framework Report Summary 2008/09</w:t>
      </w:r>
      <w:r w:rsidRPr="00802DDD">
        <w:t xml:space="preserve">. </w:t>
      </w:r>
      <w:bookmarkEnd w:id="51"/>
    </w:p>
    <w:p w14:paraId="795EA31F" w14:textId="77777777" w:rsidR="00802DDD" w:rsidRPr="00802DDD" w:rsidRDefault="00802DDD" w:rsidP="00802DDD">
      <w:pPr>
        <w:pStyle w:val="EndNoteBibliography"/>
        <w:spacing w:after="0"/>
        <w:ind w:left="720" w:hanging="720"/>
      </w:pPr>
      <w:bookmarkStart w:id="52" w:name="_ENREF_53"/>
      <w:r w:rsidRPr="00802DDD">
        <w:t>Wiegers, S. E., Houser, S. R., Pearson, H. E., Untalan, A., Cheung, J. Y., Fisher, S. G., Kaiser, L. R., &amp; Feldman, A. M. (2015). A Metric</w:t>
      </w:r>
      <w:r w:rsidRPr="00802DDD">
        <w:rPr>
          <w:rFonts w:ascii="Cambria Math" w:hAnsi="Cambria Math" w:cs="Cambria Math"/>
        </w:rPr>
        <w:t>‐</w:t>
      </w:r>
      <w:r w:rsidRPr="00802DDD">
        <w:t xml:space="preserve">Based System for Evaluating the Productivity of Preclinical Faculty at an Academic Medical Center in the Era of Clinical and Translational Science. </w:t>
      </w:r>
      <w:r w:rsidRPr="00802DDD">
        <w:rPr>
          <w:i/>
        </w:rPr>
        <w:t>Clinical and translational science</w:t>
      </w:r>
      <w:r w:rsidRPr="00802DDD">
        <w:t>,</w:t>
      </w:r>
      <w:r w:rsidRPr="00802DDD">
        <w:rPr>
          <w:i/>
        </w:rPr>
        <w:t xml:space="preserve"> 8</w:t>
      </w:r>
      <w:r w:rsidRPr="00802DDD">
        <w:t xml:space="preserve">(4), 357-361. </w:t>
      </w:r>
      <w:bookmarkEnd w:id="52"/>
    </w:p>
    <w:p w14:paraId="276EC2EE" w14:textId="77777777" w:rsidR="00802DDD" w:rsidRPr="00802DDD" w:rsidRDefault="00802DDD" w:rsidP="00802DDD">
      <w:pPr>
        <w:pStyle w:val="EndNoteBibliography"/>
        <w:ind w:left="720" w:hanging="720"/>
      </w:pPr>
      <w:bookmarkStart w:id="53" w:name="_ENREF_54"/>
      <w:r w:rsidRPr="00802DDD">
        <w:t xml:space="preserve">Williams, V. L., Eiseman, E., Landree, E., &amp; Adamson, D. (2009). Demonstrating and communicating research impact preparing NIOSH programs for external review. </w:t>
      </w:r>
      <w:r w:rsidRPr="00802DDD">
        <w:rPr>
          <w:i/>
        </w:rPr>
        <w:t>Santa Monica: RAND Corporation</w:t>
      </w:r>
      <w:r w:rsidRPr="00802DDD">
        <w:t xml:space="preserve">. </w:t>
      </w:r>
      <w:bookmarkEnd w:id="53"/>
    </w:p>
    <w:p w14:paraId="4E413A82" w14:textId="45D457AD" w:rsidR="00802DDD" w:rsidRDefault="00802DDD" w:rsidP="00802DDD">
      <w:pPr>
        <w:pStyle w:val="EndNoteBibliography"/>
        <w:ind w:left="720" w:hanging="720"/>
      </w:pPr>
    </w:p>
    <w:p w14:paraId="1F878E92" w14:textId="77777777" w:rsidR="007B1059" w:rsidRDefault="007B1059" w:rsidP="007B1059"/>
    <w:p w14:paraId="252C83F6" w14:textId="77777777" w:rsidR="00796F18" w:rsidRDefault="00796F18" w:rsidP="007B1059"/>
    <w:p w14:paraId="4EF59CC0" w14:textId="7BD800D4" w:rsidR="007B1059" w:rsidRDefault="007B1059">
      <w:pPr>
        <w:spacing w:line="259" w:lineRule="auto"/>
        <w:jc w:val="left"/>
      </w:pPr>
    </w:p>
    <w:sectPr w:rsidR="007B1059" w:rsidSect="001C6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B2F"/>
    <w:multiLevelType w:val="multilevel"/>
    <w:tmpl w:val="D318DD2C"/>
    <w:lvl w:ilvl="0">
      <w:start w:val="1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C443638"/>
    <w:multiLevelType w:val="multilevel"/>
    <w:tmpl w:val="E7727C8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pStyle w:val="PhDAppendixSub-heading"/>
      <w:suff w:val="nothing"/>
      <w:lvlText w:val="Appendix %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F37A55"/>
    <w:multiLevelType w:val="multilevel"/>
    <w:tmpl w:val="CC28BC0E"/>
    <w:numStyleLink w:val="Dataset"/>
  </w:abstractNum>
  <w:abstractNum w:abstractNumId="3" w15:restartNumberingAfterBreak="0">
    <w:nsid w:val="1494322A"/>
    <w:multiLevelType w:val="multilevel"/>
    <w:tmpl w:val="0C34A1E2"/>
    <w:lvl w:ilvl="0">
      <w:start w:val="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9435905"/>
    <w:multiLevelType w:val="multilevel"/>
    <w:tmpl w:val="CC28BC0E"/>
    <w:numStyleLink w:val="Dataset"/>
  </w:abstractNum>
  <w:abstractNum w:abstractNumId="5" w15:restartNumberingAfterBreak="0">
    <w:nsid w:val="1A264D4E"/>
    <w:multiLevelType w:val="multilevel"/>
    <w:tmpl w:val="E84661DC"/>
    <w:numStyleLink w:val="AnnexureHeading"/>
  </w:abstractNum>
  <w:abstractNum w:abstractNumId="6" w15:restartNumberingAfterBreak="0">
    <w:nsid w:val="1A2A7120"/>
    <w:multiLevelType w:val="multilevel"/>
    <w:tmpl w:val="CC28BC0E"/>
    <w:numStyleLink w:val="Dataset"/>
  </w:abstractNum>
  <w:abstractNum w:abstractNumId="7" w15:restartNumberingAfterBreak="0">
    <w:nsid w:val="1ABB364A"/>
    <w:multiLevelType w:val="multilevel"/>
    <w:tmpl w:val="CC28BC0E"/>
    <w:numStyleLink w:val="Dataset"/>
  </w:abstractNum>
  <w:abstractNum w:abstractNumId="8" w15:restartNumberingAfterBreak="0">
    <w:nsid w:val="1EAF4AD0"/>
    <w:multiLevelType w:val="multilevel"/>
    <w:tmpl w:val="39003C6E"/>
    <w:lvl w:ilvl="0">
      <w:start w:val="1"/>
      <w:numFmt w:val="decimal"/>
      <w:pStyle w:val="Heading1"/>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EC22CC0"/>
    <w:multiLevelType w:val="multilevel"/>
    <w:tmpl w:val="EF36B380"/>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6967957"/>
    <w:multiLevelType w:val="multilevel"/>
    <w:tmpl w:val="8DC6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E276E"/>
    <w:multiLevelType w:val="multilevel"/>
    <w:tmpl w:val="8550CC82"/>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3" w15:restartNumberingAfterBreak="0">
    <w:nsid w:val="3BBC5537"/>
    <w:multiLevelType w:val="multilevel"/>
    <w:tmpl w:val="CC28BC0E"/>
    <w:styleLink w:val="Dataset"/>
    <w:lvl w:ilvl="0">
      <w:start w:val="1"/>
      <w:numFmt w:val="decimal"/>
      <w:pStyle w:val="DatabaseHeading1"/>
      <w:lvlText w:val="Dataset %1: "/>
      <w:lvlJc w:val="left"/>
      <w:pPr>
        <w:ind w:left="360" w:hanging="360"/>
      </w:pPr>
      <w:rPr>
        <w:rFonts w:asciiTheme="majorBidi" w:hAnsiTheme="majorBidi" w:cs="Times New Roman"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F60B35"/>
    <w:multiLevelType w:val="multilevel"/>
    <w:tmpl w:val="E84661DC"/>
    <w:styleLink w:val="AnnexureHeading"/>
    <w:lvl w:ilvl="0">
      <w:start w:val="1"/>
      <w:numFmt w:val="decimal"/>
      <w:pStyle w:val="AnnexureHeading1"/>
      <w:lvlText w:val="Annexure %1:"/>
      <w:lvlJc w:val="left"/>
      <w:pPr>
        <w:tabs>
          <w:tab w:val="num" w:pos="2126"/>
        </w:tabs>
        <w:ind w:left="2126" w:hanging="2126"/>
      </w:pPr>
      <w:rPr>
        <w:rFonts w:ascii="Times New Roman" w:hAnsi="Times New Roman" w:hint="default"/>
        <w:b/>
        <w:i w:val="0"/>
        <w:color w:val="auto"/>
        <w:sz w:val="32"/>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147573A"/>
    <w:multiLevelType w:val="multilevel"/>
    <w:tmpl w:val="5426A25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49E79B6"/>
    <w:multiLevelType w:val="multilevel"/>
    <w:tmpl w:val="CC28BC0E"/>
    <w:numStyleLink w:val="Dataset"/>
  </w:abstractNum>
  <w:abstractNum w:abstractNumId="18"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15:restartNumberingAfterBreak="0">
    <w:nsid w:val="625A6140"/>
    <w:multiLevelType w:val="multilevel"/>
    <w:tmpl w:val="CC28BC0E"/>
    <w:numStyleLink w:val="Dataset"/>
  </w:abstractNum>
  <w:abstractNum w:abstractNumId="20" w15:restartNumberingAfterBreak="0">
    <w:nsid w:val="693E41C9"/>
    <w:multiLevelType w:val="multilevel"/>
    <w:tmpl w:val="EA02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D006A6"/>
    <w:multiLevelType w:val="multilevel"/>
    <w:tmpl w:val="69880DEC"/>
    <w:lvl w:ilvl="0">
      <w:start w:val="7"/>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6C8E62C0"/>
    <w:multiLevelType w:val="multilevel"/>
    <w:tmpl w:val="CC28BC0E"/>
    <w:numStyleLink w:val="Dataset"/>
  </w:abstractNum>
  <w:abstractNum w:abstractNumId="23" w15:restartNumberingAfterBreak="0">
    <w:nsid w:val="6E311160"/>
    <w:multiLevelType w:val="hybridMultilevel"/>
    <w:tmpl w:val="B79668AE"/>
    <w:lvl w:ilvl="0" w:tplc="607AB69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pStyle w:val="TableBullets"/>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E70487"/>
    <w:multiLevelType w:val="multilevel"/>
    <w:tmpl w:val="CC28BC0E"/>
    <w:numStyleLink w:val="Dataset"/>
  </w:abstractNum>
  <w:abstractNum w:abstractNumId="25" w15:restartNumberingAfterBreak="0">
    <w:nsid w:val="78F4041F"/>
    <w:multiLevelType w:val="multilevel"/>
    <w:tmpl w:val="39E0B77C"/>
    <w:lvl w:ilvl="0">
      <w:start w:val="9"/>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050350189">
    <w:abstractNumId w:val="18"/>
  </w:num>
  <w:num w:numId="2" w16cid:durableId="5955547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2707672">
    <w:abstractNumId w:val="1"/>
  </w:num>
  <w:num w:numId="4" w16cid:durableId="1679041323">
    <w:abstractNumId w:val="8"/>
  </w:num>
  <w:num w:numId="5" w16cid:durableId="20366148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7485369">
    <w:abstractNumId w:val="15"/>
  </w:num>
  <w:num w:numId="7" w16cid:durableId="1482695702">
    <w:abstractNumId w:val="5"/>
  </w:num>
  <w:num w:numId="8" w16cid:durableId="894901018">
    <w:abstractNumId w:val="11"/>
  </w:num>
  <w:num w:numId="9" w16cid:durableId="2130510183">
    <w:abstractNumId w:val="25"/>
  </w:num>
  <w:num w:numId="10" w16cid:durableId="699353404">
    <w:abstractNumId w:val="0"/>
  </w:num>
  <w:num w:numId="11" w16cid:durableId="680351476">
    <w:abstractNumId w:val="16"/>
  </w:num>
  <w:num w:numId="12" w16cid:durableId="520317966">
    <w:abstractNumId w:val="3"/>
  </w:num>
  <w:num w:numId="13" w16cid:durableId="908148535">
    <w:abstractNumId w:val="9"/>
  </w:num>
  <w:num w:numId="14" w16cid:durableId="2082479812">
    <w:abstractNumId w:val="21"/>
  </w:num>
  <w:num w:numId="15" w16cid:durableId="1623267824">
    <w:abstractNumId w:val="23"/>
  </w:num>
  <w:num w:numId="16" w16cid:durableId="1113091505">
    <w:abstractNumId w:val="10"/>
  </w:num>
  <w:num w:numId="17" w16cid:durableId="1784616847">
    <w:abstractNumId w:val="20"/>
  </w:num>
  <w:num w:numId="18" w16cid:durableId="1069884054">
    <w:abstractNumId w:val="13"/>
  </w:num>
  <w:num w:numId="19" w16cid:durableId="846024052">
    <w:abstractNumId w:val="24"/>
  </w:num>
  <w:num w:numId="20" w16cid:durableId="100540365">
    <w:abstractNumId w:val="7"/>
  </w:num>
  <w:num w:numId="21" w16cid:durableId="1201822429">
    <w:abstractNumId w:val="4"/>
  </w:num>
  <w:num w:numId="22" w16cid:durableId="636843036">
    <w:abstractNumId w:val="17"/>
  </w:num>
  <w:num w:numId="23" w16cid:durableId="475878972">
    <w:abstractNumId w:val="22"/>
  </w:num>
  <w:num w:numId="24" w16cid:durableId="1251701628">
    <w:abstractNumId w:val="6"/>
  </w:num>
  <w:num w:numId="25" w16cid:durableId="1420717538">
    <w:abstractNumId w:val="19"/>
  </w:num>
  <w:num w:numId="26" w16cid:durableId="96207991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Libraries&gt;"/>
  </w:docVars>
  <w:rsids>
    <w:rsidRoot w:val="00D360D2"/>
    <w:rsid w:val="00000D8F"/>
    <w:rsid w:val="000123EC"/>
    <w:rsid w:val="00012DA5"/>
    <w:rsid w:val="00020C7C"/>
    <w:rsid w:val="000232EF"/>
    <w:rsid w:val="00037877"/>
    <w:rsid w:val="0004280E"/>
    <w:rsid w:val="00061833"/>
    <w:rsid w:val="00061889"/>
    <w:rsid w:val="00080ED1"/>
    <w:rsid w:val="00081F8C"/>
    <w:rsid w:val="00082908"/>
    <w:rsid w:val="000A35F5"/>
    <w:rsid w:val="000A42FF"/>
    <w:rsid w:val="000A4364"/>
    <w:rsid w:val="000A6884"/>
    <w:rsid w:val="000B14E9"/>
    <w:rsid w:val="000B3D25"/>
    <w:rsid w:val="000B4408"/>
    <w:rsid w:val="000C37DC"/>
    <w:rsid w:val="000D2854"/>
    <w:rsid w:val="000D2FDB"/>
    <w:rsid w:val="000E4E8C"/>
    <w:rsid w:val="000E6005"/>
    <w:rsid w:val="000F7F8E"/>
    <w:rsid w:val="0010293B"/>
    <w:rsid w:val="00102BFD"/>
    <w:rsid w:val="001100E4"/>
    <w:rsid w:val="001123C3"/>
    <w:rsid w:val="00113AAB"/>
    <w:rsid w:val="00113EEF"/>
    <w:rsid w:val="0011515B"/>
    <w:rsid w:val="001317C6"/>
    <w:rsid w:val="00131954"/>
    <w:rsid w:val="0013492B"/>
    <w:rsid w:val="00141A2D"/>
    <w:rsid w:val="0014775E"/>
    <w:rsid w:val="00150DED"/>
    <w:rsid w:val="00152892"/>
    <w:rsid w:val="00174DE1"/>
    <w:rsid w:val="00177F68"/>
    <w:rsid w:val="0019080D"/>
    <w:rsid w:val="00192E7E"/>
    <w:rsid w:val="001A14D7"/>
    <w:rsid w:val="001A5795"/>
    <w:rsid w:val="001C53C5"/>
    <w:rsid w:val="001C6DE2"/>
    <w:rsid w:val="001C6EEB"/>
    <w:rsid w:val="001C743C"/>
    <w:rsid w:val="001D0382"/>
    <w:rsid w:val="001D09DB"/>
    <w:rsid w:val="001D1352"/>
    <w:rsid w:val="001E6B65"/>
    <w:rsid w:val="001F02BF"/>
    <w:rsid w:val="001F3291"/>
    <w:rsid w:val="001F4B03"/>
    <w:rsid w:val="0020040F"/>
    <w:rsid w:val="0020095B"/>
    <w:rsid w:val="00206FC8"/>
    <w:rsid w:val="0021158E"/>
    <w:rsid w:val="0022021A"/>
    <w:rsid w:val="00220A04"/>
    <w:rsid w:val="00221948"/>
    <w:rsid w:val="00225BD6"/>
    <w:rsid w:val="0023054C"/>
    <w:rsid w:val="00232C85"/>
    <w:rsid w:val="00240037"/>
    <w:rsid w:val="00241475"/>
    <w:rsid w:val="00244C60"/>
    <w:rsid w:val="00252378"/>
    <w:rsid w:val="00256359"/>
    <w:rsid w:val="002566BB"/>
    <w:rsid w:val="0027251C"/>
    <w:rsid w:val="00275420"/>
    <w:rsid w:val="00275A7D"/>
    <w:rsid w:val="00280707"/>
    <w:rsid w:val="00285F22"/>
    <w:rsid w:val="002869AF"/>
    <w:rsid w:val="00297013"/>
    <w:rsid w:val="002A294B"/>
    <w:rsid w:val="002A5EB3"/>
    <w:rsid w:val="002B0005"/>
    <w:rsid w:val="002B540F"/>
    <w:rsid w:val="002B62C2"/>
    <w:rsid w:val="002C0FC7"/>
    <w:rsid w:val="002C53CF"/>
    <w:rsid w:val="002C54C3"/>
    <w:rsid w:val="002D47A4"/>
    <w:rsid w:val="002E5B63"/>
    <w:rsid w:val="002E7936"/>
    <w:rsid w:val="002F079D"/>
    <w:rsid w:val="002F1028"/>
    <w:rsid w:val="002F17E6"/>
    <w:rsid w:val="002F1B3E"/>
    <w:rsid w:val="002F5184"/>
    <w:rsid w:val="002F5912"/>
    <w:rsid w:val="002F72BE"/>
    <w:rsid w:val="002F7FA5"/>
    <w:rsid w:val="00306A91"/>
    <w:rsid w:val="00321CBB"/>
    <w:rsid w:val="00333523"/>
    <w:rsid w:val="003362E4"/>
    <w:rsid w:val="003404AC"/>
    <w:rsid w:val="00345D14"/>
    <w:rsid w:val="00350990"/>
    <w:rsid w:val="00353457"/>
    <w:rsid w:val="00357F12"/>
    <w:rsid w:val="00372E39"/>
    <w:rsid w:val="003749B3"/>
    <w:rsid w:val="00375370"/>
    <w:rsid w:val="00381A21"/>
    <w:rsid w:val="0038206D"/>
    <w:rsid w:val="00385520"/>
    <w:rsid w:val="003856B2"/>
    <w:rsid w:val="00390654"/>
    <w:rsid w:val="003B03AA"/>
    <w:rsid w:val="003B356F"/>
    <w:rsid w:val="003B5EDD"/>
    <w:rsid w:val="003C236E"/>
    <w:rsid w:val="003C630E"/>
    <w:rsid w:val="003C6CC2"/>
    <w:rsid w:val="003D414D"/>
    <w:rsid w:val="003E0759"/>
    <w:rsid w:val="003E22E7"/>
    <w:rsid w:val="003E4293"/>
    <w:rsid w:val="003F3947"/>
    <w:rsid w:val="003F54E8"/>
    <w:rsid w:val="00406979"/>
    <w:rsid w:val="0040723D"/>
    <w:rsid w:val="00417E79"/>
    <w:rsid w:val="004208E6"/>
    <w:rsid w:val="0042229D"/>
    <w:rsid w:val="0042396A"/>
    <w:rsid w:val="004250F6"/>
    <w:rsid w:val="004269D0"/>
    <w:rsid w:val="004317C8"/>
    <w:rsid w:val="00433D7D"/>
    <w:rsid w:val="00435A0F"/>
    <w:rsid w:val="00435DAC"/>
    <w:rsid w:val="004372CF"/>
    <w:rsid w:val="00441A1A"/>
    <w:rsid w:val="00441D3A"/>
    <w:rsid w:val="00442FA5"/>
    <w:rsid w:val="004452C1"/>
    <w:rsid w:val="0044779A"/>
    <w:rsid w:val="00450C05"/>
    <w:rsid w:val="004535FE"/>
    <w:rsid w:val="004579BF"/>
    <w:rsid w:val="00460BBD"/>
    <w:rsid w:val="004728B6"/>
    <w:rsid w:val="00472C9C"/>
    <w:rsid w:val="0048088A"/>
    <w:rsid w:val="0048234B"/>
    <w:rsid w:val="004832C3"/>
    <w:rsid w:val="004869FE"/>
    <w:rsid w:val="00490105"/>
    <w:rsid w:val="004A0BE7"/>
    <w:rsid w:val="004A5D4C"/>
    <w:rsid w:val="004A64DC"/>
    <w:rsid w:val="004B29CD"/>
    <w:rsid w:val="004C5D1C"/>
    <w:rsid w:val="004D779C"/>
    <w:rsid w:val="004E1D3D"/>
    <w:rsid w:val="004E3577"/>
    <w:rsid w:val="004E4057"/>
    <w:rsid w:val="004F0CAF"/>
    <w:rsid w:val="004F66B8"/>
    <w:rsid w:val="00502D45"/>
    <w:rsid w:val="00503A4A"/>
    <w:rsid w:val="00522F2D"/>
    <w:rsid w:val="00524440"/>
    <w:rsid w:val="00526AA3"/>
    <w:rsid w:val="005315AC"/>
    <w:rsid w:val="005320E5"/>
    <w:rsid w:val="00535AEB"/>
    <w:rsid w:val="0053750E"/>
    <w:rsid w:val="005551FC"/>
    <w:rsid w:val="0055700A"/>
    <w:rsid w:val="00562901"/>
    <w:rsid w:val="00564BDD"/>
    <w:rsid w:val="00565B39"/>
    <w:rsid w:val="00567BA7"/>
    <w:rsid w:val="00574317"/>
    <w:rsid w:val="00574FBA"/>
    <w:rsid w:val="00583905"/>
    <w:rsid w:val="00583991"/>
    <w:rsid w:val="00584131"/>
    <w:rsid w:val="0058581D"/>
    <w:rsid w:val="00585B45"/>
    <w:rsid w:val="0058658C"/>
    <w:rsid w:val="00587291"/>
    <w:rsid w:val="00591145"/>
    <w:rsid w:val="005962F7"/>
    <w:rsid w:val="00597076"/>
    <w:rsid w:val="005A6747"/>
    <w:rsid w:val="005B4C57"/>
    <w:rsid w:val="005C2927"/>
    <w:rsid w:val="005D2120"/>
    <w:rsid w:val="005E1044"/>
    <w:rsid w:val="005E2142"/>
    <w:rsid w:val="005E27EE"/>
    <w:rsid w:val="005F4348"/>
    <w:rsid w:val="005F7629"/>
    <w:rsid w:val="0062026C"/>
    <w:rsid w:val="006257E3"/>
    <w:rsid w:val="00627063"/>
    <w:rsid w:val="00634196"/>
    <w:rsid w:val="006410BF"/>
    <w:rsid w:val="00653C4D"/>
    <w:rsid w:val="0065401D"/>
    <w:rsid w:val="00657C24"/>
    <w:rsid w:val="00662D42"/>
    <w:rsid w:val="0066650B"/>
    <w:rsid w:val="006717AB"/>
    <w:rsid w:val="00673DC4"/>
    <w:rsid w:val="00677851"/>
    <w:rsid w:val="00681A1E"/>
    <w:rsid w:val="00681F06"/>
    <w:rsid w:val="00683FE2"/>
    <w:rsid w:val="00697B43"/>
    <w:rsid w:val="006A105F"/>
    <w:rsid w:val="006A2390"/>
    <w:rsid w:val="006B7803"/>
    <w:rsid w:val="006C01C5"/>
    <w:rsid w:val="006C2D7C"/>
    <w:rsid w:val="006C5689"/>
    <w:rsid w:val="006D1733"/>
    <w:rsid w:val="006D4917"/>
    <w:rsid w:val="006D4949"/>
    <w:rsid w:val="006D675C"/>
    <w:rsid w:val="006E2E49"/>
    <w:rsid w:val="006E309E"/>
    <w:rsid w:val="006E3DCC"/>
    <w:rsid w:val="006E3F10"/>
    <w:rsid w:val="006E66A1"/>
    <w:rsid w:val="006F136D"/>
    <w:rsid w:val="006F2A20"/>
    <w:rsid w:val="007030E4"/>
    <w:rsid w:val="00703DAC"/>
    <w:rsid w:val="00710D9F"/>
    <w:rsid w:val="0071135F"/>
    <w:rsid w:val="00712B52"/>
    <w:rsid w:val="00712DD3"/>
    <w:rsid w:val="00716E71"/>
    <w:rsid w:val="007207FE"/>
    <w:rsid w:val="00723583"/>
    <w:rsid w:val="00726439"/>
    <w:rsid w:val="0072746F"/>
    <w:rsid w:val="007431AB"/>
    <w:rsid w:val="0074681E"/>
    <w:rsid w:val="0075306A"/>
    <w:rsid w:val="00756552"/>
    <w:rsid w:val="00760641"/>
    <w:rsid w:val="00765CA7"/>
    <w:rsid w:val="00771808"/>
    <w:rsid w:val="00773585"/>
    <w:rsid w:val="00774692"/>
    <w:rsid w:val="007832D3"/>
    <w:rsid w:val="00793FB7"/>
    <w:rsid w:val="007940B4"/>
    <w:rsid w:val="007945A4"/>
    <w:rsid w:val="0079579F"/>
    <w:rsid w:val="00795AE7"/>
    <w:rsid w:val="00796F18"/>
    <w:rsid w:val="007A5B5D"/>
    <w:rsid w:val="007A63F4"/>
    <w:rsid w:val="007A7F25"/>
    <w:rsid w:val="007B1059"/>
    <w:rsid w:val="007B11C6"/>
    <w:rsid w:val="007B2119"/>
    <w:rsid w:val="007B3B3D"/>
    <w:rsid w:val="007B58E7"/>
    <w:rsid w:val="007B681B"/>
    <w:rsid w:val="007C1EC4"/>
    <w:rsid w:val="007C2C5B"/>
    <w:rsid w:val="007F1076"/>
    <w:rsid w:val="007F1A0C"/>
    <w:rsid w:val="007F386E"/>
    <w:rsid w:val="007F5C29"/>
    <w:rsid w:val="00802DDD"/>
    <w:rsid w:val="00803A87"/>
    <w:rsid w:val="00804AFC"/>
    <w:rsid w:val="00806788"/>
    <w:rsid w:val="0081152E"/>
    <w:rsid w:val="00815974"/>
    <w:rsid w:val="008160DB"/>
    <w:rsid w:val="008224AE"/>
    <w:rsid w:val="008234B6"/>
    <w:rsid w:val="008276BC"/>
    <w:rsid w:val="00827D93"/>
    <w:rsid w:val="00832CBE"/>
    <w:rsid w:val="00837157"/>
    <w:rsid w:val="00843EEC"/>
    <w:rsid w:val="008461B5"/>
    <w:rsid w:val="0084647C"/>
    <w:rsid w:val="008466EE"/>
    <w:rsid w:val="0085167C"/>
    <w:rsid w:val="00854E08"/>
    <w:rsid w:val="00856583"/>
    <w:rsid w:val="00857B8D"/>
    <w:rsid w:val="00865B9D"/>
    <w:rsid w:val="008710F5"/>
    <w:rsid w:val="008A2A6A"/>
    <w:rsid w:val="008A7431"/>
    <w:rsid w:val="008B3E10"/>
    <w:rsid w:val="008C0B2B"/>
    <w:rsid w:val="008C2B84"/>
    <w:rsid w:val="008C3A75"/>
    <w:rsid w:val="008C4F3C"/>
    <w:rsid w:val="008D4FDB"/>
    <w:rsid w:val="008E3962"/>
    <w:rsid w:val="008E5AF7"/>
    <w:rsid w:val="008E6DD7"/>
    <w:rsid w:val="008F0A5A"/>
    <w:rsid w:val="008F504A"/>
    <w:rsid w:val="00904F29"/>
    <w:rsid w:val="00905AD3"/>
    <w:rsid w:val="00907D0B"/>
    <w:rsid w:val="00920519"/>
    <w:rsid w:val="00920532"/>
    <w:rsid w:val="00920E03"/>
    <w:rsid w:val="00932DAE"/>
    <w:rsid w:val="009332C2"/>
    <w:rsid w:val="00933BA1"/>
    <w:rsid w:val="00935C34"/>
    <w:rsid w:val="0094209F"/>
    <w:rsid w:val="00951A39"/>
    <w:rsid w:val="00953E8F"/>
    <w:rsid w:val="0095433E"/>
    <w:rsid w:val="0096360A"/>
    <w:rsid w:val="00976F25"/>
    <w:rsid w:val="009830CC"/>
    <w:rsid w:val="00986DA6"/>
    <w:rsid w:val="009936A8"/>
    <w:rsid w:val="009B08E1"/>
    <w:rsid w:val="009B5C28"/>
    <w:rsid w:val="009B61DE"/>
    <w:rsid w:val="009B6716"/>
    <w:rsid w:val="009D1E56"/>
    <w:rsid w:val="009D6A31"/>
    <w:rsid w:val="009E16A1"/>
    <w:rsid w:val="009E229C"/>
    <w:rsid w:val="009F76BB"/>
    <w:rsid w:val="00A00453"/>
    <w:rsid w:val="00A06D78"/>
    <w:rsid w:val="00A12AB8"/>
    <w:rsid w:val="00A1660D"/>
    <w:rsid w:val="00A26D84"/>
    <w:rsid w:val="00A353BD"/>
    <w:rsid w:val="00A35D95"/>
    <w:rsid w:val="00A4096A"/>
    <w:rsid w:val="00A47689"/>
    <w:rsid w:val="00A50C6A"/>
    <w:rsid w:val="00A5112D"/>
    <w:rsid w:val="00A6587C"/>
    <w:rsid w:val="00A70C49"/>
    <w:rsid w:val="00A721FE"/>
    <w:rsid w:val="00A73A63"/>
    <w:rsid w:val="00A73ECD"/>
    <w:rsid w:val="00A83B0B"/>
    <w:rsid w:val="00A857FC"/>
    <w:rsid w:val="00A858BE"/>
    <w:rsid w:val="00A93C41"/>
    <w:rsid w:val="00A96330"/>
    <w:rsid w:val="00AA70AF"/>
    <w:rsid w:val="00AA7127"/>
    <w:rsid w:val="00AB1D1D"/>
    <w:rsid w:val="00AB498B"/>
    <w:rsid w:val="00AC4857"/>
    <w:rsid w:val="00AC4F2D"/>
    <w:rsid w:val="00AC731D"/>
    <w:rsid w:val="00AD4FFB"/>
    <w:rsid w:val="00AD69DE"/>
    <w:rsid w:val="00AE0A4C"/>
    <w:rsid w:val="00AE2749"/>
    <w:rsid w:val="00B000F4"/>
    <w:rsid w:val="00B03352"/>
    <w:rsid w:val="00B1025C"/>
    <w:rsid w:val="00B1075B"/>
    <w:rsid w:val="00B11CCC"/>
    <w:rsid w:val="00B1338C"/>
    <w:rsid w:val="00B26608"/>
    <w:rsid w:val="00B3152C"/>
    <w:rsid w:val="00B331A0"/>
    <w:rsid w:val="00B37C97"/>
    <w:rsid w:val="00B41FAD"/>
    <w:rsid w:val="00B42EDB"/>
    <w:rsid w:val="00B45E44"/>
    <w:rsid w:val="00B46626"/>
    <w:rsid w:val="00B466CF"/>
    <w:rsid w:val="00B631BE"/>
    <w:rsid w:val="00B631DC"/>
    <w:rsid w:val="00B6436B"/>
    <w:rsid w:val="00B73A52"/>
    <w:rsid w:val="00B75F1A"/>
    <w:rsid w:val="00B87C99"/>
    <w:rsid w:val="00B92E8F"/>
    <w:rsid w:val="00B95835"/>
    <w:rsid w:val="00BA0D6E"/>
    <w:rsid w:val="00BA28D0"/>
    <w:rsid w:val="00BA5170"/>
    <w:rsid w:val="00BA592B"/>
    <w:rsid w:val="00BB2389"/>
    <w:rsid w:val="00BB713A"/>
    <w:rsid w:val="00BC1559"/>
    <w:rsid w:val="00BE1E39"/>
    <w:rsid w:val="00BE381A"/>
    <w:rsid w:val="00BE6320"/>
    <w:rsid w:val="00BF2C73"/>
    <w:rsid w:val="00C0195E"/>
    <w:rsid w:val="00C0314D"/>
    <w:rsid w:val="00C1268A"/>
    <w:rsid w:val="00C156E7"/>
    <w:rsid w:val="00C15AE4"/>
    <w:rsid w:val="00C16899"/>
    <w:rsid w:val="00C20BF4"/>
    <w:rsid w:val="00C26A50"/>
    <w:rsid w:val="00C30AE0"/>
    <w:rsid w:val="00C33FB3"/>
    <w:rsid w:val="00C43404"/>
    <w:rsid w:val="00C44FE3"/>
    <w:rsid w:val="00C547B1"/>
    <w:rsid w:val="00C54D4F"/>
    <w:rsid w:val="00C57159"/>
    <w:rsid w:val="00C6090E"/>
    <w:rsid w:val="00C67DD3"/>
    <w:rsid w:val="00C73E37"/>
    <w:rsid w:val="00C82938"/>
    <w:rsid w:val="00C90497"/>
    <w:rsid w:val="00CA0B1E"/>
    <w:rsid w:val="00CA2869"/>
    <w:rsid w:val="00CB18C9"/>
    <w:rsid w:val="00CB6205"/>
    <w:rsid w:val="00CB7B59"/>
    <w:rsid w:val="00CC245B"/>
    <w:rsid w:val="00CC53F8"/>
    <w:rsid w:val="00CE410E"/>
    <w:rsid w:val="00CE53DE"/>
    <w:rsid w:val="00D039E9"/>
    <w:rsid w:val="00D05948"/>
    <w:rsid w:val="00D0603E"/>
    <w:rsid w:val="00D06BFA"/>
    <w:rsid w:val="00D15AF4"/>
    <w:rsid w:val="00D167F7"/>
    <w:rsid w:val="00D16E5A"/>
    <w:rsid w:val="00D170D0"/>
    <w:rsid w:val="00D17B57"/>
    <w:rsid w:val="00D21092"/>
    <w:rsid w:val="00D213F6"/>
    <w:rsid w:val="00D360D2"/>
    <w:rsid w:val="00D40ABF"/>
    <w:rsid w:val="00D4680A"/>
    <w:rsid w:val="00D53DB0"/>
    <w:rsid w:val="00D567BC"/>
    <w:rsid w:val="00D57AF3"/>
    <w:rsid w:val="00D61D86"/>
    <w:rsid w:val="00D62859"/>
    <w:rsid w:val="00D6332D"/>
    <w:rsid w:val="00D63F47"/>
    <w:rsid w:val="00D71E37"/>
    <w:rsid w:val="00D767E6"/>
    <w:rsid w:val="00D92EB5"/>
    <w:rsid w:val="00DA249E"/>
    <w:rsid w:val="00DB2A4C"/>
    <w:rsid w:val="00DC2F9B"/>
    <w:rsid w:val="00DD0846"/>
    <w:rsid w:val="00DD0DF7"/>
    <w:rsid w:val="00DD1078"/>
    <w:rsid w:val="00DD275D"/>
    <w:rsid w:val="00DD38F2"/>
    <w:rsid w:val="00DD4958"/>
    <w:rsid w:val="00DE153F"/>
    <w:rsid w:val="00DE28CF"/>
    <w:rsid w:val="00DF050D"/>
    <w:rsid w:val="00DF2F9A"/>
    <w:rsid w:val="00DF45DD"/>
    <w:rsid w:val="00DF75D1"/>
    <w:rsid w:val="00E11660"/>
    <w:rsid w:val="00E17DCC"/>
    <w:rsid w:val="00E20E3D"/>
    <w:rsid w:val="00E22469"/>
    <w:rsid w:val="00E24307"/>
    <w:rsid w:val="00E24B4F"/>
    <w:rsid w:val="00E34177"/>
    <w:rsid w:val="00E43B13"/>
    <w:rsid w:val="00E46287"/>
    <w:rsid w:val="00E50575"/>
    <w:rsid w:val="00E506E8"/>
    <w:rsid w:val="00E52E71"/>
    <w:rsid w:val="00E60BED"/>
    <w:rsid w:val="00E667A1"/>
    <w:rsid w:val="00E6688B"/>
    <w:rsid w:val="00E74933"/>
    <w:rsid w:val="00E8721A"/>
    <w:rsid w:val="00E902AA"/>
    <w:rsid w:val="00E96F11"/>
    <w:rsid w:val="00EA032A"/>
    <w:rsid w:val="00EA6743"/>
    <w:rsid w:val="00EC2F74"/>
    <w:rsid w:val="00EC5B44"/>
    <w:rsid w:val="00EE2EBC"/>
    <w:rsid w:val="00EE4141"/>
    <w:rsid w:val="00EE6E16"/>
    <w:rsid w:val="00EE7979"/>
    <w:rsid w:val="00EF317C"/>
    <w:rsid w:val="00EF7F9E"/>
    <w:rsid w:val="00F144F6"/>
    <w:rsid w:val="00F202ED"/>
    <w:rsid w:val="00F214E6"/>
    <w:rsid w:val="00F22AAB"/>
    <w:rsid w:val="00F23C79"/>
    <w:rsid w:val="00F2429E"/>
    <w:rsid w:val="00F32223"/>
    <w:rsid w:val="00F32D50"/>
    <w:rsid w:val="00F33DD9"/>
    <w:rsid w:val="00F34BD2"/>
    <w:rsid w:val="00F37E72"/>
    <w:rsid w:val="00F402DA"/>
    <w:rsid w:val="00F538EA"/>
    <w:rsid w:val="00F622D9"/>
    <w:rsid w:val="00F624D7"/>
    <w:rsid w:val="00F62536"/>
    <w:rsid w:val="00F64395"/>
    <w:rsid w:val="00F67144"/>
    <w:rsid w:val="00F717D0"/>
    <w:rsid w:val="00F73DB7"/>
    <w:rsid w:val="00F86069"/>
    <w:rsid w:val="00F87DD8"/>
    <w:rsid w:val="00FA22E3"/>
    <w:rsid w:val="00FA44C8"/>
    <w:rsid w:val="00FB198D"/>
    <w:rsid w:val="00FB6007"/>
    <w:rsid w:val="00FC051E"/>
    <w:rsid w:val="00FC46A8"/>
    <w:rsid w:val="00FD17E8"/>
    <w:rsid w:val="00FD4D58"/>
    <w:rsid w:val="00FD5BE7"/>
    <w:rsid w:val="00FE3DBA"/>
    <w:rsid w:val="00FF6D3E"/>
    <w:rsid w:val="42AABF84"/>
    <w:rsid w:val="4C72426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B1856"/>
  <w15:chartTrackingRefBased/>
  <w15:docId w15:val="{68766723-B763-4D95-BB20-378D02FD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287"/>
    <w:pPr>
      <w:spacing w:line="300" w:lineRule="auto"/>
      <w:jc w:val="both"/>
    </w:pPr>
    <w:rPr>
      <w:rFonts w:ascii="Times New Roman" w:eastAsia="Times New Roman" w:hAnsi="Times New Roman" w:cs="Times New Roman"/>
      <w:kern w:val="0"/>
      <w:sz w:val="24"/>
      <w:szCs w:val="20"/>
      <w14:ligatures w14:val="none"/>
    </w:rPr>
  </w:style>
  <w:style w:type="paragraph" w:styleId="Heading1">
    <w:name w:val="heading 1"/>
    <w:aliases w:val="PhD Heading 1"/>
    <w:next w:val="Normal"/>
    <w:link w:val="Heading1Char"/>
    <w:uiPriority w:val="9"/>
    <w:qFormat/>
    <w:rsid w:val="00D92EB5"/>
    <w:pPr>
      <w:keepNext/>
      <w:numPr>
        <w:numId w:val="4"/>
      </w:numPr>
      <w:pBdr>
        <w:bottom w:val="single" w:sz="8" w:space="6" w:color="auto"/>
      </w:pBdr>
      <w:tabs>
        <w:tab w:val="left" w:pos="567"/>
      </w:tabs>
      <w:spacing w:before="240" w:after="720"/>
      <w:outlineLvl w:val="0"/>
    </w:pPr>
    <w:rPr>
      <w:rFonts w:ascii="Times New Roman" w:eastAsia="Times New Roman" w:hAnsi="Times New Roman" w:cs="Times New Roman"/>
      <w:b/>
      <w:spacing w:val="-4"/>
      <w:kern w:val="0"/>
      <w:sz w:val="44"/>
      <w:szCs w:val="20"/>
      <w14:ligatures w14:val="none"/>
    </w:rPr>
  </w:style>
  <w:style w:type="paragraph" w:styleId="Heading2">
    <w:name w:val="heading 2"/>
    <w:aliases w:val="PhD Heading 2"/>
    <w:basedOn w:val="Normal"/>
    <w:next w:val="PhDNormal"/>
    <w:link w:val="Heading2Char"/>
    <w:uiPriority w:val="9"/>
    <w:qFormat/>
    <w:rsid w:val="008C2B84"/>
    <w:pPr>
      <w:keepNext/>
      <w:numPr>
        <w:ilvl w:val="1"/>
        <w:numId w:val="4"/>
      </w:numPr>
      <w:spacing w:before="240" w:after="240"/>
      <w:outlineLvl w:val="1"/>
    </w:pPr>
    <w:rPr>
      <w:b/>
      <w:caps/>
    </w:rPr>
  </w:style>
  <w:style w:type="paragraph" w:styleId="Heading3">
    <w:name w:val="heading 3"/>
    <w:aliases w:val="PhD Heading 3"/>
    <w:basedOn w:val="PhDNormal"/>
    <w:next w:val="PhDNormal"/>
    <w:link w:val="Heading3Char"/>
    <w:uiPriority w:val="9"/>
    <w:qFormat/>
    <w:rsid w:val="008C2B84"/>
    <w:pPr>
      <w:keepNext/>
      <w:numPr>
        <w:ilvl w:val="2"/>
        <w:numId w:val="4"/>
      </w:numPr>
      <w:spacing w:before="180" w:after="180" w:line="240" w:lineRule="auto"/>
      <w:jc w:val="left"/>
      <w:outlineLvl w:val="2"/>
    </w:pPr>
    <w:rPr>
      <w:b/>
    </w:rPr>
  </w:style>
  <w:style w:type="paragraph" w:styleId="Heading4">
    <w:name w:val="heading 4"/>
    <w:aliases w:val="PhD Heading 4"/>
    <w:basedOn w:val="PhDNormal"/>
    <w:next w:val="PhDNormal"/>
    <w:link w:val="Heading4Char"/>
    <w:uiPriority w:val="9"/>
    <w:qFormat/>
    <w:rsid w:val="008C2B84"/>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link w:val="Heading5Char"/>
    <w:uiPriority w:val="9"/>
    <w:qFormat/>
    <w:rsid w:val="008C2B84"/>
    <w:pPr>
      <w:spacing w:before="120" w:line="240" w:lineRule="auto"/>
      <w:ind w:left="567" w:firstLine="0"/>
      <w:jc w:val="left"/>
      <w:outlineLvl w:val="4"/>
    </w:pPr>
    <w:rPr>
      <w:i/>
    </w:rPr>
  </w:style>
  <w:style w:type="paragraph" w:styleId="Heading6">
    <w:name w:val="heading 6"/>
    <w:basedOn w:val="Normal"/>
    <w:next w:val="Normal"/>
    <w:link w:val="Heading6Char"/>
    <w:uiPriority w:val="9"/>
    <w:qFormat/>
    <w:rsid w:val="008C2B84"/>
    <w:pPr>
      <w:numPr>
        <w:ilvl w:val="5"/>
        <w:numId w:val="4"/>
      </w:numPr>
      <w:spacing w:before="240" w:after="60"/>
      <w:outlineLvl w:val="5"/>
    </w:pPr>
    <w:rPr>
      <w:i/>
    </w:rPr>
  </w:style>
  <w:style w:type="paragraph" w:styleId="Heading7">
    <w:name w:val="heading 7"/>
    <w:basedOn w:val="Normal"/>
    <w:next w:val="Normal"/>
    <w:link w:val="Heading7Char"/>
    <w:uiPriority w:val="9"/>
    <w:qFormat/>
    <w:rsid w:val="008C2B84"/>
    <w:pPr>
      <w:numPr>
        <w:ilvl w:val="6"/>
        <w:numId w:val="4"/>
      </w:numPr>
      <w:spacing w:before="180" w:after="60"/>
      <w:outlineLvl w:val="6"/>
    </w:pPr>
    <w:rPr>
      <w:u w:val="single"/>
    </w:rPr>
  </w:style>
  <w:style w:type="paragraph" w:styleId="Heading8">
    <w:name w:val="heading 8"/>
    <w:basedOn w:val="Normal"/>
    <w:next w:val="PhDNormal"/>
    <w:link w:val="Heading8Char"/>
    <w:uiPriority w:val="9"/>
    <w:qFormat/>
    <w:rsid w:val="008C2B84"/>
    <w:pPr>
      <w:numPr>
        <w:ilvl w:val="7"/>
        <w:numId w:val="4"/>
      </w:numPr>
      <w:tabs>
        <w:tab w:val="left" w:pos="1843"/>
      </w:tabs>
      <w:spacing w:after="120" w:line="300" w:lineRule="atLeast"/>
      <w:outlineLvl w:val="7"/>
    </w:pPr>
  </w:style>
  <w:style w:type="paragraph" w:styleId="Heading9">
    <w:name w:val="heading 9"/>
    <w:basedOn w:val="Normal"/>
    <w:next w:val="Normal"/>
    <w:link w:val="Heading9Char"/>
    <w:uiPriority w:val="9"/>
    <w:qFormat/>
    <w:rsid w:val="008C2B84"/>
    <w:pPr>
      <w:numPr>
        <w:ilvl w:val="8"/>
        <w:numId w:val="4"/>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hD Heading 1 Char"/>
    <w:basedOn w:val="DefaultParagraphFont"/>
    <w:link w:val="Heading1"/>
    <w:uiPriority w:val="9"/>
    <w:rsid w:val="00D92EB5"/>
    <w:rPr>
      <w:rFonts w:ascii="Times New Roman" w:eastAsia="Times New Roman" w:hAnsi="Times New Roman" w:cs="Times New Roman"/>
      <w:b/>
      <w:spacing w:val="-4"/>
      <w:kern w:val="0"/>
      <w:sz w:val="44"/>
      <w:szCs w:val="20"/>
      <w14:ligatures w14:val="none"/>
    </w:rPr>
  </w:style>
  <w:style w:type="character" w:customStyle="1" w:styleId="Heading2Char">
    <w:name w:val="Heading 2 Char"/>
    <w:aliases w:val="PhD Heading 2 Char"/>
    <w:basedOn w:val="DefaultParagraphFont"/>
    <w:link w:val="Heading2"/>
    <w:uiPriority w:val="9"/>
    <w:rsid w:val="00D360D2"/>
    <w:rPr>
      <w:rFonts w:ascii="Times New Roman" w:eastAsia="Times New Roman" w:hAnsi="Times New Roman" w:cs="Times New Roman"/>
      <w:b/>
      <w:caps/>
      <w:kern w:val="0"/>
      <w:sz w:val="24"/>
      <w:szCs w:val="20"/>
      <w14:ligatures w14:val="none"/>
    </w:rPr>
  </w:style>
  <w:style w:type="character" w:customStyle="1" w:styleId="Heading3Char">
    <w:name w:val="Heading 3 Char"/>
    <w:aliases w:val="PhD Heading 3 Char"/>
    <w:basedOn w:val="DefaultParagraphFont"/>
    <w:link w:val="Heading3"/>
    <w:uiPriority w:val="9"/>
    <w:rsid w:val="00D360D2"/>
    <w:rPr>
      <w:rFonts w:ascii="Times New Roman" w:eastAsia="Times New Roman" w:hAnsi="Times New Roman" w:cs="Times New Roman"/>
      <w:b/>
      <w:kern w:val="0"/>
      <w:sz w:val="24"/>
      <w14:ligatures w14:val="none"/>
    </w:rPr>
  </w:style>
  <w:style w:type="character" w:customStyle="1" w:styleId="Heading4Char">
    <w:name w:val="Heading 4 Char"/>
    <w:aliases w:val="PhD Heading 4 Char"/>
    <w:basedOn w:val="DefaultParagraphFont"/>
    <w:link w:val="Heading4"/>
    <w:uiPriority w:val="9"/>
    <w:rsid w:val="00D360D2"/>
    <w:rPr>
      <w:rFonts w:ascii="Times New Roman" w:eastAsia="Times New Roman" w:hAnsi="Times New Roman" w:cs="Times New Roman"/>
      <w:b/>
      <w:i/>
      <w:kern w:val="0"/>
      <w:sz w:val="24"/>
      <w14:ligatures w14:val="none"/>
    </w:rPr>
  </w:style>
  <w:style w:type="character" w:customStyle="1" w:styleId="Heading5Char">
    <w:name w:val="Heading 5 Char"/>
    <w:aliases w:val="PhD Heading 5 Char"/>
    <w:basedOn w:val="DefaultParagraphFont"/>
    <w:link w:val="Heading5"/>
    <w:uiPriority w:val="9"/>
    <w:rsid w:val="00D360D2"/>
    <w:rPr>
      <w:rFonts w:ascii="Times New Roman" w:eastAsia="Times New Roman" w:hAnsi="Times New Roman" w:cs="Times New Roman"/>
      <w:i/>
      <w:kern w:val="0"/>
      <w:sz w:val="24"/>
      <w14:ligatures w14:val="none"/>
    </w:rPr>
  </w:style>
  <w:style w:type="character" w:customStyle="1" w:styleId="Heading6Char">
    <w:name w:val="Heading 6 Char"/>
    <w:basedOn w:val="DefaultParagraphFont"/>
    <w:link w:val="Heading6"/>
    <w:uiPriority w:val="9"/>
    <w:rsid w:val="00D360D2"/>
    <w:rPr>
      <w:rFonts w:ascii="Times New Roman" w:eastAsia="Times New Roman" w:hAnsi="Times New Roman" w:cs="Times New Roman"/>
      <w:i/>
      <w:kern w:val="0"/>
      <w:sz w:val="24"/>
      <w:szCs w:val="20"/>
      <w14:ligatures w14:val="none"/>
    </w:rPr>
  </w:style>
  <w:style w:type="character" w:customStyle="1" w:styleId="Heading7Char">
    <w:name w:val="Heading 7 Char"/>
    <w:basedOn w:val="DefaultParagraphFont"/>
    <w:link w:val="Heading7"/>
    <w:uiPriority w:val="9"/>
    <w:rsid w:val="00D360D2"/>
    <w:rPr>
      <w:rFonts w:ascii="Times New Roman" w:eastAsia="Times New Roman" w:hAnsi="Times New Roman" w:cs="Times New Roman"/>
      <w:kern w:val="0"/>
      <w:sz w:val="24"/>
      <w:szCs w:val="20"/>
      <w:u w:val="single"/>
      <w14:ligatures w14:val="none"/>
    </w:rPr>
  </w:style>
  <w:style w:type="character" w:customStyle="1" w:styleId="Heading8Char">
    <w:name w:val="Heading 8 Char"/>
    <w:basedOn w:val="DefaultParagraphFont"/>
    <w:link w:val="Heading8"/>
    <w:uiPriority w:val="9"/>
    <w:rsid w:val="00D360D2"/>
    <w:rPr>
      <w:rFonts w:ascii="Times New Roman" w:eastAsia="Times New Roman" w:hAnsi="Times New Roman" w:cs="Times New Roman"/>
      <w:kern w:val="0"/>
      <w:sz w:val="24"/>
      <w:szCs w:val="20"/>
      <w14:ligatures w14:val="none"/>
    </w:rPr>
  </w:style>
  <w:style w:type="character" w:customStyle="1" w:styleId="Heading9Char">
    <w:name w:val="Heading 9 Char"/>
    <w:basedOn w:val="DefaultParagraphFont"/>
    <w:link w:val="Heading9"/>
    <w:uiPriority w:val="9"/>
    <w:rsid w:val="00D360D2"/>
    <w:rPr>
      <w:rFonts w:ascii="Times New Roman" w:eastAsia="Times New Roman" w:hAnsi="Times New Roman" w:cs="Times New Roman"/>
      <w:i/>
      <w:kern w:val="0"/>
      <w:sz w:val="24"/>
      <w:szCs w:val="20"/>
      <w14:ligatures w14:val="none"/>
    </w:rPr>
  </w:style>
  <w:style w:type="paragraph" w:styleId="Title">
    <w:name w:val="Title"/>
    <w:aliases w:val="PhD Title"/>
    <w:basedOn w:val="Normal"/>
    <w:next w:val="PhDNormal"/>
    <w:link w:val="TitleChar"/>
    <w:uiPriority w:val="10"/>
    <w:qFormat/>
    <w:rsid w:val="008C2B84"/>
    <w:pPr>
      <w:spacing w:before="2160" w:after="1200"/>
      <w:jc w:val="center"/>
    </w:pPr>
    <w:rPr>
      <w:b/>
      <w:smallCaps/>
      <w:sz w:val="48"/>
      <w:szCs w:val="48"/>
    </w:rPr>
  </w:style>
  <w:style w:type="character" w:customStyle="1" w:styleId="TitleChar">
    <w:name w:val="Title Char"/>
    <w:aliases w:val="PhD Title Char"/>
    <w:basedOn w:val="DefaultParagraphFont"/>
    <w:link w:val="Title"/>
    <w:uiPriority w:val="10"/>
    <w:rsid w:val="00D360D2"/>
    <w:rPr>
      <w:rFonts w:ascii="Times New Roman" w:eastAsia="Times New Roman" w:hAnsi="Times New Roman" w:cs="Times New Roman"/>
      <w:b/>
      <w:smallCaps/>
      <w:kern w:val="0"/>
      <w:sz w:val="48"/>
      <w:szCs w:val="48"/>
      <w14:ligatures w14:val="none"/>
    </w:rPr>
  </w:style>
  <w:style w:type="paragraph" w:styleId="Subtitle">
    <w:name w:val="Subtitle"/>
    <w:basedOn w:val="Normal"/>
    <w:next w:val="Normal"/>
    <w:link w:val="SubtitleChar"/>
    <w:uiPriority w:val="11"/>
    <w:qFormat/>
    <w:rsid w:val="00D36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0D2"/>
    <w:pPr>
      <w:spacing w:before="160"/>
      <w:jc w:val="center"/>
    </w:pPr>
    <w:rPr>
      <w:i/>
      <w:iCs/>
      <w:color w:val="404040" w:themeColor="text1" w:themeTint="BF"/>
    </w:rPr>
  </w:style>
  <w:style w:type="character" w:customStyle="1" w:styleId="QuoteChar">
    <w:name w:val="Quote Char"/>
    <w:basedOn w:val="DefaultParagraphFont"/>
    <w:link w:val="Quote"/>
    <w:uiPriority w:val="29"/>
    <w:rsid w:val="00D360D2"/>
    <w:rPr>
      <w:i/>
      <w:iCs/>
      <w:color w:val="404040" w:themeColor="text1" w:themeTint="BF"/>
    </w:rPr>
  </w:style>
  <w:style w:type="paragraph" w:styleId="ListParagraph">
    <w:name w:val="List Paragraph"/>
    <w:basedOn w:val="Normal"/>
    <w:link w:val="ListParagraphChar"/>
    <w:uiPriority w:val="34"/>
    <w:qFormat/>
    <w:rsid w:val="00D360D2"/>
    <w:pPr>
      <w:ind w:left="720"/>
      <w:contextualSpacing/>
    </w:pPr>
  </w:style>
  <w:style w:type="character" w:styleId="IntenseEmphasis">
    <w:name w:val="Intense Emphasis"/>
    <w:basedOn w:val="DefaultParagraphFont"/>
    <w:uiPriority w:val="21"/>
    <w:qFormat/>
    <w:rsid w:val="00D360D2"/>
    <w:rPr>
      <w:i/>
      <w:iCs/>
      <w:color w:val="0F4761" w:themeColor="accent1" w:themeShade="BF"/>
    </w:rPr>
  </w:style>
  <w:style w:type="paragraph" w:styleId="IntenseQuote">
    <w:name w:val="Intense Quote"/>
    <w:basedOn w:val="Normal"/>
    <w:next w:val="Normal"/>
    <w:link w:val="IntenseQuoteChar"/>
    <w:uiPriority w:val="30"/>
    <w:qFormat/>
    <w:rsid w:val="00D36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0D2"/>
    <w:rPr>
      <w:i/>
      <w:iCs/>
      <w:color w:val="0F4761" w:themeColor="accent1" w:themeShade="BF"/>
    </w:rPr>
  </w:style>
  <w:style w:type="character" w:styleId="IntenseReference">
    <w:name w:val="Intense Reference"/>
    <w:basedOn w:val="DefaultParagraphFont"/>
    <w:uiPriority w:val="32"/>
    <w:qFormat/>
    <w:rsid w:val="00D360D2"/>
    <w:rPr>
      <w:b/>
      <w:bCs/>
      <w:smallCaps/>
      <w:color w:val="0F4761" w:themeColor="accent1" w:themeShade="BF"/>
      <w:spacing w:val="5"/>
    </w:rPr>
  </w:style>
  <w:style w:type="paragraph" w:styleId="NormalWeb">
    <w:name w:val="Normal (Web)"/>
    <w:basedOn w:val="Normal"/>
    <w:link w:val="NormalWebChar"/>
    <w:uiPriority w:val="99"/>
    <w:unhideWhenUsed/>
    <w:rsid w:val="00D360D2"/>
    <w:pPr>
      <w:spacing w:before="100" w:beforeAutospacing="1" w:after="100" w:afterAutospacing="1"/>
    </w:pPr>
    <w:rPr>
      <w:szCs w:val="24"/>
      <w:lang w:eastAsia="en-AU"/>
    </w:rPr>
  </w:style>
  <w:style w:type="paragraph" w:customStyle="1" w:styleId="EndNoteBibliographyTitle">
    <w:name w:val="EndNote Bibliography Title"/>
    <w:basedOn w:val="Normal"/>
    <w:link w:val="EndNoteBibliographyTitleChar"/>
    <w:rsid w:val="00D360D2"/>
    <w:pPr>
      <w:jc w:val="center"/>
    </w:pPr>
    <w:rPr>
      <w:rFonts w:ascii="Aptos" w:hAnsi="Aptos"/>
      <w:noProof/>
      <w:sz w:val="22"/>
      <w:lang w:val="en-US"/>
    </w:rPr>
  </w:style>
  <w:style w:type="character" w:customStyle="1" w:styleId="EndNoteBibliographyTitleChar">
    <w:name w:val="EndNote Bibliography Title Char"/>
    <w:basedOn w:val="DefaultParagraphFont"/>
    <w:link w:val="EndNoteBibliographyTitle"/>
    <w:rsid w:val="00D360D2"/>
    <w:rPr>
      <w:rFonts w:ascii="Aptos" w:eastAsia="Times New Roman" w:hAnsi="Aptos" w:cs="Times New Roman"/>
      <w:noProof/>
      <w:kern w:val="0"/>
      <w:szCs w:val="20"/>
      <w:lang w:val="en-US"/>
      <w14:ligatures w14:val="none"/>
    </w:rPr>
  </w:style>
  <w:style w:type="paragraph" w:customStyle="1" w:styleId="EndNoteBibliography">
    <w:name w:val="EndNote Bibliography"/>
    <w:basedOn w:val="Normal"/>
    <w:link w:val="EndNoteBibliographyChar"/>
    <w:rsid w:val="00D360D2"/>
    <w:pPr>
      <w:spacing w:line="240" w:lineRule="auto"/>
    </w:pPr>
    <w:rPr>
      <w:rFonts w:ascii="Aptos" w:hAnsi="Aptos"/>
      <w:noProof/>
      <w:sz w:val="22"/>
      <w:lang w:val="en-US"/>
    </w:rPr>
  </w:style>
  <w:style w:type="character" w:customStyle="1" w:styleId="EndNoteBibliographyChar">
    <w:name w:val="EndNote Bibliography Char"/>
    <w:basedOn w:val="DefaultParagraphFont"/>
    <w:link w:val="EndNoteBibliography"/>
    <w:rsid w:val="00D360D2"/>
    <w:rPr>
      <w:rFonts w:ascii="Aptos" w:eastAsia="Times New Roman" w:hAnsi="Aptos" w:cs="Times New Roman"/>
      <w:noProof/>
      <w:kern w:val="0"/>
      <w:szCs w:val="20"/>
      <w:lang w:val="en-US"/>
      <w14:ligatures w14:val="none"/>
    </w:rPr>
  </w:style>
  <w:style w:type="character" w:styleId="Hyperlink">
    <w:name w:val="Hyperlink"/>
    <w:basedOn w:val="DefaultParagraphFont"/>
    <w:uiPriority w:val="99"/>
    <w:rsid w:val="008C2B84"/>
    <w:rPr>
      <w:color w:val="0000FF"/>
      <w:u w:val="single"/>
    </w:rPr>
  </w:style>
  <w:style w:type="character" w:styleId="UnresolvedMention">
    <w:name w:val="Unresolved Mention"/>
    <w:basedOn w:val="DefaultParagraphFont"/>
    <w:uiPriority w:val="99"/>
    <w:semiHidden/>
    <w:unhideWhenUsed/>
    <w:rsid w:val="00D360D2"/>
    <w:rPr>
      <w:color w:val="605E5C"/>
      <w:shd w:val="clear" w:color="auto" w:fill="E1DFDD"/>
    </w:rPr>
  </w:style>
  <w:style w:type="character" w:styleId="Strong">
    <w:name w:val="Strong"/>
    <w:basedOn w:val="DefaultParagraphFont"/>
    <w:uiPriority w:val="22"/>
    <w:qFormat/>
    <w:rsid w:val="00A857FC"/>
    <w:rPr>
      <w:b/>
      <w:bCs/>
    </w:rPr>
  </w:style>
  <w:style w:type="character" w:styleId="Emphasis">
    <w:name w:val="Emphasis"/>
    <w:basedOn w:val="DefaultParagraphFont"/>
    <w:uiPriority w:val="20"/>
    <w:qFormat/>
    <w:rsid w:val="009830CC"/>
    <w:rPr>
      <w:i/>
      <w:iCs/>
    </w:rPr>
  </w:style>
  <w:style w:type="paragraph" w:customStyle="1" w:styleId="PhDNormal">
    <w:name w:val="PhD Normal"/>
    <w:link w:val="PhDNormalChar"/>
    <w:qFormat/>
    <w:rsid w:val="008C2B84"/>
    <w:pPr>
      <w:spacing w:after="120" w:line="360" w:lineRule="auto"/>
      <w:ind w:firstLine="567"/>
      <w:jc w:val="both"/>
    </w:pPr>
    <w:rPr>
      <w:rFonts w:ascii="Times New Roman" w:eastAsia="Times New Roman" w:hAnsi="Times New Roman" w:cs="Times New Roman"/>
      <w:kern w:val="0"/>
      <w:sz w:val="24"/>
      <w14:ligatures w14:val="none"/>
    </w:rPr>
  </w:style>
  <w:style w:type="paragraph" w:styleId="TOC8">
    <w:name w:val="toc 8"/>
    <w:basedOn w:val="Normal"/>
    <w:next w:val="Normal"/>
    <w:autoRedefine/>
    <w:uiPriority w:val="39"/>
    <w:rsid w:val="008C2B84"/>
    <w:pPr>
      <w:tabs>
        <w:tab w:val="right" w:leader="dot" w:pos="8221"/>
      </w:tabs>
      <w:spacing w:line="300" w:lineRule="atLeast"/>
      <w:ind w:left="1320"/>
    </w:pPr>
    <w:rPr>
      <w:sz w:val="18"/>
    </w:rPr>
  </w:style>
  <w:style w:type="paragraph" w:styleId="TOC7">
    <w:name w:val="toc 7"/>
    <w:basedOn w:val="Normal"/>
    <w:next w:val="Normal"/>
    <w:autoRedefine/>
    <w:uiPriority w:val="39"/>
    <w:rsid w:val="008C2B84"/>
    <w:pPr>
      <w:tabs>
        <w:tab w:val="right" w:leader="dot" w:pos="8221"/>
      </w:tabs>
      <w:spacing w:line="300" w:lineRule="atLeast"/>
      <w:ind w:left="1100"/>
    </w:pPr>
    <w:rPr>
      <w:sz w:val="18"/>
    </w:rPr>
  </w:style>
  <w:style w:type="paragraph" w:styleId="TOC6">
    <w:name w:val="toc 6"/>
    <w:basedOn w:val="Normal"/>
    <w:next w:val="Normal"/>
    <w:autoRedefine/>
    <w:uiPriority w:val="39"/>
    <w:rsid w:val="008C2B84"/>
    <w:pPr>
      <w:tabs>
        <w:tab w:val="right" w:leader="dot" w:pos="8221"/>
      </w:tabs>
      <w:spacing w:after="60" w:line="300" w:lineRule="atLeast"/>
    </w:pPr>
    <w:rPr>
      <w:sz w:val="20"/>
    </w:rPr>
  </w:style>
  <w:style w:type="paragraph" w:styleId="TOC5">
    <w:name w:val="toc 5"/>
    <w:basedOn w:val="Normal"/>
    <w:next w:val="Normal"/>
    <w:autoRedefine/>
    <w:uiPriority w:val="39"/>
    <w:rsid w:val="008C2B84"/>
    <w:pPr>
      <w:tabs>
        <w:tab w:val="left" w:pos="1049"/>
        <w:tab w:val="right" w:leader="dot" w:pos="8221"/>
      </w:tabs>
      <w:spacing w:before="180" w:after="120"/>
    </w:pPr>
    <w:rPr>
      <w:smallCaps/>
      <w:sz w:val="20"/>
    </w:rPr>
  </w:style>
  <w:style w:type="paragraph" w:styleId="TOC4">
    <w:name w:val="toc 4"/>
    <w:basedOn w:val="Normal"/>
    <w:next w:val="Normal"/>
    <w:autoRedefine/>
    <w:uiPriority w:val="39"/>
    <w:rsid w:val="008C2B84"/>
    <w:pPr>
      <w:tabs>
        <w:tab w:val="right" w:leader="dot" w:pos="8221"/>
      </w:tabs>
      <w:ind w:left="1276"/>
    </w:pPr>
    <w:rPr>
      <w:sz w:val="20"/>
    </w:rPr>
  </w:style>
  <w:style w:type="paragraph" w:styleId="TOC3">
    <w:name w:val="toc 3"/>
    <w:basedOn w:val="Normal"/>
    <w:next w:val="Normal"/>
    <w:uiPriority w:val="39"/>
    <w:rsid w:val="008C2B84"/>
    <w:pPr>
      <w:tabs>
        <w:tab w:val="left" w:pos="1276"/>
        <w:tab w:val="left" w:pos="1559"/>
        <w:tab w:val="right" w:leader="dot" w:pos="8221"/>
      </w:tabs>
      <w:ind w:left="1134" w:right="567" w:hanging="567"/>
    </w:pPr>
    <w:rPr>
      <w:noProof/>
      <w:sz w:val="22"/>
    </w:rPr>
  </w:style>
  <w:style w:type="paragraph" w:styleId="TOC2">
    <w:name w:val="toc 2"/>
    <w:basedOn w:val="Normal"/>
    <w:next w:val="Normal"/>
    <w:uiPriority w:val="39"/>
    <w:rsid w:val="008C2B84"/>
    <w:pPr>
      <w:tabs>
        <w:tab w:val="left" w:pos="567"/>
        <w:tab w:val="right" w:leader="dot" w:pos="8221"/>
      </w:tabs>
      <w:spacing w:before="120"/>
    </w:pPr>
    <w:rPr>
      <w:noProof/>
      <w:sz w:val="22"/>
    </w:rPr>
  </w:style>
  <w:style w:type="paragraph" w:styleId="TOC1">
    <w:name w:val="toc 1"/>
    <w:basedOn w:val="TOC2"/>
    <w:next w:val="Normal"/>
    <w:link w:val="TOC1Char"/>
    <w:uiPriority w:val="39"/>
    <w:rsid w:val="008C2B84"/>
    <w:pPr>
      <w:tabs>
        <w:tab w:val="clear" w:pos="567"/>
        <w:tab w:val="left" w:pos="284"/>
      </w:tabs>
    </w:pPr>
    <w:rPr>
      <w:b/>
      <w:sz w:val="24"/>
    </w:rPr>
  </w:style>
  <w:style w:type="paragraph" w:styleId="Footer">
    <w:name w:val="footer"/>
    <w:basedOn w:val="Normal"/>
    <w:link w:val="FooterChar"/>
    <w:uiPriority w:val="99"/>
    <w:rsid w:val="008C2B84"/>
    <w:pPr>
      <w:pBdr>
        <w:top w:val="single" w:sz="4" w:space="2" w:color="auto"/>
      </w:pBdr>
      <w:tabs>
        <w:tab w:val="right" w:pos="7938"/>
      </w:tabs>
      <w:spacing w:before="240" w:line="240" w:lineRule="atLeast"/>
    </w:pPr>
    <w:rPr>
      <w:sz w:val="20"/>
    </w:rPr>
  </w:style>
  <w:style w:type="character" w:customStyle="1" w:styleId="FooterChar">
    <w:name w:val="Footer Char"/>
    <w:basedOn w:val="DefaultParagraphFont"/>
    <w:link w:val="Footer"/>
    <w:uiPriority w:val="99"/>
    <w:rsid w:val="00B03352"/>
    <w:rPr>
      <w:rFonts w:ascii="Times New Roman" w:eastAsia="Times New Roman" w:hAnsi="Times New Roman" w:cs="Times New Roman"/>
      <w:kern w:val="0"/>
      <w:sz w:val="20"/>
      <w:szCs w:val="20"/>
      <w14:ligatures w14:val="none"/>
    </w:rPr>
  </w:style>
  <w:style w:type="paragraph" w:styleId="FootnoteText">
    <w:name w:val="footnote text"/>
    <w:basedOn w:val="Normal"/>
    <w:link w:val="FootnoteTextChar"/>
    <w:rsid w:val="008C2B84"/>
    <w:rPr>
      <w:sz w:val="20"/>
    </w:rPr>
  </w:style>
  <w:style w:type="character" w:customStyle="1" w:styleId="FootnoteTextChar">
    <w:name w:val="Footnote Text Char"/>
    <w:basedOn w:val="DefaultParagraphFont"/>
    <w:link w:val="FootnoteText"/>
    <w:rsid w:val="00B03352"/>
    <w:rPr>
      <w:rFonts w:ascii="Times New Roman" w:eastAsia="Times New Roman" w:hAnsi="Times New Roman" w:cs="Times New Roman"/>
      <w:kern w:val="0"/>
      <w:sz w:val="20"/>
      <w:szCs w:val="20"/>
      <w14:ligatures w14:val="none"/>
    </w:rPr>
  </w:style>
  <w:style w:type="paragraph" w:customStyle="1" w:styleId="CHAPTERHEAD">
    <w:name w:val="CHAPTER HEAD"/>
    <w:basedOn w:val="Normal"/>
    <w:semiHidden/>
    <w:rsid w:val="008C2B84"/>
    <w:pPr>
      <w:spacing w:after="240"/>
      <w:jc w:val="center"/>
    </w:pPr>
    <w:rPr>
      <w:b/>
      <w:caps/>
      <w:sz w:val="28"/>
    </w:rPr>
  </w:style>
  <w:style w:type="paragraph" w:customStyle="1" w:styleId="PhDHeader">
    <w:name w:val="PhD Header"/>
    <w:basedOn w:val="PhDFooter"/>
    <w:rsid w:val="008C2B84"/>
    <w:pPr>
      <w:pBdr>
        <w:top w:val="none" w:sz="0" w:space="0" w:color="auto"/>
      </w:pBdr>
    </w:pPr>
    <w:rPr>
      <w:noProof/>
    </w:rPr>
  </w:style>
  <w:style w:type="paragraph" w:styleId="Caption">
    <w:name w:val="caption"/>
    <w:basedOn w:val="Normal"/>
    <w:uiPriority w:val="35"/>
    <w:qFormat/>
    <w:rsid w:val="008C2B84"/>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8C2B84"/>
    <w:pPr>
      <w:tabs>
        <w:tab w:val="left" w:pos="1418"/>
      </w:tabs>
      <w:ind w:firstLine="0"/>
    </w:pPr>
  </w:style>
  <w:style w:type="paragraph" w:customStyle="1" w:styleId="PhDReference">
    <w:name w:val="PhD Reference"/>
    <w:basedOn w:val="PhDNormal"/>
    <w:qFormat/>
    <w:rsid w:val="008C2B84"/>
    <w:pPr>
      <w:spacing w:after="180" w:line="240" w:lineRule="auto"/>
      <w:ind w:left="454" w:hanging="454"/>
      <w:jc w:val="left"/>
    </w:pPr>
  </w:style>
  <w:style w:type="character" w:styleId="FootnoteReference">
    <w:name w:val="footnote reference"/>
    <w:basedOn w:val="DefaultParagraphFont"/>
    <w:semiHidden/>
    <w:rsid w:val="008C2B84"/>
    <w:rPr>
      <w:vertAlign w:val="superscript"/>
    </w:rPr>
  </w:style>
  <w:style w:type="paragraph" w:customStyle="1" w:styleId="PhDQualifications">
    <w:name w:val="PhD Qualifications"/>
    <w:basedOn w:val="PhDNameofCandidate"/>
    <w:next w:val="PhDNormal2"/>
    <w:qFormat/>
    <w:rsid w:val="008C2B84"/>
    <w:pPr>
      <w:spacing w:before="0" w:after="1080"/>
    </w:pPr>
  </w:style>
  <w:style w:type="paragraph" w:customStyle="1" w:styleId="PhDBulletIndent">
    <w:name w:val="PhD Bullet Indent"/>
    <w:basedOn w:val="PhDBullet"/>
    <w:qFormat/>
    <w:rsid w:val="008C2B84"/>
    <w:pPr>
      <w:numPr>
        <w:ilvl w:val="1"/>
      </w:numPr>
      <w:contextualSpacing/>
    </w:pPr>
  </w:style>
  <w:style w:type="paragraph" w:styleId="TableofFigures">
    <w:name w:val="table of figures"/>
    <w:basedOn w:val="Normal"/>
    <w:next w:val="Normal"/>
    <w:link w:val="TableofFiguresChar"/>
    <w:uiPriority w:val="99"/>
    <w:rsid w:val="008C2B84"/>
    <w:pPr>
      <w:tabs>
        <w:tab w:val="right" w:leader="dot" w:pos="8221"/>
      </w:tabs>
      <w:spacing w:after="120"/>
      <w:ind w:left="851" w:right="567" w:hanging="851"/>
    </w:pPr>
  </w:style>
  <w:style w:type="paragraph" w:customStyle="1" w:styleId="TOC1A">
    <w:name w:val="TOC 1A"/>
    <w:basedOn w:val="TOC1"/>
    <w:semiHidden/>
    <w:rsid w:val="008C2B84"/>
    <w:pPr>
      <w:jc w:val="center"/>
    </w:pPr>
  </w:style>
  <w:style w:type="paragraph" w:styleId="TOC9">
    <w:name w:val="toc 9"/>
    <w:basedOn w:val="Normal"/>
    <w:next w:val="Normal"/>
    <w:autoRedefine/>
    <w:uiPriority w:val="39"/>
    <w:rsid w:val="008C2B84"/>
    <w:pPr>
      <w:tabs>
        <w:tab w:val="right" w:leader="dot" w:pos="8221"/>
      </w:tabs>
      <w:spacing w:line="300" w:lineRule="atLeast"/>
      <w:ind w:left="1540"/>
    </w:pPr>
    <w:rPr>
      <w:sz w:val="18"/>
    </w:rPr>
  </w:style>
  <w:style w:type="paragraph" w:customStyle="1" w:styleId="PhDFooter">
    <w:name w:val="PhD Footer"/>
    <w:basedOn w:val="Normal"/>
    <w:rsid w:val="008C2B84"/>
    <w:pPr>
      <w:pBdr>
        <w:top w:val="single" w:sz="4" w:space="2" w:color="auto"/>
      </w:pBdr>
      <w:tabs>
        <w:tab w:val="right" w:pos="8222"/>
      </w:tabs>
    </w:pPr>
    <w:rPr>
      <w:sz w:val="18"/>
    </w:rPr>
  </w:style>
  <w:style w:type="paragraph" w:styleId="Header">
    <w:name w:val="header"/>
    <w:basedOn w:val="Normal"/>
    <w:link w:val="HeaderChar"/>
    <w:uiPriority w:val="99"/>
    <w:rsid w:val="008C2B84"/>
    <w:pPr>
      <w:tabs>
        <w:tab w:val="center" w:pos="4153"/>
        <w:tab w:val="right" w:pos="8306"/>
      </w:tabs>
    </w:pPr>
  </w:style>
  <w:style w:type="character" w:customStyle="1" w:styleId="HeaderChar">
    <w:name w:val="Header Char"/>
    <w:basedOn w:val="DefaultParagraphFont"/>
    <w:link w:val="Header"/>
    <w:uiPriority w:val="99"/>
    <w:rsid w:val="008C2B84"/>
    <w:rPr>
      <w:rFonts w:ascii="Times New Roman" w:eastAsia="Times New Roman" w:hAnsi="Times New Roman" w:cs="Times New Roman"/>
      <w:kern w:val="0"/>
      <w:sz w:val="24"/>
      <w:szCs w:val="20"/>
      <w14:ligatures w14:val="none"/>
    </w:rPr>
  </w:style>
  <w:style w:type="paragraph" w:customStyle="1" w:styleId="PhDNameofCandidate">
    <w:name w:val="PhD Name of Candidate"/>
    <w:basedOn w:val="Heading3"/>
    <w:qFormat/>
    <w:rsid w:val="008C2B84"/>
    <w:pPr>
      <w:numPr>
        <w:ilvl w:val="0"/>
        <w:numId w:val="0"/>
      </w:numPr>
      <w:spacing w:before="960" w:after="120"/>
      <w:jc w:val="center"/>
      <w:outlineLvl w:val="9"/>
    </w:pPr>
    <w:rPr>
      <w:sz w:val="32"/>
    </w:rPr>
  </w:style>
  <w:style w:type="paragraph" w:styleId="BalloonText">
    <w:name w:val="Balloon Text"/>
    <w:basedOn w:val="Normal"/>
    <w:link w:val="BalloonTextChar"/>
    <w:uiPriority w:val="99"/>
    <w:rsid w:val="008C2B84"/>
    <w:rPr>
      <w:rFonts w:ascii="Tahoma" w:hAnsi="Tahoma" w:cs="Tahoma"/>
      <w:sz w:val="16"/>
      <w:szCs w:val="16"/>
    </w:rPr>
  </w:style>
  <w:style w:type="character" w:customStyle="1" w:styleId="BalloonTextChar">
    <w:name w:val="Balloon Text Char"/>
    <w:basedOn w:val="DefaultParagraphFont"/>
    <w:link w:val="BalloonText"/>
    <w:uiPriority w:val="99"/>
    <w:rsid w:val="00B03352"/>
    <w:rPr>
      <w:rFonts w:ascii="Tahoma" w:eastAsia="Times New Roman" w:hAnsi="Tahoma" w:cs="Tahoma"/>
      <w:kern w:val="0"/>
      <w:sz w:val="16"/>
      <w:szCs w:val="16"/>
      <w14:ligatures w14:val="none"/>
    </w:rPr>
  </w:style>
  <w:style w:type="character" w:styleId="PageNumber">
    <w:name w:val="page number"/>
    <w:basedOn w:val="DefaultParagraphFont"/>
    <w:semiHidden/>
    <w:rsid w:val="008C2B84"/>
  </w:style>
  <w:style w:type="numbering" w:styleId="111111">
    <w:name w:val="Outline List 2"/>
    <w:basedOn w:val="NoList"/>
    <w:rsid w:val="008C2B84"/>
    <w:pPr>
      <w:numPr>
        <w:numId w:val="1"/>
      </w:numPr>
    </w:pPr>
  </w:style>
  <w:style w:type="paragraph" w:styleId="DocumentMap">
    <w:name w:val="Document Map"/>
    <w:basedOn w:val="Normal"/>
    <w:link w:val="DocumentMapChar"/>
    <w:semiHidden/>
    <w:rsid w:val="008C2B84"/>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B03352"/>
    <w:rPr>
      <w:rFonts w:ascii="Tahoma" w:eastAsia="Times New Roman" w:hAnsi="Tahoma" w:cs="Tahoma"/>
      <w:kern w:val="0"/>
      <w:sz w:val="20"/>
      <w:szCs w:val="20"/>
      <w:shd w:val="clear" w:color="auto" w:fill="000080"/>
      <w14:ligatures w14:val="none"/>
    </w:rPr>
  </w:style>
  <w:style w:type="character" w:customStyle="1" w:styleId="PhDNormalChar">
    <w:name w:val="PhD Normal Char"/>
    <w:basedOn w:val="DefaultParagraphFont"/>
    <w:link w:val="PhDNormal"/>
    <w:rsid w:val="008C2B84"/>
    <w:rPr>
      <w:rFonts w:ascii="Times New Roman" w:eastAsia="Times New Roman" w:hAnsi="Times New Roman" w:cs="Times New Roman"/>
      <w:kern w:val="0"/>
      <w:sz w:val="24"/>
      <w14:ligatures w14:val="none"/>
    </w:rPr>
  </w:style>
  <w:style w:type="character" w:styleId="FollowedHyperlink">
    <w:name w:val="FollowedHyperlink"/>
    <w:basedOn w:val="DefaultParagraphFont"/>
    <w:uiPriority w:val="99"/>
    <w:rsid w:val="008C2B84"/>
    <w:rPr>
      <w:color w:val="800080"/>
      <w:u w:val="single"/>
    </w:rPr>
  </w:style>
  <w:style w:type="paragraph" w:customStyle="1" w:styleId="PhDLongQuote">
    <w:name w:val="PhD Long Quote"/>
    <w:basedOn w:val="PhDNormal"/>
    <w:next w:val="PhDNormal"/>
    <w:qFormat/>
    <w:rsid w:val="008C2B84"/>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uiPriority w:val="99"/>
    <w:rsid w:val="008C2B84"/>
    <w:pPr>
      <w:spacing w:after="0" w:line="240" w:lineRule="auto"/>
    </w:pPr>
    <w:rPr>
      <w:rFonts w:ascii="Times New Roman" w:eastAsia="Times New Roman" w:hAnsi="Times New Roman" w:cs="Times New Roman"/>
      <w:kern w:val="0"/>
      <w:sz w:val="20"/>
      <w:szCs w:val="20"/>
      <w:lang w:eastAsia="en-AU"/>
      <w14:ligatures w14:val="none"/>
    </w:rPr>
    <w:tblPr>
      <w:tblBorders>
        <w:bottom w:val="single" w:sz="4" w:space="0" w:color="auto"/>
      </w:tblBorders>
    </w:tblPr>
    <w:tblStylePr w:type="firstRow">
      <w:pPr>
        <w:wordWrap/>
        <w:jc w:val="center"/>
      </w:pPr>
      <w:rPr>
        <w:b/>
      </w:rPr>
      <w:tblPr>
        <w:jc w:val="center"/>
      </w:tblPr>
      <w:trPr>
        <w:tblHeader/>
        <w:jc w:val="center"/>
      </w:trPr>
      <w:tcPr>
        <w:tcBorders>
          <w:top w:val="single" w:sz="4" w:space="0" w:color="auto"/>
          <w:bottom w:val="single" w:sz="4" w:space="0" w:color="auto"/>
        </w:tcBorders>
        <w:vAlign w:val="center"/>
      </w:tcPr>
    </w:tblStylePr>
    <w:tblStylePr w:type="lastRow">
      <w:tblPr/>
      <w:tcPr>
        <w:tcBorders>
          <w:bottom w:val="single" w:sz="4" w:space="0" w:color="auto"/>
        </w:tcBorders>
      </w:tcPr>
    </w:tblStylePr>
  </w:style>
  <w:style w:type="paragraph" w:customStyle="1" w:styleId="PhDTableCaption">
    <w:name w:val="PhD Table Caption"/>
    <w:next w:val="PhDNormal"/>
    <w:qFormat/>
    <w:rsid w:val="008C2B84"/>
    <w:pPr>
      <w:spacing w:before="120" w:after="180" w:line="360" w:lineRule="auto"/>
    </w:pPr>
    <w:rPr>
      <w:rFonts w:ascii="Times New Roman" w:eastAsia="Times New Roman" w:hAnsi="Times New Roman" w:cs="Times New Roman"/>
      <w:kern w:val="0"/>
      <w:sz w:val="20"/>
      <w:szCs w:val="20"/>
      <w14:ligatures w14:val="none"/>
    </w:rPr>
  </w:style>
  <w:style w:type="paragraph" w:customStyle="1" w:styleId="PhDAppendicesBibliography">
    <w:name w:val="PhD Appendices &amp; Bibliography"/>
    <w:basedOn w:val="Heading1"/>
    <w:next w:val="PhDNormal"/>
    <w:rsid w:val="008C2B84"/>
    <w:pPr>
      <w:numPr>
        <w:numId w:val="0"/>
      </w:numPr>
      <w:spacing w:after="480"/>
    </w:pPr>
  </w:style>
  <w:style w:type="paragraph" w:customStyle="1" w:styleId="PhDAppendixSub-heading">
    <w:name w:val="PhD Appendix Sub-heading"/>
    <w:basedOn w:val="PhDNormal2"/>
    <w:next w:val="PhDNormal"/>
    <w:rsid w:val="008C2B84"/>
    <w:pPr>
      <w:numPr>
        <w:ilvl w:val="2"/>
        <w:numId w:val="3"/>
      </w:numPr>
      <w:tabs>
        <w:tab w:val="clear" w:pos="1418"/>
      </w:tabs>
      <w:spacing w:after="240" w:line="480" w:lineRule="auto"/>
      <w:jc w:val="center"/>
    </w:pPr>
    <w:rPr>
      <w:b/>
      <w:bCs/>
    </w:rPr>
  </w:style>
  <w:style w:type="paragraph" w:customStyle="1" w:styleId="PhDNumberIndent">
    <w:name w:val="PhD Number Indent"/>
    <w:qFormat/>
    <w:rsid w:val="008C2B84"/>
    <w:pPr>
      <w:keepLines/>
      <w:numPr>
        <w:numId w:val="5"/>
      </w:numPr>
      <w:spacing w:after="120" w:line="360" w:lineRule="auto"/>
      <w:jc w:val="both"/>
    </w:pPr>
    <w:rPr>
      <w:rFonts w:ascii="Times New Roman" w:eastAsia="Times New Roman" w:hAnsi="Times New Roman" w:cs="Times New Roman"/>
      <w:kern w:val="0"/>
      <w:sz w:val="24"/>
      <w14:ligatures w14:val="none"/>
    </w:rPr>
  </w:style>
  <w:style w:type="paragraph" w:customStyle="1" w:styleId="PhDFigureCaption">
    <w:name w:val="PhD Figure Caption"/>
    <w:next w:val="PhDNormal"/>
    <w:link w:val="PhDFigureCaptionCharChar"/>
    <w:qFormat/>
    <w:rsid w:val="008C2B84"/>
    <w:pPr>
      <w:spacing w:before="120" w:after="240" w:line="240" w:lineRule="auto"/>
      <w:jc w:val="center"/>
    </w:pPr>
    <w:rPr>
      <w:rFonts w:ascii="Times New Roman" w:eastAsia="Times New Roman" w:hAnsi="Times New Roman" w:cs="Times New Roman"/>
      <w:kern w:val="0"/>
      <w:sz w:val="20"/>
      <w14:ligatures w14:val="none"/>
    </w:rPr>
  </w:style>
  <w:style w:type="paragraph" w:styleId="EndnoteText">
    <w:name w:val="endnote text"/>
    <w:basedOn w:val="Normal"/>
    <w:link w:val="EndnoteTextChar"/>
    <w:semiHidden/>
    <w:rsid w:val="008C2B84"/>
    <w:rPr>
      <w:sz w:val="20"/>
    </w:rPr>
  </w:style>
  <w:style w:type="character" w:customStyle="1" w:styleId="EndnoteTextChar">
    <w:name w:val="Endnote Text Char"/>
    <w:basedOn w:val="DefaultParagraphFont"/>
    <w:link w:val="EndnoteText"/>
    <w:semiHidden/>
    <w:rsid w:val="00B03352"/>
    <w:rPr>
      <w:rFonts w:ascii="Times New Roman" w:eastAsia="Times New Roman" w:hAnsi="Times New Roman" w:cs="Times New Roman"/>
      <w:kern w:val="0"/>
      <w:sz w:val="20"/>
      <w:szCs w:val="20"/>
      <w14:ligatures w14:val="none"/>
    </w:rPr>
  </w:style>
  <w:style w:type="character" w:customStyle="1" w:styleId="PhDFigureCaptionCharChar">
    <w:name w:val="PhD Figure Caption Char Char"/>
    <w:basedOn w:val="PhDNormalChar"/>
    <w:link w:val="PhDFigureCaption"/>
    <w:rsid w:val="008C2B84"/>
    <w:rPr>
      <w:rFonts w:ascii="Times New Roman" w:eastAsia="Times New Roman" w:hAnsi="Times New Roman" w:cs="Times New Roman"/>
      <w:kern w:val="0"/>
      <w:sz w:val="20"/>
      <w14:ligatures w14:val="none"/>
    </w:rPr>
  </w:style>
  <w:style w:type="character" w:styleId="EndnoteReference">
    <w:name w:val="endnote reference"/>
    <w:basedOn w:val="DefaultParagraphFont"/>
    <w:semiHidden/>
    <w:rsid w:val="008C2B84"/>
    <w:rPr>
      <w:vertAlign w:val="superscript"/>
    </w:rPr>
  </w:style>
  <w:style w:type="paragraph" w:customStyle="1" w:styleId="PhDPreliminaryHeading">
    <w:name w:val="PhD Preliminary Heading"/>
    <w:basedOn w:val="Heading2"/>
    <w:next w:val="PhDNormal"/>
    <w:rsid w:val="008C2B84"/>
    <w:pPr>
      <w:numPr>
        <w:ilvl w:val="0"/>
        <w:numId w:val="0"/>
      </w:numPr>
      <w:spacing w:after="720"/>
      <w:jc w:val="center"/>
    </w:pPr>
    <w:rPr>
      <w:caps w:val="0"/>
      <w:sz w:val="40"/>
    </w:rPr>
  </w:style>
  <w:style w:type="paragraph" w:customStyle="1" w:styleId="Glossary">
    <w:name w:val="Glossary"/>
    <w:basedOn w:val="PhDNormal"/>
    <w:rsid w:val="008C2B84"/>
    <w:pPr>
      <w:spacing w:line="240" w:lineRule="auto"/>
      <w:ind w:firstLine="0"/>
      <w:jc w:val="left"/>
    </w:pPr>
  </w:style>
  <w:style w:type="paragraph" w:customStyle="1" w:styleId="PhDPreamble">
    <w:name w:val="PhD Preamble"/>
    <w:basedOn w:val="Heading1"/>
    <w:qFormat/>
    <w:rsid w:val="008C2B84"/>
    <w:pPr>
      <w:numPr>
        <w:numId w:val="0"/>
      </w:numPr>
    </w:pPr>
  </w:style>
  <w:style w:type="paragraph" w:customStyle="1" w:styleId="PhDBullet">
    <w:name w:val="PhD Bullet"/>
    <w:basedOn w:val="PhDNormal"/>
    <w:qFormat/>
    <w:rsid w:val="008C2B84"/>
    <w:pPr>
      <w:numPr>
        <w:numId w:val="2"/>
      </w:numPr>
    </w:pPr>
  </w:style>
  <w:style w:type="character" w:customStyle="1" w:styleId="PhDNormal2CharChar">
    <w:name w:val="PhD Normal 2 Char Char"/>
    <w:basedOn w:val="DefaultParagraphFont"/>
    <w:link w:val="PhDNormal2"/>
    <w:rsid w:val="008C2B84"/>
    <w:rPr>
      <w:rFonts w:ascii="Times New Roman" w:eastAsia="Times New Roman" w:hAnsi="Times New Roman" w:cs="Times New Roman"/>
      <w:kern w:val="0"/>
      <w:sz w:val="24"/>
      <w14:ligatures w14:val="none"/>
    </w:rPr>
  </w:style>
  <w:style w:type="character" w:customStyle="1" w:styleId="TOC1Char">
    <w:name w:val="TOC 1 Char"/>
    <w:basedOn w:val="DefaultParagraphFont"/>
    <w:link w:val="TOC1"/>
    <w:uiPriority w:val="39"/>
    <w:rsid w:val="008C2B84"/>
    <w:rPr>
      <w:rFonts w:ascii="Times New Roman" w:eastAsia="Times New Roman" w:hAnsi="Times New Roman" w:cs="Times New Roman"/>
      <w:b/>
      <w:noProof/>
      <w:kern w:val="0"/>
      <w:sz w:val="24"/>
      <w:szCs w:val="20"/>
      <w14:ligatures w14:val="none"/>
    </w:rPr>
  </w:style>
  <w:style w:type="table" w:styleId="TableGrid">
    <w:name w:val="Table Grid"/>
    <w:basedOn w:val="TableNormal"/>
    <w:uiPriority w:val="39"/>
    <w:rsid w:val="008C2B84"/>
    <w:pPr>
      <w:spacing w:after="0" w:line="240" w:lineRule="auto"/>
    </w:pPr>
    <w:rPr>
      <w:rFonts w:ascii="Times New Roman" w:eastAsia="Times New Roman" w:hAnsi="Times New Roman" w:cs="Times New Roman"/>
      <w:kern w:val="0"/>
      <w:sz w:val="20"/>
      <w:szCs w:val="20"/>
      <w:lang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8C2B84"/>
    <w:pPr>
      <w:spacing w:after="0" w:line="240" w:lineRule="auto"/>
    </w:pPr>
    <w:rPr>
      <w:rFonts w:ascii="Times New Roman" w:eastAsia="Times New Roman" w:hAnsi="Times New Roman" w:cs="Times New Roman"/>
      <w:b/>
      <w:bCs/>
      <w:kern w:val="0"/>
      <w:sz w:val="20"/>
      <w:szCs w:val="20"/>
      <w:lang w:eastAsia="en-AU"/>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C2B84"/>
    <w:pPr>
      <w:spacing w:after="0" w:line="240" w:lineRule="auto"/>
    </w:pPr>
    <w:rPr>
      <w:rFonts w:ascii="Times New Roman" w:eastAsia="Times New Roman" w:hAnsi="Times New Roman" w:cs="Times New Roman"/>
      <w:kern w:val="0"/>
      <w:sz w:val="20"/>
      <w:szCs w:val="20"/>
      <w:lang w:eastAsia="en-AU"/>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PhDGraphic">
    <w:name w:val="PhD Graphic"/>
    <w:basedOn w:val="PhDNormal2"/>
    <w:qFormat/>
    <w:rsid w:val="008C2B84"/>
    <w:pPr>
      <w:keepNext/>
      <w:jc w:val="center"/>
    </w:pPr>
  </w:style>
  <w:style w:type="character" w:customStyle="1" w:styleId="NormalWebChar">
    <w:name w:val="Normal (Web) Char"/>
    <w:basedOn w:val="DefaultParagraphFont"/>
    <w:link w:val="NormalWeb"/>
    <w:uiPriority w:val="99"/>
    <w:rsid w:val="00D06BFA"/>
    <w:rPr>
      <w:rFonts w:ascii="Times New Roman" w:eastAsia="Times New Roman" w:hAnsi="Times New Roman" w:cs="Times New Roman"/>
      <w:kern w:val="0"/>
      <w:sz w:val="24"/>
      <w:szCs w:val="24"/>
      <w:lang w:eastAsia="en-AU"/>
      <w14:ligatures w14:val="none"/>
    </w:rPr>
  </w:style>
  <w:style w:type="paragraph" w:customStyle="1" w:styleId="004-Affiliation">
    <w:name w:val="004-Affiliation"/>
    <w:basedOn w:val="Normal"/>
    <w:next w:val="Normal"/>
    <w:qFormat/>
    <w:rsid w:val="00591145"/>
    <w:pPr>
      <w:spacing w:line="480" w:lineRule="auto"/>
      <w:jc w:val="center"/>
    </w:pPr>
    <w:rPr>
      <w:rFonts w:eastAsia="Calibri"/>
    </w:rPr>
  </w:style>
  <w:style w:type="paragraph" w:customStyle="1" w:styleId="Table-Left7">
    <w:name w:val="Table - Left 7"/>
    <w:link w:val="Table-Left7Char"/>
    <w:qFormat/>
    <w:rsid w:val="00E11660"/>
    <w:pPr>
      <w:spacing w:after="0" w:line="240" w:lineRule="auto"/>
    </w:pPr>
    <w:rPr>
      <w:rFonts w:ascii="Times New Roman" w:eastAsia="Times New Roman" w:hAnsi="Times New Roman" w:cs="Times New Roman"/>
      <w:kern w:val="0"/>
      <w:sz w:val="14"/>
      <w:szCs w:val="14"/>
      <w14:ligatures w14:val="none"/>
    </w:rPr>
  </w:style>
  <w:style w:type="character" w:customStyle="1" w:styleId="Table-Left7Char">
    <w:name w:val="Table - Left 7 Char"/>
    <w:basedOn w:val="DefaultParagraphFont"/>
    <w:link w:val="Table-Left7"/>
    <w:rsid w:val="00E11660"/>
    <w:rPr>
      <w:rFonts w:ascii="Times New Roman" w:eastAsia="Times New Roman" w:hAnsi="Times New Roman" w:cs="Times New Roman"/>
      <w:kern w:val="0"/>
      <w:sz w:val="14"/>
      <w:szCs w:val="14"/>
      <w14:ligatures w14:val="none"/>
    </w:rPr>
  </w:style>
  <w:style w:type="paragraph" w:customStyle="1" w:styleId="Table-Right7">
    <w:name w:val="Table - Right 7"/>
    <w:basedOn w:val="Table-Left7"/>
    <w:link w:val="Table-Right7Char"/>
    <w:qFormat/>
    <w:rsid w:val="00C43404"/>
    <w:pPr>
      <w:jc w:val="right"/>
    </w:pPr>
  </w:style>
  <w:style w:type="character" w:customStyle="1" w:styleId="Table-Right7Char">
    <w:name w:val="Table - Right 7 Char"/>
    <w:basedOn w:val="Table-Left7Char"/>
    <w:link w:val="Table-Right7"/>
    <w:rsid w:val="00C43404"/>
    <w:rPr>
      <w:rFonts w:ascii="Times New Roman" w:eastAsia="Times New Roman" w:hAnsi="Times New Roman" w:cs="Times New Roman"/>
      <w:kern w:val="0"/>
      <w:sz w:val="14"/>
      <w:szCs w:val="14"/>
      <w14:ligatures w14:val="none"/>
    </w:rPr>
  </w:style>
  <w:style w:type="paragraph" w:customStyle="1" w:styleId="Table-Center7Boldcolumnname">
    <w:name w:val="Table - Center 7 Bold column name"/>
    <w:link w:val="Table-Center7BoldcolumnnameChar"/>
    <w:qFormat/>
    <w:rsid w:val="00E11660"/>
    <w:pPr>
      <w:spacing w:after="0" w:line="240" w:lineRule="auto"/>
      <w:jc w:val="center"/>
    </w:pPr>
    <w:rPr>
      <w:rFonts w:ascii="Times New Roman" w:eastAsia="Times New Roman" w:hAnsi="Times New Roman" w:cs="Times New Roman"/>
      <w:b/>
      <w:bCs/>
      <w:kern w:val="0"/>
      <w:sz w:val="14"/>
      <w:szCs w:val="14"/>
      <w14:ligatures w14:val="none"/>
    </w:rPr>
  </w:style>
  <w:style w:type="character" w:customStyle="1" w:styleId="Table-Center7BoldcolumnnameChar">
    <w:name w:val="Table - Center 7 Bold column name Char"/>
    <w:basedOn w:val="DefaultParagraphFont"/>
    <w:link w:val="Table-Center7Boldcolumnname"/>
    <w:rsid w:val="00E11660"/>
    <w:rPr>
      <w:rFonts w:ascii="Times New Roman" w:eastAsia="Times New Roman" w:hAnsi="Times New Roman" w:cs="Times New Roman"/>
      <w:b/>
      <w:bCs/>
      <w:kern w:val="0"/>
      <w:sz w:val="14"/>
      <w:szCs w:val="14"/>
      <w14:ligatures w14:val="none"/>
    </w:rPr>
  </w:style>
  <w:style w:type="character" w:customStyle="1" w:styleId="katex-mathml">
    <w:name w:val="katex-mathml"/>
    <w:basedOn w:val="DefaultParagraphFont"/>
    <w:rsid w:val="00827D93"/>
  </w:style>
  <w:style w:type="character" w:customStyle="1" w:styleId="mord">
    <w:name w:val="mord"/>
    <w:basedOn w:val="DefaultParagraphFont"/>
    <w:rsid w:val="00827D93"/>
  </w:style>
  <w:style w:type="character" w:customStyle="1" w:styleId="mrel">
    <w:name w:val="mrel"/>
    <w:basedOn w:val="DefaultParagraphFont"/>
    <w:rsid w:val="00827D93"/>
  </w:style>
  <w:style w:type="character" w:styleId="HTMLCode">
    <w:name w:val="HTML Code"/>
    <w:basedOn w:val="DefaultParagraphFont"/>
    <w:uiPriority w:val="99"/>
    <w:semiHidden/>
    <w:unhideWhenUsed/>
    <w:rsid w:val="00827D93"/>
    <w:rPr>
      <w:rFonts w:ascii="Courier New" w:eastAsia="Times New Roman" w:hAnsi="Courier New" w:cs="Courier New"/>
      <w:sz w:val="20"/>
      <w:szCs w:val="20"/>
    </w:rPr>
  </w:style>
  <w:style w:type="paragraph" w:customStyle="1" w:styleId="Reference">
    <w:name w:val="Reference"/>
    <w:basedOn w:val="Normal"/>
    <w:link w:val="ReferenceChar"/>
    <w:qFormat/>
    <w:rsid w:val="00E24307"/>
    <w:pPr>
      <w:ind w:left="567" w:hanging="567"/>
    </w:pPr>
    <w:rPr>
      <w:rFonts w:eastAsiaTheme="minorHAnsi"/>
      <w:noProof/>
      <w:sz w:val="22"/>
      <w:szCs w:val="24"/>
      <w:lang w:val="en-US"/>
    </w:rPr>
  </w:style>
  <w:style w:type="character" w:customStyle="1" w:styleId="ReferenceChar">
    <w:name w:val="Reference Char"/>
    <w:basedOn w:val="DefaultParagraphFont"/>
    <w:link w:val="Reference"/>
    <w:rsid w:val="00E24307"/>
    <w:rPr>
      <w:rFonts w:ascii="Times New Roman" w:hAnsi="Times New Roman" w:cs="Times New Roman"/>
      <w:noProof/>
      <w:kern w:val="0"/>
      <w:szCs w:val="24"/>
      <w:lang w:val="en-US"/>
      <w14:ligatures w14:val="none"/>
    </w:rPr>
  </w:style>
  <w:style w:type="character" w:styleId="CommentReference">
    <w:name w:val="annotation reference"/>
    <w:basedOn w:val="DefaultParagraphFont"/>
    <w:uiPriority w:val="99"/>
    <w:semiHidden/>
    <w:unhideWhenUsed/>
    <w:rsid w:val="00E24307"/>
    <w:rPr>
      <w:sz w:val="16"/>
      <w:szCs w:val="16"/>
    </w:rPr>
  </w:style>
  <w:style w:type="paragraph" w:styleId="CommentText">
    <w:name w:val="annotation text"/>
    <w:basedOn w:val="Normal"/>
    <w:link w:val="CommentTextChar"/>
    <w:uiPriority w:val="99"/>
    <w:unhideWhenUsed/>
    <w:rsid w:val="00E24307"/>
    <w:pPr>
      <w:ind w:left="426"/>
    </w:pPr>
    <w:rPr>
      <w:rFonts w:ascii="Arial" w:hAnsi="Arial" w:cs="Arial"/>
      <w:sz w:val="20"/>
    </w:rPr>
  </w:style>
  <w:style w:type="character" w:customStyle="1" w:styleId="CommentTextChar">
    <w:name w:val="Comment Text Char"/>
    <w:basedOn w:val="DefaultParagraphFont"/>
    <w:link w:val="CommentText"/>
    <w:uiPriority w:val="99"/>
    <w:rsid w:val="00E24307"/>
    <w:rPr>
      <w:rFonts w:ascii="Arial" w:eastAsia="Times New Roman" w:hAnsi="Arial" w:cs="Arial"/>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24307"/>
    <w:rPr>
      <w:b/>
      <w:bCs/>
    </w:rPr>
  </w:style>
  <w:style w:type="character" w:customStyle="1" w:styleId="CommentSubjectChar">
    <w:name w:val="Comment Subject Char"/>
    <w:basedOn w:val="CommentTextChar"/>
    <w:link w:val="CommentSubject"/>
    <w:uiPriority w:val="99"/>
    <w:semiHidden/>
    <w:rsid w:val="00E24307"/>
    <w:rPr>
      <w:rFonts w:ascii="Arial" w:eastAsia="Times New Roman" w:hAnsi="Arial" w:cs="Arial"/>
      <w:b/>
      <w:bCs/>
      <w:kern w:val="0"/>
      <w:sz w:val="20"/>
      <w:szCs w:val="20"/>
      <w14:ligatures w14:val="none"/>
    </w:rPr>
  </w:style>
  <w:style w:type="character" w:styleId="PlaceholderText">
    <w:name w:val="Placeholder Text"/>
    <w:basedOn w:val="DefaultParagraphFont"/>
    <w:uiPriority w:val="99"/>
    <w:semiHidden/>
    <w:rsid w:val="00E24307"/>
    <w:rPr>
      <w:color w:val="808080"/>
    </w:rPr>
  </w:style>
  <w:style w:type="paragraph" w:styleId="BodyText">
    <w:name w:val="Body Text"/>
    <w:basedOn w:val="Normal"/>
    <w:link w:val="BodyTextChar"/>
    <w:uiPriority w:val="1"/>
    <w:qFormat/>
    <w:rsid w:val="00E24307"/>
    <w:pPr>
      <w:widowControl w:val="0"/>
      <w:autoSpaceDE w:val="0"/>
      <w:autoSpaceDN w:val="0"/>
    </w:pPr>
    <w:rPr>
      <w:sz w:val="19"/>
      <w:szCs w:val="19"/>
      <w:lang w:val="en-US"/>
    </w:rPr>
  </w:style>
  <w:style w:type="character" w:customStyle="1" w:styleId="BodyTextChar">
    <w:name w:val="Body Text Char"/>
    <w:basedOn w:val="DefaultParagraphFont"/>
    <w:link w:val="BodyText"/>
    <w:uiPriority w:val="1"/>
    <w:rsid w:val="00E24307"/>
    <w:rPr>
      <w:rFonts w:ascii="Times New Roman" w:eastAsia="Times New Roman" w:hAnsi="Times New Roman" w:cs="Times New Roman"/>
      <w:kern w:val="0"/>
      <w:sz w:val="19"/>
      <w:szCs w:val="19"/>
      <w:lang w:val="en-US"/>
      <w14:ligatures w14:val="none"/>
    </w:rPr>
  </w:style>
  <w:style w:type="paragraph" w:customStyle="1" w:styleId="References">
    <w:name w:val="References"/>
    <w:basedOn w:val="EndNoteBibliography"/>
    <w:link w:val="ReferencesChar"/>
    <w:qFormat/>
    <w:rsid w:val="00E24307"/>
    <w:pPr>
      <w:ind w:left="851" w:hanging="284"/>
    </w:pPr>
    <w:rPr>
      <w:rFonts w:ascii="Arial" w:hAnsi="Arial" w:cs="Arial"/>
      <w:sz w:val="20"/>
    </w:rPr>
  </w:style>
  <w:style w:type="character" w:customStyle="1" w:styleId="ReferencesChar">
    <w:name w:val="References Char"/>
    <w:basedOn w:val="EndNoteBibliographyChar"/>
    <w:link w:val="References"/>
    <w:rsid w:val="00E24307"/>
    <w:rPr>
      <w:rFonts w:ascii="Arial" w:eastAsia="Times New Roman" w:hAnsi="Arial" w:cs="Arial"/>
      <w:noProof/>
      <w:kern w:val="0"/>
      <w:sz w:val="20"/>
      <w:szCs w:val="20"/>
      <w:lang w:val="en-US"/>
      <w14:ligatures w14:val="none"/>
    </w:rPr>
  </w:style>
  <w:style w:type="paragraph" w:customStyle="1" w:styleId="002-Authors">
    <w:name w:val="002-Authors"/>
    <w:basedOn w:val="Normal"/>
    <w:next w:val="Normal"/>
    <w:qFormat/>
    <w:rsid w:val="00E24307"/>
    <w:pPr>
      <w:spacing w:before="360" w:line="480" w:lineRule="auto"/>
      <w:jc w:val="center"/>
    </w:pPr>
    <w:rPr>
      <w:rFonts w:eastAsia="Calibri"/>
    </w:rPr>
  </w:style>
  <w:style w:type="character" w:styleId="LineNumber">
    <w:name w:val="line number"/>
    <w:basedOn w:val="DefaultParagraphFont"/>
    <w:uiPriority w:val="99"/>
    <w:semiHidden/>
    <w:unhideWhenUsed/>
    <w:rsid w:val="00E24307"/>
  </w:style>
  <w:style w:type="paragraph" w:styleId="TOCHeading">
    <w:name w:val="TOC Heading"/>
    <w:basedOn w:val="Heading1"/>
    <w:next w:val="Normal"/>
    <w:uiPriority w:val="39"/>
    <w:unhideWhenUsed/>
    <w:qFormat/>
    <w:rsid w:val="00E24307"/>
    <w:pPr>
      <w:keepLines/>
      <w:numPr>
        <w:numId w:val="0"/>
      </w:numPr>
      <w:pBdr>
        <w:bottom w:val="none" w:sz="0" w:space="0" w:color="auto"/>
      </w:pBdr>
      <w:tabs>
        <w:tab w:val="clear" w:pos="567"/>
      </w:tabs>
      <w:spacing w:after="0"/>
      <w:outlineLvl w:val="9"/>
    </w:pPr>
    <w:rPr>
      <w:rFonts w:asciiTheme="majorHAnsi" w:eastAsiaTheme="majorEastAsia" w:hAnsiTheme="majorHAnsi" w:cstheme="majorBidi"/>
      <w:b w:val="0"/>
      <w:color w:val="0F4761" w:themeColor="accent1" w:themeShade="BF"/>
      <w:spacing w:val="0"/>
      <w:sz w:val="32"/>
      <w:szCs w:val="32"/>
      <w:lang w:val="en-US"/>
    </w:rPr>
  </w:style>
  <w:style w:type="paragraph" w:styleId="NoSpacing">
    <w:name w:val="No Spacing"/>
    <w:link w:val="NoSpacingChar"/>
    <w:uiPriority w:val="1"/>
    <w:qFormat/>
    <w:rsid w:val="005551FC"/>
    <w:pPr>
      <w:spacing w:after="0" w:line="240" w:lineRule="auto"/>
      <w:ind w:left="426"/>
      <w:jc w:val="both"/>
    </w:pPr>
    <w:rPr>
      <w:rFonts w:ascii="Arial" w:eastAsia="Times New Roman" w:hAnsi="Arial" w:cs="Arial"/>
      <w:kern w:val="0"/>
      <w:sz w:val="20"/>
      <w:szCs w:val="20"/>
      <w14:ligatures w14:val="none"/>
    </w:rPr>
  </w:style>
  <w:style w:type="paragraph" w:customStyle="1" w:styleId="008-References">
    <w:name w:val="008-References"/>
    <w:basedOn w:val="Normal"/>
    <w:link w:val="008-ReferencesChar"/>
    <w:qFormat/>
    <w:rsid w:val="00AA70AF"/>
    <w:pPr>
      <w:ind w:left="284" w:hanging="284"/>
    </w:pPr>
  </w:style>
  <w:style w:type="character" w:customStyle="1" w:styleId="008-ReferencesChar">
    <w:name w:val="008-References Char"/>
    <w:basedOn w:val="DefaultParagraphFont"/>
    <w:link w:val="008-References"/>
    <w:rsid w:val="00AA70AF"/>
    <w:rPr>
      <w:rFonts w:ascii="Times New Roman" w:eastAsia="Times New Roman" w:hAnsi="Times New Roman" w:cs="Times New Roman"/>
      <w:kern w:val="0"/>
      <w:sz w:val="24"/>
      <w:szCs w:val="20"/>
      <w14:ligatures w14:val="none"/>
    </w:rPr>
  </w:style>
  <w:style w:type="paragraph" w:customStyle="1" w:styleId="TableText">
    <w:name w:val="Table Text"/>
    <w:basedOn w:val="Normal"/>
    <w:link w:val="TableTextChar"/>
    <w:qFormat/>
    <w:rsid w:val="00AA70AF"/>
    <w:rPr>
      <w:rFonts w:eastAsiaTheme="minorHAnsi"/>
      <w:szCs w:val="24"/>
      <w:lang w:eastAsia="en-AU"/>
    </w:rPr>
  </w:style>
  <w:style w:type="character" w:customStyle="1" w:styleId="TableTextChar">
    <w:name w:val="Table Text Char"/>
    <w:basedOn w:val="DefaultParagraphFont"/>
    <w:link w:val="TableText"/>
    <w:rsid w:val="00AA70AF"/>
    <w:rPr>
      <w:rFonts w:ascii="Times New Roman" w:hAnsi="Times New Roman" w:cs="Times New Roman"/>
      <w:kern w:val="0"/>
      <w:sz w:val="24"/>
      <w:szCs w:val="24"/>
      <w:lang w:eastAsia="en-AU"/>
      <w14:ligatures w14:val="none"/>
    </w:rPr>
  </w:style>
  <w:style w:type="paragraph" w:customStyle="1" w:styleId="Heading-WithoutChapterNumber">
    <w:name w:val="Heading - Without Chapter Number"/>
    <w:basedOn w:val="Heading1"/>
    <w:link w:val="Heading-WithoutChapterNumberChar"/>
    <w:qFormat/>
    <w:rsid w:val="00920E03"/>
    <w:pPr>
      <w:numPr>
        <w:numId w:val="0"/>
      </w:numPr>
      <w:ind w:left="2126" w:hanging="2126"/>
    </w:pPr>
  </w:style>
  <w:style w:type="character" w:customStyle="1" w:styleId="Heading-WithoutChapterNumberChar">
    <w:name w:val="Heading - Without Chapter Number Char"/>
    <w:basedOn w:val="Heading1Char"/>
    <w:link w:val="Heading-WithoutChapterNumber"/>
    <w:rsid w:val="00920E03"/>
    <w:rPr>
      <w:rFonts w:ascii="Times New Roman" w:eastAsia="Times New Roman" w:hAnsi="Times New Roman" w:cs="Times New Roman"/>
      <w:b/>
      <w:spacing w:val="-4"/>
      <w:kern w:val="0"/>
      <w:sz w:val="44"/>
      <w:szCs w:val="20"/>
      <w14:ligatures w14:val="none"/>
    </w:rPr>
  </w:style>
  <w:style w:type="paragraph" w:customStyle="1" w:styleId="Non-Numbered-Headings-Centre">
    <w:name w:val="Non-Numbered-Headings-Centre"/>
    <w:basedOn w:val="Normal"/>
    <w:link w:val="Non-Numbered-Headings-CentreChar"/>
    <w:qFormat/>
    <w:rsid w:val="00703DAC"/>
    <w:pPr>
      <w:spacing w:after="240"/>
      <w:jc w:val="center"/>
    </w:pPr>
    <w:rPr>
      <w:b/>
      <w:bCs/>
      <w:sz w:val="40"/>
      <w:szCs w:val="40"/>
    </w:rPr>
  </w:style>
  <w:style w:type="character" w:customStyle="1" w:styleId="Non-Numbered-Headings-CentreChar">
    <w:name w:val="Non-Numbered-Headings-Centre Char"/>
    <w:basedOn w:val="DefaultParagraphFont"/>
    <w:link w:val="Non-Numbered-Headings-Centre"/>
    <w:rsid w:val="00703DAC"/>
    <w:rPr>
      <w:rFonts w:ascii="Times New Roman" w:eastAsia="Times New Roman" w:hAnsi="Times New Roman" w:cs="Times New Roman"/>
      <w:b/>
      <w:bCs/>
      <w:kern w:val="0"/>
      <w:sz w:val="40"/>
      <w:szCs w:val="40"/>
      <w14:ligatures w14:val="none"/>
    </w:rPr>
  </w:style>
  <w:style w:type="paragraph" w:customStyle="1" w:styleId="Normal-Centre">
    <w:name w:val="Normal - Centre"/>
    <w:basedOn w:val="Normal"/>
    <w:link w:val="Normal-CentreChar"/>
    <w:qFormat/>
    <w:rsid w:val="006D4949"/>
    <w:pPr>
      <w:spacing w:after="0" w:line="240" w:lineRule="auto"/>
      <w:jc w:val="center"/>
    </w:pPr>
  </w:style>
  <w:style w:type="character" w:customStyle="1" w:styleId="Normal-CentreChar">
    <w:name w:val="Normal - Centre Char"/>
    <w:basedOn w:val="DefaultParagraphFont"/>
    <w:link w:val="Normal-Centre"/>
    <w:rsid w:val="006D4949"/>
    <w:rPr>
      <w:rFonts w:ascii="Times New Roman" w:eastAsia="Times New Roman" w:hAnsi="Times New Roman" w:cs="Times New Roman"/>
      <w:kern w:val="0"/>
      <w:sz w:val="24"/>
      <w14:ligatures w14:val="none"/>
    </w:rPr>
  </w:style>
  <w:style w:type="paragraph" w:customStyle="1" w:styleId="LoAbr">
    <w:name w:val="L_o_Abr"/>
    <w:link w:val="LoAbrChar"/>
    <w:qFormat/>
    <w:rsid w:val="006717AB"/>
    <w:pPr>
      <w:spacing w:after="0" w:line="240" w:lineRule="auto"/>
    </w:pPr>
    <w:rPr>
      <w:rFonts w:ascii="Times New Roman" w:eastAsia="Times New Roman" w:hAnsi="Times New Roman" w:cs="Times New Roman"/>
      <w:kern w:val="0"/>
      <w:sz w:val="24"/>
      <w:szCs w:val="20"/>
      <w14:ligatures w14:val="none"/>
    </w:rPr>
  </w:style>
  <w:style w:type="character" w:customStyle="1" w:styleId="LoAbrChar">
    <w:name w:val="L_o_Abr Char"/>
    <w:basedOn w:val="DefaultParagraphFont"/>
    <w:link w:val="LoAbr"/>
    <w:rsid w:val="006717AB"/>
    <w:rPr>
      <w:rFonts w:ascii="Times New Roman" w:eastAsia="Times New Roman" w:hAnsi="Times New Roman" w:cs="Times New Roman"/>
      <w:kern w:val="0"/>
      <w:sz w:val="24"/>
      <w:szCs w:val="20"/>
      <w14:ligatures w14:val="none"/>
    </w:rPr>
  </w:style>
  <w:style w:type="paragraph" w:styleId="Revision">
    <w:name w:val="Revision"/>
    <w:hidden/>
    <w:uiPriority w:val="99"/>
    <w:semiHidden/>
    <w:rsid w:val="00DD275D"/>
    <w:pPr>
      <w:spacing w:after="0" w:line="240" w:lineRule="auto"/>
    </w:pPr>
    <w:rPr>
      <w:rFonts w:ascii="Times New Roman" w:eastAsia="Times New Roman" w:hAnsi="Times New Roman" w:cs="Times New Roman"/>
      <w:kern w:val="0"/>
      <w:sz w:val="24"/>
      <w:szCs w:val="20"/>
      <w14:ligatures w14:val="none"/>
    </w:rPr>
  </w:style>
  <w:style w:type="paragraph" w:customStyle="1" w:styleId="Annexure">
    <w:name w:val="Annexure"/>
    <w:next w:val="Normal"/>
    <w:link w:val="AnnexureChar"/>
    <w:qFormat/>
    <w:rsid w:val="00A50C6A"/>
    <w:rPr>
      <w:rFonts w:ascii="Times New Roman" w:eastAsia="Times New Roman" w:hAnsi="Times New Roman" w:cs="Times New Roman"/>
      <w:b/>
      <w:bCs/>
      <w:kern w:val="0"/>
      <w:sz w:val="40"/>
      <w:szCs w:val="40"/>
      <w14:ligatures w14:val="none"/>
    </w:rPr>
  </w:style>
  <w:style w:type="character" w:customStyle="1" w:styleId="AnnexureChar">
    <w:name w:val="Annexure Char"/>
    <w:basedOn w:val="Non-Numbered-Headings-CentreChar"/>
    <w:link w:val="Annexure"/>
    <w:rsid w:val="00A50C6A"/>
    <w:rPr>
      <w:rFonts w:ascii="Times New Roman" w:eastAsia="Times New Roman" w:hAnsi="Times New Roman" w:cs="Times New Roman"/>
      <w:b/>
      <w:bCs/>
      <w:kern w:val="0"/>
      <w:sz w:val="40"/>
      <w:szCs w:val="40"/>
      <w14:ligatures w14:val="none"/>
    </w:rPr>
  </w:style>
  <w:style w:type="numbering" w:customStyle="1" w:styleId="AnnexureHeading">
    <w:name w:val="Annexure Heading"/>
    <w:uiPriority w:val="99"/>
    <w:rsid w:val="00726439"/>
    <w:pPr>
      <w:numPr>
        <w:numId w:val="6"/>
      </w:numPr>
    </w:pPr>
  </w:style>
  <w:style w:type="paragraph" w:customStyle="1" w:styleId="AnnexureHeading1">
    <w:name w:val="Annexure Heading 1"/>
    <w:next w:val="Normal"/>
    <w:qFormat/>
    <w:rsid w:val="00D170D0"/>
    <w:pPr>
      <w:numPr>
        <w:numId w:val="7"/>
      </w:numPr>
      <w:pBdr>
        <w:bottom w:val="single" w:sz="4" w:space="1" w:color="auto"/>
      </w:pBdr>
      <w:outlineLvl w:val="0"/>
    </w:pPr>
    <w:rPr>
      <w:rFonts w:ascii="Times New Roman" w:eastAsia="Times New Roman" w:hAnsi="Times New Roman" w:cs="Times New Roman"/>
      <w:b/>
      <w:spacing w:val="-4"/>
      <w:kern w:val="0"/>
      <w:sz w:val="32"/>
      <w:szCs w:val="32"/>
      <w14:ligatures w14:val="none"/>
    </w:rPr>
  </w:style>
  <w:style w:type="paragraph" w:customStyle="1" w:styleId="Heading2-withoutNumbers">
    <w:name w:val="Heading 2- without Numbers"/>
    <w:next w:val="Normal"/>
    <w:qFormat/>
    <w:rsid w:val="001A5795"/>
    <w:rPr>
      <w:rFonts w:ascii="Times New Roman" w:eastAsia="Times New Roman" w:hAnsi="Times New Roman" w:cs="Times New Roman"/>
      <w:b/>
      <w:caps/>
      <w:kern w:val="0"/>
      <w:sz w:val="24"/>
      <w:szCs w:val="20"/>
      <w14:ligatures w14:val="none"/>
    </w:rPr>
  </w:style>
  <w:style w:type="paragraph" w:customStyle="1" w:styleId="msonormal0">
    <w:name w:val="msonormal"/>
    <w:basedOn w:val="Normal"/>
    <w:rsid w:val="004F0CAF"/>
    <w:pPr>
      <w:spacing w:before="100" w:beforeAutospacing="1" w:after="100" w:afterAutospacing="1" w:line="240" w:lineRule="auto"/>
      <w:jc w:val="left"/>
    </w:pPr>
    <w:rPr>
      <w:szCs w:val="24"/>
      <w:lang w:eastAsia="en-AU"/>
    </w:rPr>
  </w:style>
  <w:style w:type="paragraph" w:customStyle="1" w:styleId="xl63">
    <w:name w:val="xl63"/>
    <w:basedOn w:val="Normal"/>
    <w:rsid w:val="004F0CAF"/>
    <w:pPr>
      <w:spacing w:before="100" w:beforeAutospacing="1" w:after="100" w:afterAutospacing="1" w:line="240" w:lineRule="auto"/>
      <w:jc w:val="left"/>
      <w:textAlignment w:val="center"/>
    </w:pPr>
    <w:rPr>
      <w:szCs w:val="24"/>
      <w:lang w:eastAsia="en-AU"/>
    </w:rPr>
  </w:style>
  <w:style w:type="paragraph" w:customStyle="1" w:styleId="xl64">
    <w:name w:val="xl64"/>
    <w:basedOn w:val="Normal"/>
    <w:rsid w:val="004F0CAF"/>
    <w:pPr>
      <w:spacing w:before="100" w:beforeAutospacing="1" w:after="100" w:afterAutospacing="1" w:line="240" w:lineRule="auto"/>
      <w:jc w:val="left"/>
      <w:textAlignment w:val="center"/>
    </w:pPr>
    <w:rPr>
      <w:szCs w:val="24"/>
      <w:lang w:eastAsia="en-AU"/>
    </w:rPr>
  </w:style>
  <w:style w:type="paragraph" w:customStyle="1" w:styleId="xl65">
    <w:name w:val="xl65"/>
    <w:basedOn w:val="Normal"/>
    <w:rsid w:val="00CC245B"/>
    <w:pPr>
      <w:spacing w:before="100" w:beforeAutospacing="1" w:after="100" w:afterAutospacing="1" w:line="240" w:lineRule="auto"/>
      <w:jc w:val="center"/>
      <w:textAlignment w:val="center"/>
    </w:pPr>
    <w:rPr>
      <w:b/>
      <w:bCs/>
      <w:szCs w:val="24"/>
      <w:lang w:eastAsia="en-AU"/>
    </w:rPr>
  </w:style>
  <w:style w:type="paragraph" w:customStyle="1" w:styleId="xl66">
    <w:name w:val="xl66"/>
    <w:basedOn w:val="Normal"/>
    <w:rsid w:val="00CC245B"/>
    <w:pPr>
      <w:spacing w:before="100" w:beforeAutospacing="1" w:after="100" w:afterAutospacing="1" w:line="240" w:lineRule="auto"/>
      <w:jc w:val="left"/>
      <w:textAlignment w:val="center"/>
    </w:pPr>
    <w:rPr>
      <w:szCs w:val="24"/>
      <w:lang w:eastAsia="en-AU"/>
    </w:rPr>
  </w:style>
  <w:style w:type="paragraph" w:customStyle="1" w:styleId="xl106">
    <w:name w:val="xl106"/>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107">
    <w:name w:val="xl107"/>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color w:val="000000"/>
      <w:sz w:val="18"/>
      <w:szCs w:val="18"/>
      <w:lang w:eastAsia="en-AU"/>
    </w:rPr>
  </w:style>
  <w:style w:type="paragraph" w:customStyle="1" w:styleId="xl78">
    <w:name w:val="xl78"/>
    <w:basedOn w:val="Normal"/>
    <w:rsid w:val="000B4408"/>
    <w:pPr>
      <w:pBdr>
        <w:top w:val="single" w:sz="12"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79">
    <w:name w:val="xl79"/>
    <w:basedOn w:val="Normal"/>
    <w:rsid w:val="000B4408"/>
    <w:pPr>
      <w:pBdr>
        <w:top w:val="single" w:sz="12" w:space="0" w:color="000000"/>
        <w:left w:val="single" w:sz="12" w:space="0" w:color="000000"/>
        <w:bottom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0">
    <w:name w:val="xl80"/>
    <w:basedOn w:val="Normal"/>
    <w:rsid w:val="000B4408"/>
    <w:pPr>
      <w:pBdr>
        <w:top w:val="single" w:sz="4" w:space="0" w:color="000000"/>
        <w:left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1">
    <w:name w:val="xl81"/>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hAnsi="Arial" w:cs="Arial"/>
      <w:color w:val="000000"/>
      <w:sz w:val="18"/>
      <w:szCs w:val="18"/>
      <w:lang w:eastAsia="en-AU"/>
    </w:rPr>
  </w:style>
  <w:style w:type="paragraph" w:customStyle="1" w:styleId="xl82">
    <w:name w:val="xl82"/>
    <w:basedOn w:val="Normal"/>
    <w:rsid w:val="000B4408"/>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top"/>
    </w:pPr>
    <w:rPr>
      <w:rFonts w:ascii="Arial" w:hAnsi="Arial" w:cs="Arial"/>
      <w:color w:val="000000"/>
      <w:sz w:val="18"/>
      <w:szCs w:val="18"/>
      <w:lang w:eastAsia="en-AU"/>
    </w:rPr>
  </w:style>
  <w:style w:type="paragraph" w:customStyle="1" w:styleId="xl83">
    <w:name w:val="xl83"/>
    <w:basedOn w:val="Normal"/>
    <w:rsid w:val="000B4408"/>
    <w:pPr>
      <w:pBdr>
        <w:left w:val="single" w:sz="12" w:space="0" w:color="000000"/>
        <w:bottom w:val="single" w:sz="4"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4">
    <w:name w:val="xl84"/>
    <w:basedOn w:val="Normal"/>
    <w:rsid w:val="000B4408"/>
    <w:pPr>
      <w:pBdr>
        <w:left w:val="single" w:sz="12"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5">
    <w:name w:val="xl85"/>
    <w:basedOn w:val="Normal"/>
    <w:rsid w:val="000B4408"/>
    <w:pPr>
      <w:pBdr>
        <w:top w:val="single" w:sz="12" w:space="0" w:color="000000"/>
        <w:left w:val="single" w:sz="12" w:space="0" w:color="000000"/>
        <w:bottom w:val="single" w:sz="4"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6">
    <w:name w:val="xl86"/>
    <w:basedOn w:val="Normal"/>
    <w:rsid w:val="000B4408"/>
    <w:pPr>
      <w:pBdr>
        <w:left w:val="single" w:sz="12" w:space="0" w:color="000000"/>
        <w:bottom w:val="single" w:sz="12"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7">
    <w:name w:val="xl87"/>
    <w:basedOn w:val="Normal"/>
    <w:rsid w:val="000B4408"/>
    <w:pPr>
      <w:shd w:val="clear" w:color="000000" w:fill="FFF2CC"/>
      <w:spacing w:before="100" w:beforeAutospacing="1" w:after="100" w:afterAutospacing="1" w:line="240" w:lineRule="auto"/>
      <w:jc w:val="left"/>
    </w:pPr>
    <w:rPr>
      <w:szCs w:val="24"/>
      <w:lang w:eastAsia="en-AU"/>
    </w:rPr>
  </w:style>
  <w:style w:type="paragraph" w:customStyle="1" w:styleId="xl112">
    <w:name w:val="xl112"/>
    <w:basedOn w:val="Normal"/>
    <w:rsid w:val="000B4408"/>
    <w:pPr>
      <w:spacing w:before="100" w:beforeAutospacing="1" w:after="100" w:afterAutospacing="1" w:line="240" w:lineRule="auto"/>
      <w:jc w:val="center"/>
      <w:textAlignment w:val="center"/>
    </w:pPr>
    <w:rPr>
      <w:szCs w:val="24"/>
      <w:lang w:eastAsia="en-AU"/>
    </w:rPr>
  </w:style>
  <w:style w:type="paragraph" w:customStyle="1" w:styleId="xl113">
    <w:name w:val="xl113"/>
    <w:basedOn w:val="Normal"/>
    <w:rsid w:val="000B4408"/>
    <w:pPr>
      <w:pBdr>
        <w:top w:val="single" w:sz="4" w:space="0" w:color="auto"/>
        <w:bottom w:val="single" w:sz="4" w:space="0" w:color="auto"/>
      </w:pBdr>
      <w:spacing w:before="100" w:beforeAutospacing="1" w:after="100" w:afterAutospacing="1" w:line="240" w:lineRule="auto"/>
      <w:jc w:val="center"/>
      <w:textAlignment w:val="center"/>
    </w:pPr>
    <w:rPr>
      <w:rFonts w:ascii="Arial" w:hAnsi="Arial" w:cs="Arial"/>
      <w:b/>
      <w:bCs/>
      <w:color w:val="000000"/>
      <w:sz w:val="16"/>
      <w:szCs w:val="16"/>
      <w:lang w:eastAsia="en-AU"/>
    </w:rPr>
  </w:style>
  <w:style w:type="paragraph" w:customStyle="1" w:styleId="xl114">
    <w:name w:val="xl114"/>
    <w:basedOn w:val="Normal"/>
    <w:rsid w:val="000B4408"/>
    <w:pPr>
      <w:pBdr>
        <w:bottom w:val="single" w:sz="4" w:space="0" w:color="auto"/>
      </w:pBdr>
      <w:spacing w:before="100" w:beforeAutospacing="1" w:after="100" w:afterAutospacing="1" w:line="240" w:lineRule="auto"/>
      <w:jc w:val="left"/>
    </w:pPr>
    <w:rPr>
      <w:szCs w:val="24"/>
      <w:lang w:eastAsia="en-AU"/>
    </w:rPr>
  </w:style>
  <w:style w:type="paragraph" w:customStyle="1" w:styleId="xl115">
    <w:name w:val="xl115"/>
    <w:basedOn w:val="Normal"/>
    <w:rsid w:val="000B4408"/>
    <w:pPr>
      <w:pBdr>
        <w:top w:val="single" w:sz="4" w:space="0" w:color="auto"/>
      </w:pBdr>
      <w:spacing w:before="100" w:beforeAutospacing="1" w:after="100" w:afterAutospacing="1" w:line="240" w:lineRule="auto"/>
      <w:jc w:val="left"/>
    </w:pPr>
    <w:rPr>
      <w:szCs w:val="24"/>
      <w:lang w:eastAsia="en-AU"/>
    </w:rPr>
  </w:style>
  <w:style w:type="paragraph" w:customStyle="1" w:styleId="xl116">
    <w:name w:val="xl116"/>
    <w:basedOn w:val="Normal"/>
    <w:rsid w:val="000B4408"/>
    <w:pPr>
      <w:spacing w:before="100" w:beforeAutospacing="1" w:after="100" w:afterAutospacing="1" w:line="240" w:lineRule="auto"/>
      <w:jc w:val="left"/>
    </w:pPr>
    <w:rPr>
      <w:szCs w:val="24"/>
      <w:lang w:eastAsia="en-AU"/>
    </w:rPr>
  </w:style>
  <w:style w:type="paragraph" w:customStyle="1" w:styleId="xl117">
    <w:name w:val="xl117"/>
    <w:basedOn w:val="Normal"/>
    <w:rsid w:val="000B4408"/>
    <w:pPr>
      <w:pBdr>
        <w:top w:val="single" w:sz="4" w:space="0" w:color="auto"/>
        <w:bottom w:val="single" w:sz="4" w:space="0" w:color="auto"/>
      </w:pBdr>
      <w:spacing w:before="100" w:beforeAutospacing="1" w:after="100" w:afterAutospacing="1" w:line="240" w:lineRule="auto"/>
      <w:jc w:val="left"/>
      <w:textAlignment w:val="center"/>
    </w:pPr>
    <w:rPr>
      <w:rFonts w:ascii="Arial" w:hAnsi="Arial" w:cs="Arial"/>
      <w:b/>
      <w:bCs/>
      <w:color w:val="000000"/>
      <w:sz w:val="16"/>
      <w:szCs w:val="16"/>
      <w:lang w:eastAsia="en-AU"/>
    </w:rPr>
  </w:style>
  <w:style w:type="paragraph" w:customStyle="1" w:styleId="xl118">
    <w:name w:val="xl118"/>
    <w:basedOn w:val="Normal"/>
    <w:rsid w:val="000B4408"/>
    <w:pPr>
      <w:pBdr>
        <w:bottom w:val="single" w:sz="4" w:space="0" w:color="auto"/>
      </w:pBdr>
      <w:spacing w:before="100" w:beforeAutospacing="1" w:after="100" w:afterAutospacing="1" w:line="240" w:lineRule="auto"/>
      <w:jc w:val="left"/>
    </w:pPr>
    <w:rPr>
      <w:szCs w:val="24"/>
      <w:lang w:eastAsia="en-AU"/>
    </w:rPr>
  </w:style>
  <w:style w:type="paragraph" w:customStyle="1" w:styleId="xl119">
    <w:name w:val="xl119"/>
    <w:basedOn w:val="Normal"/>
    <w:rsid w:val="000B4408"/>
    <w:pPr>
      <w:pBdr>
        <w:top w:val="single" w:sz="4" w:space="0" w:color="auto"/>
      </w:pBdr>
      <w:spacing w:before="100" w:beforeAutospacing="1" w:after="100" w:afterAutospacing="1" w:line="240" w:lineRule="auto"/>
      <w:jc w:val="left"/>
    </w:pPr>
    <w:rPr>
      <w:szCs w:val="24"/>
      <w:lang w:eastAsia="en-AU"/>
    </w:rPr>
  </w:style>
  <w:style w:type="paragraph" w:customStyle="1" w:styleId="xl120">
    <w:name w:val="xl120"/>
    <w:basedOn w:val="Normal"/>
    <w:rsid w:val="000B4408"/>
    <w:pPr>
      <w:pBdr>
        <w:bottom w:val="single" w:sz="4" w:space="0" w:color="auto"/>
      </w:pBdr>
      <w:spacing w:before="100" w:beforeAutospacing="1" w:after="100" w:afterAutospacing="1" w:line="240" w:lineRule="auto"/>
      <w:jc w:val="center"/>
      <w:textAlignment w:val="center"/>
    </w:pPr>
    <w:rPr>
      <w:szCs w:val="24"/>
      <w:lang w:eastAsia="en-AU"/>
    </w:rPr>
  </w:style>
  <w:style w:type="paragraph" w:customStyle="1" w:styleId="xl121">
    <w:name w:val="xl121"/>
    <w:basedOn w:val="Normal"/>
    <w:rsid w:val="000B4408"/>
    <w:pPr>
      <w:pBdr>
        <w:top w:val="single" w:sz="4" w:space="0" w:color="auto"/>
      </w:pBdr>
      <w:spacing w:before="100" w:beforeAutospacing="1" w:after="100" w:afterAutospacing="1" w:line="240" w:lineRule="auto"/>
      <w:jc w:val="center"/>
      <w:textAlignment w:val="center"/>
    </w:pPr>
    <w:rPr>
      <w:szCs w:val="24"/>
      <w:lang w:eastAsia="en-AU"/>
    </w:rPr>
  </w:style>
  <w:style w:type="paragraph" w:customStyle="1" w:styleId="001-Title">
    <w:name w:val="001-Title"/>
    <w:basedOn w:val="Normal"/>
    <w:next w:val="002-Authors"/>
    <w:qFormat/>
    <w:rsid w:val="007B58E7"/>
    <w:pPr>
      <w:spacing w:after="0" w:line="480" w:lineRule="auto"/>
      <w:jc w:val="center"/>
    </w:pPr>
    <w:rPr>
      <w:rFonts w:eastAsia="Calibri"/>
      <w:sz w:val="32"/>
      <w:szCs w:val="22"/>
      <w:lang w:val="da-DK"/>
    </w:rPr>
  </w:style>
  <w:style w:type="paragraph" w:customStyle="1" w:styleId="003-Email">
    <w:name w:val="003-Email"/>
    <w:basedOn w:val="Normal"/>
    <w:next w:val="004-Affiliation"/>
    <w:qFormat/>
    <w:rsid w:val="007B58E7"/>
    <w:pPr>
      <w:spacing w:before="240" w:after="0" w:line="480" w:lineRule="auto"/>
      <w:jc w:val="center"/>
    </w:pPr>
    <w:rPr>
      <w:rFonts w:eastAsia="Calibri"/>
      <w:i/>
      <w:szCs w:val="22"/>
      <w:lang w:val="en-GB"/>
    </w:rPr>
  </w:style>
  <w:style w:type="paragraph" w:customStyle="1" w:styleId="005-AbstractHeader">
    <w:name w:val="005-AbstractHeader"/>
    <w:basedOn w:val="Normal"/>
    <w:qFormat/>
    <w:rsid w:val="007B58E7"/>
    <w:pPr>
      <w:spacing w:before="360" w:after="0" w:line="480" w:lineRule="auto"/>
    </w:pPr>
    <w:rPr>
      <w:rFonts w:eastAsia="Calibri"/>
      <w:b/>
      <w:szCs w:val="22"/>
      <w:lang w:val="en-GB"/>
    </w:rPr>
  </w:style>
  <w:style w:type="paragraph" w:customStyle="1" w:styleId="006-AbstractBodytext">
    <w:name w:val="006-AbstractBodytext"/>
    <w:basedOn w:val="005-AbstractHeader"/>
    <w:qFormat/>
    <w:rsid w:val="007B58E7"/>
    <w:pPr>
      <w:spacing w:before="0"/>
    </w:pPr>
    <w:rPr>
      <w:b w:val="0"/>
    </w:rPr>
  </w:style>
  <w:style w:type="paragraph" w:customStyle="1" w:styleId="007-Caption">
    <w:name w:val="007-Caption"/>
    <w:basedOn w:val="Normal"/>
    <w:next w:val="Normal"/>
    <w:qFormat/>
    <w:rsid w:val="007B58E7"/>
    <w:pPr>
      <w:spacing w:before="120" w:after="120" w:line="480" w:lineRule="auto"/>
      <w:jc w:val="center"/>
    </w:pPr>
    <w:rPr>
      <w:rFonts w:eastAsia="Calibri"/>
      <w:b/>
      <w:szCs w:val="22"/>
      <w:lang w:val="en-GB"/>
    </w:rPr>
  </w:style>
  <w:style w:type="paragraph" w:styleId="BodyText2">
    <w:name w:val="Body Text 2"/>
    <w:basedOn w:val="Normal"/>
    <w:link w:val="BodyText2Char"/>
    <w:uiPriority w:val="99"/>
    <w:semiHidden/>
    <w:unhideWhenUsed/>
    <w:rsid w:val="007B58E7"/>
    <w:pPr>
      <w:spacing w:after="120" w:line="480" w:lineRule="auto"/>
    </w:pPr>
    <w:rPr>
      <w:rFonts w:eastAsia="Calibri"/>
      <w:szCs w:val="22"/>
      <w:lang w:val="en-GB"/>
    </w:rPr>
  </w:style>
  <w:style w:type="character" w:customStyle="1" w:styleId="BodyText2Char">
    <w:name w:val="Body Text 2 Char"/>
    <w:basedOn w:val="DefaultParagraphFont"/>
    <w:link w:val="BodyText2"/>
    <w:uiPriority w:val="99"/>
    <w:semiHidden/>
    <w:rsid w:val="007B58E7"/>
    <w:rPr>
      <w:rFonts w:ascii="Times New Roman" w:eastAsia="Calibri" w:hAnsi="Times New Roman" w:cs="Times New Roman"/>
      <w:kern w:val="0"/>
      <w:sz w:val="24"/>
      <w:lang w:val="en-GB"/>
      <w14:ligatures w14:val="none"/>
    </w:rPr>
  </w:style>
  <w:style w:type="paragraph" w:customStyle="1" w:styleId="RIAMethodFigureSubscript">
    <w:name w:val="RIA Method Figure Subscript"/>
    <w:basedOn w:val="Normal"/>
    <w:link w:val="RIAMethodFigureSubscriptChar"/>
    <w:qFormat/>
    <w:rsid w:val="007B58E7"/>
    <w:pPr>
      <w:widowControl w:val="0"/>
      <w:autoSpaceDE w:val="0"/>
      <w:autoSpaceDN w:val="0"/>
      <w:spacing w:after="0" w:line="480" w:lineRule="auto"/>
    </w:pPr>
    <w:rPr>
      <w:rFonts w:eastAsiaTheme="minorHAnsi"/>
      <w:sz w:val="16"/>
    </w:rPr>
  </w:style>
  <w:style w:type="character" w:customStyle="1" w:styleId="RIAMethodFigureSubscriptChar">
    <w:name w:val="RIA Method Figure Subscript Char"/>
    <w:basedOn w:val="DefaultParagraphFont"/>
    <w:link w:val="RIAMethodFigureSubscript"/>
    <w:rsid w:val="007B58E7"/>
    <w:rPr>
      <w:rFonts w:ascii="Times New Roman" w:hAnsi="Times New Roman" w:cs="Times New Roman"/>
      <w:kern w:val="0"/>
      <w:sz w:val="16"/>
      <w:szCs w:val="20"/>
      <w14:ligatures w14:val="none"/>
    </w:rPr>
  </w:style>
  <w:style w:type="paragraph" w:customStyle="1" w:styleId="DomainFigLabel">
    <w:name w:val="Domain_Fig_Label"/>
    <w:basedOn w:val="Normal"/>
    <w:link w:val="DomainFigLabelChar"/>
    <w:qFormat/>
    <w:rsid w:val="007B58E7"/>
    <w:pPr>
      <w:spacing w:line="259" w:lineRule="auto"/>
      <w:jc w:val="center"/>
    </w:pPr>
    <w:rPr>
      <w:rFonts w:asciiTheme="minorHAnsi" w:eastAsiaTheme="minorHAnsi" w:hAnsiTheme="minorHAnsi" w:cstheme="minorBidi"/>
      <w:sz w:val="14"/>
      <w:szCs w:val="14"/>
    </w:rPr>
  </w:style>
  <w:style w:type="character" w:customStyle="1" w:styleId="DomainFigLabelChar">
    <w:name w:val="Domain_Fig_Label Char"/>
    <w:basedOn w:val="DefaultParagraphFont"/>
    <w:link w:val="DomainFigLabel"/>
    <w:rsid w:val="007B58E7"/>
    <w:rPr>
      <w:kern w:val="0"/>
      <w:sz w:val="14"/>
      <w:szCs w:val="14"/>
      <w14:ligatures w14:val="none"/>
    </w:rPr>
  </w:style>
  <w:style w:type="paragraph" w:customStyle="1" w:styleId="TableParagraph">
    <w:name w:val="Table Paragraph"/>
    <w:basedOn w:val="Normal"/>
    <w:uiPriority w:val="1"/>
    <w:qFormat/>
    <w:rsid w:val="007B58E7"/>
    <w:pPr>
      <w:widowControl w:val="0"/>
      <w:autoSpaceDE w:val="0"/>
      <w:autoSpaceDN w:val="0"/>
      <w:spacing w:after="0" w:line="227" w:lineRule="exact"/>
      <w:ind w:left="105"/>
      <w:jc w:val="left"/>
    </w:pPr>
    <w:rPr>
      <w:sz w:val="22"/>
      <w:szCs w:val="22"/>
      <w:lang w:eastAsia="en-AU" w:bidi="en-AU"/>
    </w:rPr>
  </w:style>
  <w:style w:type="character" w:customStyle="1" w:styleId="UnresolvedMention1">
    <w:name w:val="Unresolved Mention1"/>
    <w:basedOn w:val="DefaultParagraphFont"/>
    <w:uiPriority w:val="99"/>
    <w:semiHidden/>
    <w:unhideWhenUsed/>
    <w:rsid w:val="007B58E7"/>
    <w:rPr>
      <w:color w:val="605E5C"/>
      <w:shd w:val="clear" w:color="auto" w:fill="E1DFDD"/>
    </w:rPr>
  </w:style>
  <w:style w:type="character" w:customStyle="1" w:styleId="ListParagraphChar">
    <w:name w:val="List Paragraph Char"/>
    <w:basedOn w:val="DefaultParagraphFont"/>
    <w:link w:val="ListParagraph"/>
    <w:uiPriority w:val="34"/>
    <w:rsid w:val="007B58E7"/>
    <w:rPr>
      <w:rFonts w:ascii="Times New Roman" w:eastAsia="Times New Roman" w:hAnsi="Times New Roman" w:cs="Times New Roman"/>
      <w:kern w:val="0"/>
      <w:sz w:val="24"/>
      <w:szCs w:val="20"/>
      <w14:ligatures w14:val="none"/>
    </w:rPr>
  </w:style>
  <w:style w:type="paragraph" w:customStyle="1" w:styleId="TableBullets">
    <w:name w:val="Table Bullets"/>
    <w:basedOn w:val="ListParagraph"/>
    <w:qFormat/>
    <w:rsid w:val="007B58E7"/>
    <w:pPr>
      <w:numPr>
        <w:ilvl w:val="2"/>
        <w:numId w:val="15"/>
      </w:numPr>
      <w:spacing w:after="0" w:line="480" w:lineRule="auto"/>
      <w:ind w:left="160" w:hanging="180"/>
    </w:pPr>
    <w:rPr>
      <w:rFonts w:ascii="Calibri" w:hAnsi="Calibri" w:cs="Calibri"/>
      <w:color w:val="000000"/>
      <w:szCs w:val="24"/>
      <w:lang w:val="en-IN" w:eastAsia="en-IN"/>
    </w:rPr>
  </w:style>
  <w:style w:type="paragraph" w:customStyle="1" w:styleId="text">
    <w:name w:val="text"/>
    <w:basedOn w:val="Normal"/>
    <w:rsid w:val="007B58E7"/>
    <w:pPr>
      <w:spacing w:before="100" w:beforeAutospacing="1" w:after="100" w:afterAutospacing="1" w:line="480" w:lineRule="auto"/>
      <w:ind w:firstLine="567"/>
    </w:pPr>
    <w:rPr>
      <w:szCs w:val="24"/>
      <w:lang w:val="en-IN" w:eastAsia="en-IN"/>
    </w:rPr>
  </w:style>
  <w:style w:type="character" w:customStyle="1" w:styleId="UnresolvedMention2">
    <w:name w:val="Unresolved Mention2"/>
    <w:basedOn w:val="DefaultParagraphFont"/>
    <w:uiPriority w:val="99"/>
    <w:semiHidden/>
    <w:unhideWhenUsed/>
    <w:rsid w:val="007B58E7"/>
    <w:rPr>
      <w:color w:val="605E5C"/>
      <w:shd w:val="clear" w:color="auto" w:fill="E1DFDD"/>
    </w:rPr>
  </w:style>
  <w:style w:type="character" w:customStyle="1" w:styleId="UnresolvedMention3">
    <w:name w:val="Unresolved Mention3"/>
    <w:basedOn w:val="DefaultParagraphFont"/>
    <w:uiPriority w:val="99"/>
    <w:semiHidden/>
    <w:unhideWhenUsed/>
    <w:rsid w:val="007B58E7"/>
    <w:rPr>
      <w:color w:val="605E5C"/>
      <w:shd w:val="clear" w:color="auto" w:fill="E1DFDD"/>
    </w:rPr>
  </w:style>
  <w:style w:type="character" w:customStyle="1" w:styleId="UnresolvedMention4">
    <w:name w:val="Unresolved Mention4"/>
    <w:basedOn w:val="DefaultParagraphFont"/>
    <w:uiPriority w:val="99"/>
    <w:semiHidden/>
    <w:unhideWhenUsed/>
    <w:rsid w:val="007B58E7"/>
    <w:rPr>
      <w:color w:val="605E5C"/>
      <w:shd w:val="clear" w:color="auto" w:fill="E1DFDD"/>
    </w:rPr>
  </w:style>
  <w:style w:type="character" w:customStyle="1" w:styleId="UnresolvedMention5">
    <w:name w:val="Unresolved Mention5"/>
    <w:basedOn w:val="DefaultParagraphFont"/>
    <w:uiPriority w:val="99"/>
    <w:semiHidden/>
    <w:unhideWhenUsed/>
    <w:rsid w:val="007B58E7"/>
    <w:rPr>
      <w:color w:val="605E5C"/>
      <w:shd w:val="clear" w:color="auto" w:fill="E1DFDD"/>
    </w:rPr>
  </w:style>
  <w:style w:type="paragraph" w:customStyle="1" w:styleId="SampleQuestionnaire">
    <w:name w:val="Sample Questionnaire"/>
    <w:basedOn w:val="Normal"/>
    <w:link w:val="SampleQuestionnaireChar"/>
    <w:qFormat/>
    <w:rsid w:val="007B58E7"/>
    <w:pPr>
      <w:widowControl w:val="0"/>
      <w:autoSpaceDE w:val="0"/>
      <w:autoSpaceDN w:val="0"/>
      <w:spacing w:after="0" w:line="480" w:lineRule="auto"/>
    </w:pPr>
    <w:rPr>
      <w:rFonts w:eastAsiaTheme="minorHAnsi"/>
    </w:rPr>
  </w:style>
  <w:style w:type="character" w:customStyle="1" w:styleId="SampleQuestionnaireChar">
    <w:name w:val="Sample Questionnaire Char"/>
    <w:basedOn w:val="DefaultParagraphFont"/>
    <w:link w:val="SampleQuestionnaire"/>
    <w:rsid w:val="007B58E7"/>
    <w:rPr>
      <w:rFonts w:ascii="Times New Roman" w:hAnsi="Times New Roman" w:cs="Times New Roman"/>
      <w:kern w:val="0"/>
      <w:sz w:val="24"/>
      <w:szCs w:val="20"/>
      <w14:ligatures w14:val="none"/>
    </w:rPr>
  </w:style>
  <w:style w:type="paragraph" w:customStyle="1" w:styleId="TableTextMedium">
    <w:name w:val="Table Text (Medium)"/>
    <w:basedOn w:val="SampleQuestionnaire"/>
    <w:link w:val="TableTextMediumChar"/>
    <w:qFormat/>
    <w:rsid w:val="007B58E7"/>
    <w:pPr>
      <w:jc w:val="left"/>
    </w:pPr>
  </w:style>
  <w:style w:type="character" w:customStyle="1" w:styleId="TableTextMediumChar">
    <w:name w:val="Table Text (Medium) Char"/>
    <w:basedOn w:val="SampleQuestionnaireChar"/>
    <w:link w:val="TableTextMedium"/>
    <w:rsid w:val="007B58E7"/>
    <w:rPr>
      <w:rFonts w:ascii="Times New Roman" w:hAnsi="Times New Roman" w:cs="Times New Roman"/>
      <w:kern w:val="0"/>
      <w:sz w:val="24"/>
      <w:szCs w:val="20"/>
      <w14:ligatures w14:val="none"/>
    </w:rPr>
  </w:style>
  <w:style w:type="table" w:styleId="PlainTable3">
    <w:name w:val="Plain Table 3"/>
    <w:basedOn w:val="TableNormal"/>
    <w:uiPriority w:val="43"/>
    <w:rsid w:val="007B58E7"/>
    <w:pPr>
      <w:spacing w:after="0" w:line="240" w:lineRule="auto"/>
    </w:pPr>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istofFigandTable">
    <w:name w:val="List of Fig and Table"/>
    <w:basedOn w:val="TableofFigures"/>
    <w:link w:val="ListofFigandTableChar"/>
    <w:qFormat/>
    <w:rsid w:val="007B58E7"/>
    <w:pPr>
      <w:tabs>
        <w:tab w:val="clear" w:pos="8221"/>
        <w:tab w:val="right" w:leader="dot" w:pos="9016"/>
      </w:tabs>
      <w:spacing w:after="0" w:line="360" w:lineRule="auto"/>
      <w:ind w:right="0"/>
    </w:pPr>
    <w:rPr>
      <w:noProof/>
    </w:rPr>
  </w:style>
  <w:style w:type="character" w:customStyle="1" w:styleId="TableofFiguresChar">
    <w:name w:val="Table of Figures Char"/>
    <w:basedOn w:val="DefaultParagraphFont"/>
    <w:link w:val="TableofFigures"/>
    <w:uiPriority w:val="99"/>
    <w:rsid w:val="007B58E7"/>
    <w:rPr>
      <w:rFonts w:ascii="Times New Roman" w:eastAsia="Times New Roman" w:hAnsi="Times New Roman" w:cs="Times New Roman"/>
      <w:kern w:val="0"/>
      <w:sz w:val="24"/>
      <w:szCs w:val="20"/>
      <w14:ligatures w14:val="none"/>
    </w:rPr>
  </w:style>
  <w:style w:type="character" w:customStyle="1" w:styleId="ListofFigandTableChar">
    <w:name w:val="List of Fig and Table Char"/>
    <w:basedOn w:val="TableofFiguresChar"/>
    <w:link w:val="ListofFigandTable"/>
    <w:rsid w:val="007B58E7"/>
    <w:rPr>
      <w:rFonts w:ascii="Times New Roman" w:eastAsia="Times New Roman" w:hAnsi="Times New Roman" w:cs="Times New Roman"/>
      <w:noProof/>
      <w:kern w:val="0"/>
      <w:sz w:val="24"/>
      <w:szCs w:val="20"/>
      <w14:ligatures w14:val="none"/>
    </w:rPr>
  </w:style>
  <w:style w:type="character" w:customStyle="1" w:styleId="NoSpacingChar">
    <w:name w:val="No Spacing Char"/>
    <w:basedOn w:val="DefaultParagraphFont"/>
    <w:link w:val="NoSpacing"/>
    <w:uiPriority w:val="1"/>
    <w:rsid w:val="007B58E7"/>
    <w:rPr>
      <w:rFonts w:ascii="Arial" w:eastAsia="Times New Roman" w:hAnsi="Arial" w:cs="Arial"/>
      <w:kern w:val="0"/>
      <w:sz w:val="20"/>
      <w:szCs w:val="20"/>
      <w14:ligatures w14:val="none"/>
    </w:rPr>
  </w:style>
  <w:style w:type="numbering" w:customStyle="1" w:styleId="Dataset">
    <w:name w:val="Dataset"/>
    <w:uiPriority w:val="99"/>
    <w:rsid w:val="00D16E5A"/>
    <w:pPr>
      <w:numPr>
        <w:numId w:val="18"/>
      </w:numPr>
    </w:pPr>
  </w:style>
  <w:style w:type="paragraph" w:customStyle="1" w:styleId="DatabaseHeading1">
    <w:name w:val="Database Heading 1"/>
    <w:next w:val="Normal"/>
    <w:qFormat/>
    <w:rsid w:val="00D16E5A"/>
    <w:pPr>
      <w:numPr>
        <w:numId w:val="26"/>
      </w:numPr>
      <w:pBdr>
        <w:bottom w:val="single" w:sz="4" w:space="1" w:color="auto"/>
      </w:pBdr>
      <w:outlineLvl w:val="0"/>
    </w:pPr>
    <w:rPr>
      <w:rFonts w:ascii="Times New Roman" w:eastAsia="Times New Roman" w:hAnsi="Times New Roman" w:cs="Times New Roman"/>
      <w:b/>
      <w:spacing w:val="-4"/>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2706">
      <w:bodyDiv w:val="1"/>
      <w:marLeft w:val="0"/>
      <w:marRight w:val="0"/>
      <w:marTop w:val="0"/>
      <w:marBottom w:val="0"/>
      <w:divBdr>
        <w:top w:val="none" w:sz="0" w:space="0" w:color="auto"/>
        <w:left w:val="none" w:sz="0" w:space="0" w:color="auto"/>
        <w:bottom w:val="none" w:sz="0" w:space="0" w:color="auto"/>
        <w:right w:val="none" w:sz="0" w:space="0" w:color="auto"/>
      </w:divBdr>
    </w:div>
    <w:div w:id="53428630">
      <w:bodyDiv w:val="1"/>
      <w:marLeft w:val="0"/>
      <w:marRight w:val="0"/>
      <w:marTop w:val="0"/>
      <w:marBottom w:val="0"/>
      <w:divBdr>
        <w:top w:val="none" w:sz="0" w:space="0" w:color="auto"/>
        <w:left w:val="none" w:sz="0" w:space="0" w:color="auto"/>
        <w:bottom w:val="none" w:sz="0" w:space="0" w:color="auto"/>
        <w:right w:val="none" w:sz="0" w:space="0" w:color="auto"/>
      </w:divBdr>
    </w:div>
    <w:div w:id="104496934">
      <w:bodyDiv w:val="1"/>
      <w:marLeft w:val="0"/>
      <w:marRight w:val="0"/>
      <w:marTop w:val="0"/>
      <w:marBottom w:val="0"/>
      <w:divBdr>
        <w:top w:val="none" w:sz="0" w:space="0" w:color="auto"/>
        <w:left w:val="none" w:sz="0" w:space="0" w:color="auto"/>
        <w:bottom w:val="none" w:sz="0" w:space="0" w:color="auto"/>
        <w:right w:val="none" w:sz="0" w:space="0" w:color="auto"/>
      </w:divBdr>
    </w:div>
    <w:div w:id="244727408">
      <w:bodyDiv w:val="1"/>
      <w:marLeft w:val="0"/>
      <w:marRight w:val="0"/>
      <w:marTop w:val="0"/>
      <w:marBottom w:val="0"/>
      <w:divBdr>
        <w:top w:val="none" w:sz="0" w:space="0" w:color="auto"/>
        <w:left w:val="none" w:sz="0" w:space="0" w:color="auto"/>
        <w:bottom w:val="none" w:sz="0" w:space="0" w:color="auto"/>
        <w:right w:val="none" w:sz="0" w:space="0" w:color="auto"/>
      </w:divBdr>
    </w:div>
    <w:div w:id="284967936">
      <w:bodyDiv w:val="1"/>
      <w:marLeft w:val="0"/>
      <w:marRight w:val="0"/>
      <w:marTop w:val="0"/>
      <w:marBottom w:val="0"/>
      <w:divBdr>
        <w:top w:val="none" w:sz="0" w:space="0" w:color="auto"/>
        <w:left w:val="none" w:sz="0" w:space="0" w:color="auto"/>
        <w:bottom w:val="none" w:sz="0" w:space="0" w:color="auto"/>
        <w:right w:val="none" w:sz="0" w:space="0" w:color="auto"/>
      </w:divBdr>
    </w:div>
    <w:div w:id="293295649">
      <w:bodyDiv w:val="1"/>
      <w:marLeft w:val="0"/>
      <w:marRight w:val="0"/>
      <w:marTop w:val="0"/>
      <w:marBottom w:val="0"/>
      <w:divBdr>
        <w:top w:val="none" w:sz="0" w:space="0" w:color="auto"/>
        <w:left w:val="none" w:sz="0" w:space="0" w:color="auto"/>
        <w:bottom w:val="none" w:sz="0" w:space="0" w:color="auto"/>
        <w:right w:val="none" w:sz="0" w:space="0" w:color="auto"/>
      </w:divBdr>
    </w:div>
    <w:div w:id="318536872">
      <w:bodyDiv w:val="1"/>
      <w:marLeft w:val="0"/>
      <w:marRight w:val="0"/>
      <w:marTop w:val="0"/>
      <w:marBottom w:val="0"/>
      <w:divBdr>
        <w:top w:val="none" w:sz="0" w:space="0" w:color="auto"/>
        <w:left w:val="none" w:sz="0" w:space="0" w:color="auto"/>
        <w:bottom w:val="none" w:sz="0" w:space="0" w:color="auto"/>
        <w:right w:val="none" w:sz="0" w:space="0" w:color="auto"/>
      </w:divBdr>
    </w:div>
    <w:div w:id="348338721">
      <w:bodyDiv w:val="1"/>
      <w:marLeft w:val="0"/>
      <w:marRight w:val="0"/>
      <w:marTop w:val="0"/>
      <w:marBottom w:val="0"/>
      <w:divBdr>
        <w:top w:val="none" w:sz="0" w:space="0" w:color="auto"/>
        <w:left w:val="none" w:sz="0" w:space="0" w:color="auto"/>
        <w:bottom w:val="none" w:sz="0" w:space="0" w:color="auto"/>
        <w:right w:val="none" w:sz="0" w:space="0" w:color="auto"/>
      </w:divBdr>
    </w:div>
    <w:div w:id="464398536">
      <w:bodyDiv w:val="1"/>
      <w:marLeft w:val="0"/>
      <w:marRight w:val="0"/>
      <w:marTop w:val="0"/>
      <w:marBottom w:val="0"/>
      <w:divBdr>
        <w:top w:val="none" w:sz="0" w:space="0" w:color="auto"/>
        <w:left w:val="none" w:sz="0" w:space="0" w:color="auto"/>
        <w:bottom w:val="none" w:sz="0" w:space="0" w:color="auto"/>
        <w:right w:val="none" w:sz="0" w:space="0" w:color="auto"/>
      </w:divBdr>
    </w:div>
    <w:div w:id="495194203">
      <w:bodyDiv w:val="1"/>
      <w:marLeft w:val="0"/>
      <w:marRight w:val="0"/>
      <w:marTop w:val="0"/>
      <w:marBottom w:val="0"/>
      <w:divBdr>
        <w:top w:val="none" w:sz="0" w:space="0" w:color="auto"/>
        <w:left w:val="none" w:sz="0" w:space="0" w:color="auto"/>
        <w:bottom w:val="none" w:sz="0" w:space="0" w:color="auto"/>
        <w:right w:val="none" w:sz="0" w:space="0" w:color="auto"/>
      </w:divBdr>
    </w:div>
    <w:div w:id="788745795">
      <w:bodyDiv w:val="1"/>
      <w:marLeft w:val="0"/>
      <w:marRight w:val="0"/>
      <w:marTop w:val="0"/>
      <w:marBottom w:val="0"/>
      <w:divBdr>
        <w:top w:val="none" w:sz="0" w:space="0" w:color="auto"/>
        <w:left w:val="none" w:sz="0" w:space="0" w:color="auto"/>
        <w:bottom w:val="none" w:sz="0" w:space="0" w:color="auto"/>
        <w:right w:val="none" w:sz="0" w:space="0" w:color="auto"/>
      </w:divBdr>
    </w:div>
    <w:div w:id="858542546">
      <w:bodyDiv w:val="1"/>
      <w:marLeft w:val="0"/>
      <w:marRight w:val="0"/>
      <w:marTop w:val="0"/>
      <w:marBottom w:val="0"/>
      <w:divBdr>
        <w:top w:val="none" w:sz="0" w:space="0" w:color="auto"/>
        <w:left w:val="none" w:sz="0" w:space="0" w:color="auto"/>
        <w:bottom w:val="none" w:sz="0" w:space="0" w:color="auto"/>
        <w:right w:val="none" w:sz="0" w:space="0" w:color="auto"/>
      </w:divBdr>
    </w:div>
    <w:div w:id="927426258">
      <w:bodyDiv w:val="1"/>
      <w:marLeft w:val="0"/>
      <w:marRight w:val="0"/>
      <w:marTop w:val="0"/>
      <w:marBottom w:val="0"/>
      <w:divBdr>
        <w:top w:val="none" w:sz="0" w:space="0" w:color="auto"/>
        <w:left w:val="none" w:sz="0" w:space="0" w:color="auto"/>
        <w:bottom w:val="none" w:sz="0" w:space="0" w:color="auto"/>
        <w:right w:val="none" w:sz="0" w:space="0" w:color="auto"/>
      </w:divBdr>
    </w:div>
    <w:div w:id="1087920338">
      <w:bodyDiv w:val="1"/>
      <w:marLeft w:val="0"/>
      <w:marRight w:val="0"/>
      <w:marTop w:val="0"/>
      <w:marBottom w:val="0"/>
      <w:divBdr>
        <w:top w:val="none" w:sz="0" w:space="0" w:color="auto"/>
        <w:left w:val="none" w:sz="0" w:space="0" w:color="auto"/>
        <w:bottom w:val="none" w:sz="0" w:space="0" w:color="auto"/>
        <w:right w:val="none" w:sz="0" w:space="0" w:color="auto"/>
      </w:divBdr>
    </w:div>
    <w:div w:id="1130443088">
      <w:bodyDiv w:val="1"/>
      <w:marLeft w:val="0"/>
      <w:marRight w:val="0"/>
      <w:marTop w:val="0"/>
      <w:marBottom w:val="0"/>
      <w:divBdr>
        <w:top w:val="none" w:sz="0" w:space="0" w:color="auto"/>
        <w:left w:val="none" w:sz="0" w:space="0" w:color="auto"/>
        <w:bottom w:val="none" w:sz="0" w:space="0" w:color="auto"/>
        <w:right w:val="none" w:sz="0" w:space="0" w:color="auto"/>
      </w:divBdr>
    </w:div>
    <w:div w:id="1183519556">
      <w:bodyDiv w:val="1"/>
      <w:marLeft w:val="0"/>
      <w:marRight w:val="0"/>
      <w:marTop w:val="0"/>
      <w:marBottom w:val="0"/>
      <w:divBdr>
        <w:top w:val="none" w:sz="0" w:space="0" w:color="auto"/>
        <w:left w:val="none" w:sz="0" w:space="0" w:color="auto"/>
        <w:bottom w:val="none" w:sz="0" w:space="0" w:color="auto"/>
        <w:right w:val="none" w:sz="0" w:space="0" w:color="auto"/>
      </w:divBdr>
    </w:div>
    <w:div w:id="1369718919">
      <w:bodyDiv w:val="1"/>
      <w:marLeft w:val="0"/>
      <w:marRight w:val="0"/>
      <w:marTop w:val="0"/>
      <w:marBottom w:val="0"/>
      <w:divBdr>
        <w:top w:val="none" w:sz="0" w:space="0" w:color="auto"/>
        <w:left w:val="none" w:sz="0" w:space="0" w:color="auto"/>
        <w:bottom w:val="none" w:sz="0" w:space="0" w:color="auto"/>
        <w:right w:val="none" w:sz="0" w:space="0" w:color="auto"/>
      </w:divBdr>
    </w:div>
    <w:div w:id="1453286298">
      <w:bodyDiv w:val="1"/>
      <w:marLeft w:val="0"/>
      <w:marRight w:val="0"/>
      <w:marTop w:val="0"/>
      <w:marBottom w:val="0"/>
      <w:divBdr>
        <w:top w:val="none" w:sz="0" w:space="0" w:color="auto"/>
        <w:left w:val="none" w:sz="0" w:space="0" w:color="auto"/>
        <w:bottom w:val="none" w:sz="0" w:space="0" w:color="auto"/>
        <w:right w:val="none" w:sz="0" w:space="0" w:color="auto"/>
      </w:divBdr>
    </w:div>
    <w:div w:id="1468282130">
      <w:bodyDiv w:val="1"/>
      <w:marLeft w:val="0"/>
      <w:marRight w:val="0"/>
      <w:marTop w:val="0"/>
      <w:marBottom w:val="0"/>
      <w:divBdr>
        <w:top w:val="none" w:sz="0" w:space="0" w:color="auto"/>
        <w:left w:val="none" w:sz="0" w:space="0" w:color="auto"/>
        <w:bottom w:val="none" w:sz="0" w:space="0" w:color="auto"/>
        <w:right w:val="none" w:sz="0" w:space="0" w:color="auto"/>
      </w:divBdr>
    </w:div>
    <w:div w:id="1621569369">
      <w:bodyDiv w:val="1"/>
      <w:marLeft w:val="0"/>
      <w:marRight w:val="0"/>
      <w:marTop w:val="0"/>
      <w:marBottom w:val="0"/>
      <w:divBdr>
        <w:top w:val="none" w:sz="0" w:space="0" w:color="auto"/>
        <w:left w:val="none" w:sz="0" w:space="0" w:color="auto"/>
        <w:bottom w:val="none" w:sz="0" w:space="0" w:color="auto"/>
        <w:right w:val="none" w:sz="0" w:space="0" w:color="auto"/>
      </w:divBdr>
    </w:div>
    <w:div w:id="1662076861">
      <w:bodyDiv w:val="1"/>
      <w:marLeft w:val="0"/>
      <w:marRight w:val="0"/>
      <w:marTop w:val="0"/>
      <w:marBottom w:val="0"/>
      <w:divBdr>
        <w:top w:val="none" w:sz="0" w:space="0" w:color="auto"/>
        <w:left w:val="none" w:sz="0" w:space="0" w:color="auto"/>
        <w:bottom w:val="none" w:sz="0" w:space="0" w:color="auto"/>
        <w:right w:val="none" w:sz="0" w:space="0" w:color="auto"/>
      </w:divBdr>
    </w:div>
    <w:div w:id="1908220112">
      <w:bodyDiv w:val="1"/>
      <w:marLeft w:val="0"/>
      <w:marRight w:val="0"/>
      <w:marTop w:val="0"/>
      <w:marBottom w:val="0"/>
      <w:divBdr>
        <w:top w:val="none" w:sz="0" w:space="0" w:color="auto"/>
        <w:left w:val="none" w:sz="0" w:space="0" w:color="auto"/>
        <w:bottom w:val="none" w:sz="0" w:space="0" w:color="auto"/>
        <w:right w:val="none" w:sz="0" w:space="0" w:color="auto"/>
      </w:divBdr>
    </w:div>
    <w:div w:id="198838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arsalan\AppData\Roaming\Microsoft\Templates\thesis_template_numbe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EC47B-A15B-46BD-A2D4-702C25728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thesis_template_numbered.dotx</Template>
  <TotalTime>155</TotalTime>
  <Pages>11</Pages>
  <Words>7614</Words>
  <Characters>52340</Characters>
  <Application>Microsoft Office Word</Application>
  <DocSecurity>0</DocSecurity>
  <Lines>1276</Lines>
  <Paragraphs>402</Paragraphs>
  <ScaleCrop>false</ScaleCrop>
  <Company/>
  <LinksUpToDate>false</LinksUpToDate>
  <CharactersWithSpaces>59552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Mudassar Arsalan</dc:creator>
  <cp:keywords/>
  <dc:description/>
  <cp:lastModifiedBy>Mudassar Arsalan</cp:lastModifiedBy>
  <cp:revision>71</cp:revision>
  <cp:lastPrinted>2024-11-03T23:31:00Z</cp:lastPrinted>
  <dcterms:created xsi:type="dcterms:W3CDTF">2024-11-10T03:46:00Z</dcterms:created>
  <dcterms:modified xsi:type="dcterms:W3CDTF">2024-11-10T09:34:00Z</dcterms:modified>
</cp:coreProperties>
</file>