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AEEB18" w14:textId="77777777" w:rsidR="00AD22B6" w:rsidRDefault="00000000">
      <w:pPr>
        <w:pStyle w:val="Heading1"/>
      </w:pPr>
      <w:bookmarkStart w:id="0" w:name="X6a79d9fad6b32f7c900196841fb276854b21fff"/>
      <w:r>
        <w:t>Email draft — to the Education &amp; PVAW teams (content clarifications)</w:t>
      </w:r>
    </w:p>
    <w:p w14:paraId="727DB186" w14:textId="77777777" w:rsidR="00AD22B6" w:rsidRDefault="00000000">
      <w:pPr>
        <w:pStyle w:val="FirstParagraph"/>
      </w:pPr>
      <w:r>
        <w:rPr>
          <w:i/>
          <w:iCs/>
        </w:rPr>
        <w:t xml:space="preserve">Draft to send to the Education and PVAW teams. It asks for a definitive call on the points in the Blueprint review comments that were left open, before content is locked and the build begins. Replace the </w:t>
      </w:r>
      <w:r>
        <w:rPr>
          <w:b/>
          <w:bCs/>
          <w:i/>
          <w:iCs/>
        </w:rPr>
        <w:t>[bracketed placeholders]</w:t>
      </w:r>
      <w:r>
        <w:rPr>
          <w:i/>
          <w:iCs/>
        </w:rPr>
        <w:t xml:space="preserve"> before sending.</w:t>
      </w:r>
    </w:p>
    <w:p w14:paraId="5B1053E8" w14:textId="77777777" w:rsidR="00AD22B6" w:rsidRDefault="00410ACE">
      <w:r>
        <w:rPr>
          <w:noProof/>
        </w:rPr>
      </w:r>
      <w:r>
        <w:pict w14:anchorId="43EA3767">
          <v:rect id="Horizontal Line 1"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C6FD4DC" w14:textId="77777777" w:rsidR="00AD22B6" w:rsidRDefault="00000000">
      <w:pPr>
        <w:pStyle w:val="FirstParagraph"/>
      </w:pPr>
      <w:r>
        <w:rPr>
          <w:b/>
          <w:bCs/>
        </w:rPr>
        <w:t>To:</w:t>
      </w:r>
      <w:r>
        <w:t xml:space="preserve"> [Education team / PVAW team / Names] </w:t>
      </w:r>
      <w:r>
        <w:rPr>
          <w:b/>
          <w:bCs/>
        </w:rPr>
        <w:t>Subject:</w:t>
      </w:r>
      <w:r>
        <w:t xml:space="preserve"> Power, Pressure &amp; Choice — a few content clarifications before we start building</w:t>
      </w:r>
    </w:p>
    <w:p w14:paraId="0945ACC7" w14:textId="77777777" w:rsidR="00AD22B6" w:rsidRDefault="00000000">
      <w:pPr>
        <w:pStyle w:val="BodyText"/>
      </w:pPr>
      <w:r>
        <w:t>Hi team,</w:t>
      </w:r>
    </w:p>
    <w:p w14:paraId="51021241" w14:textId="77777777" w:rsidR="00AD22B6" w:rsidRDefault="00000000">
      <w:pPr>
        <w:pStyle w:val="BodyText"/>
      </w:pPr>
      <w:r>
        <w:t>Thanks for the finalised Blueprint. As we plan the build, I’ve been working through the document and the review comments, and a few points were either left open or need a definitive call from you before we lock the content and begin development. Could you confirm the following?</w:t>
      </w:r>
    </w:p>
    <w:p w14:paraId="578317C9" w14:textId="77777777" w:rsidR="00AD22B6" w:rsidRDefault="00000000">
      <w:pPr>
        <w:pStyle w:val="BodyText"/>
      </w:pPr>
      <w:r>
        <w:rPr>
          <w:b/>
          <w:bCs/>
        </w:rPr>
        <w:t>1. Videos — in scope, and who owns them?</w:t>
      </w:r>
      <w:r>
        <w:t xml:space="preserve"> Thuy suggested a </w:t>
      </w:r>
      <w:r>
        <w:rPr>
          <w:i/>
          <w:iCs/>
        </w:rPr>
        <w:t>“short and engaging video”</w:t>
      </w:r>
      <w:r>
        <w:t xml:space="preserve"> for the introduction, and another for the migration‑pressure explainer / the problem tree in Phase 2. Are these videos planned for this release? If so: who produces them, and do they </w:t>
      </w:r>
      <w:r>
        <w:rPr>
          <w:b/>
          <w:bCs/>
        </w:rPr>
        <w:t>replace</w:t>
      </w:r>
      <w:r>
        <w:t xml:space="preserve"> the intro/explainer steps or </w:t>
      </w:r>
      <w:r>
        <w:rPr>
          <w:b/>
          <w:bCs/>
        </w:rPr>
        <w:t>sit alongside</w:t>
      </w:r>
      <w:r>
        <w:t xml:space="preserve"> them? Our current plan is to build those parts as interactive screens with text.</w:t>
      </w:r>
    </w:p>
    <w:p w14:paraId="5B34617F" w14:textId="77777777" w:rsidR="00AD22B6" w:rsidRDefault="00000000">
      <w:pPr>
        <w:pStyle w:val="BodyText"/>
      </w:pPr>
      <w:r>
        <w:rPr>
          <w:b/>
          <w:bCs/>
        </w:rPr>
        <w:t>2. Beliefs vs. attitudes — one step or two?</w:t>
      </w:r>
      <w:r>
        <w:t xml:space="preserve"> Ali’s causal model lists them as separate stages (</w:t>
      </w:r>
      <w:r>
        <w:rPr>
          <w:i/>
          <w:iCs/>
        </w:rPr>
        <w:t>belief</w:t>
      </w:r>
      <w:r>
        <w:t xml:space="preserve"> “I must be in control” → </w:t>
      </w:r>
      <w:r>
        <w:rPr>
          <w:i/>
          <w:iCs/>
        </w:rPr>
        <w:t>attitude</w:t>
      </w:r>
      <w:r>
        <w:t xml:space="preserve"> “I must stay in control” → behaviour). To keep it simple for EAL learners, we’re planning to </w:t>
      </w:r>
      <w:r>
        <w:rPr>
          <w:b/>
          <w:bCs/>
        </w:rPr>
        <w:t>combine beliefs &amp; attitudes into one step</w:t>
      </w:r>
      <w:r>
        <w:t xml:space="preserve"> (“the soil”). Is that acceptable, or would you prefer a distinct belief step and a separate attitude step?</w:t>
      </w:r>
    </w:p>
    <w:p w14:paraId="570718B5" w14:textId="4054CCBA" w:rsidR="00AD22B6" w:rsidRDefault="00566C17">
      <w:pPr>
        <w:pStyle w:val="BodyText"/>
      </w:pPr>
      <w:r>
        <w:rPr>
          <w:b/>
          <w:bCs/>
        </w:rPr>
        <w:t>3</w:t>
      </w:r>
      <w:r w:rsidR="00000000">
        <w:rPr>
          <w:b/>
          <w:bCs/>
        </w:rPr>
        <w:t>. How much of the scenario detail should appear on screen?</w:t>
      </w:r>
      <w:r w:rsidR="00000000">
        <w:t xml:space="preserve"> The approved “alternative story” includes some specifics: the eldest son wanting independence, the wife wanting to study / work, and </w:t>
      </w:r>
      <w:r w:rsidR="00000000">
        <w:rPr>
          <w:b/>
          <w:bCs/>
        </w:rPr>
        <w:t>the school noticing the children and reaching out to support the family</w:t>
      </w:r>
      <w:r w:rsidR="00000000">
        <w:t>. As we adapt the scenario for the game, should any of these appear explicitly — particularly the school / support‑service beat, which is a positive element — or should we keep it general for simplicity?</w:t>
      </w:r>
    </w:p>
    <w:p w14:paraId="464BC3CD" w14:textId="523B1519" w:rsidR="00AD22B6" w:rsidRDefault="00566C17">
      <w:pPr>
        <w:pStyle w:val="BodyText"/>
      </w:pPr>
      <w:r>
        <w:rPr>
          <w:b/>
          <w:bCs/>
        </w:rPr>
        <w:t>4</w:t>
      </w:r>
      <w:r w:rsidR="00000000">
        <w:rPr>
          <w:b/>
          <w:bCs/>
        </w:rPr>
        <w:t>. Statistics — omit entirely, or allowed later?</w:t>
      </w:r>
      <w:r w:rsidR="00000000">
        <w:t xml:space="preserve"> Anu advised </w:t>
      </w:r>
      <w:r w:rsidR="00000000">
        <w:rPr>
          <w:b/>
          <w:bCs/>
        </w:rPr>
        <w:t>not</w:t>
      </w:r>
      <w:r w:rsidR="00000000">
        <w:t xml:space="preserve"> opening with family‑violence statistics (they cause disengagement), so we’re planning to open by normalising migration stress instead. To confirm: should the stats Ali suggested (e.g. the $26 billion figure) be left </w:t>
      </w:r>
      <w:r w:rsidR="00000000">
        <w:rPr>
          <w:b/>
          <w:bCs/>
        </w:rPr>
        <w:t>out entirely</w:t>
      </w:r>
      <w:r w:rsidR="00000000">
        <w:t xml:space="preserve">, or would they be appropriate </w:t>
      </w:r>
      <w:r w:rsidR="00000000">
        <w:rPr>
          <w:b/>
          <w:bCs/>
        </w:rPr>
        <w:t>later</w:t>
      </w:r>
      <w:r w:rsidR="00000000">
        <w:t xml:space="preserve"> — for example on a closing “support &amp; resources” screen?</w:t>
      </w:r>
    </w:p>
    <w:p w14:paraId="63A36676" w14:textId="0C6146E9" w:rsidR="00AD22B6" w:rsidRDefault="00566C17">
      <w:pPr>
        <w:pStyle w:val="BodyText"/>
      </w:pPr>
      <w:r>
        <w:rPr>
          <w:b/>
          <w:bCs/>
        </w:rPr>
        <w:lastRenderedPageBreak/>
        <w:t>5</w:t>
      </w:r>
      <w:r w:rsidR="00000000">
        <w:rPr>
          <w:b/>
          <w:bCs/>
        </w:rPr>
        <w:t>. Migration‑pressure / loss‑of‑status explainer.</w:t>
      </w:r>
      <w:r w:rsidR="00000000">
        <w:t xml:space="preserve"> Thuy asked Ali to focus this explanation on the scenario. Do you want a </w:t>
      </w:r>
      <w:r w:rsidR="00000000">
        <w:rPr>
          <w:b/>
          <w:bCs/>
        </w:rPr>
        <w:t>dedicated explainer screen</w:t>
      </w:r>
      <w:r w:rsidR="00000000">
        <w:t xml:space="preserve"> for “what is migration pressure / loss of status,” and should it be generic or specific to Mr. Alpha? Our current thinking is to weave it into the two pressure steps and the tree‑model reveal rather than have a standalone screen.</w:t>
      </w:r>
    </w:p>
    <w:p w14:paraId="0E9EB8A7" w14:textId="4E5324C8" w:rsidR="00AD22B6" w:rsidRDefault="00566C17">
      <w:pPr>
        <w:pStyle w:val="BodyText"/>
      </w:pPr>
      <w:r>
        <w:rPr>
          <w:b/>
          <w:bCs/>
        </w:rPr>
        <w:t>6</w:t>
      </w:r>
      <w:r w:rsidR="00000000">
        <w:rPr>
          <w:b/>
          <w:bCs/>
        </w:rPr>
        <w:t>. Multiple story pathways.</w:t>
      </w:r>
      <w:r w:rsidR="00000000">
        <w:t xml:space="preserve"> Anu noted the approved story “can be </w:t>
      </w:r>
      <w:r w:rsidR="00000000">
        <w:rPr>
          <w:b/>
          <w:bCs/>
        </w:rPr>
        <w:t>one of the pathways</w:t>
      </w:r>
      <w:r w:rsidR="00000000">
        <w:t xml:space="preserve">.” If you’d like more than one scenario, it’d help to know roughly </w:t>
      </w:r>
      <w:r w:rsidR="00000000">
        <w:rPr>
          <w:b/>
          <w:bCs/>
        </w:rPr>
        <w:t>how many</w:t>
      </w:r>
      <w:r w:rsidR="00000000">
        <w:t xml:space="preserve">, and </w:t>
      </w:r>
      <w:r w:rsidR="00000000">
        <w:rPr>
          <w:b/>
          <w:bCs/>
        </w:rPr>
        <w:t>what differs</w:t>
      </w:r>
      <w:r w:rsidR="00000000">
        <w:t xml:space="preserve"> between them (e.g. same tree model, different family situations?), so we can plan the branching into the build.</w:t>
      </w:r>
    </w:p>
    <w:p w14:paraId="7A1E94D7" w14:textId="77777777" w:rsidR="00AD22B6" w:rsidRDefault="00000000">
      <w:pPr>
        <w:pStyle w:val="BodyText"/>
      </w:pPr>
      <w:r>
        <w:t>Happy to jump on a quick call if that’s easier.</w:t>
      </w:r>
    </w:p>
    <w:p w14:paraId="0D72D1F6" w14:textId="77777777" w:rsidR="00566C17" w:rsidRDefault="00000000" w:rsidP="00566C17">
      <w:pPr>
        <w:pStyle w:val="BodyText"/>
      </w:pPr>
      <w:r>
        <w:t xml:space="preserve">Thanks, </w:t>
      </w:r>
    </w:p>
    <w:p w14:paraId="0E3C80FE" w14:textId="6DE1E09D" w:rsidR="00AD22B6" w:rsidRDefault="00410ACE" w:rsidP="00566C17">
      <w:pPr>
        <w:pStyle w:val="BodyText"/>
      </w:pPr>
      <w:r>
        <w:rPr>
          <w:noProof/>
        </w:rPr>
      </w:r>
      <w:r>
        <w:pict w14:anchorId="79923DBD">
          <v:rect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22D45A0" w14:textId="77777777" w:rsidR="00AD22B6" w:rsidRDefault="00000000">
      <w:pPr>
        <w:pStyle w:val="Heading2"/>
      </w:pPr>
      <w:bookmarkStart w:id="1" w:name="before-you-send"/>
      <w:r>
        <w:t>Before you send</w:t>
      </w:r>
    </w:p>
    <w:p w14:paraId="5DD4E231" w14:textId="77777777" w:rsidR="00AD22B6" w:rsidRDefault="00000000">
      <w:pPr>
        <w:pStyle w:val="Compact"/>
        <w:numPr>
          <w:ilvl w:val="0"/>
          <w:numId w:val="2"/>
        </w:numPr>
      </w:pPr>
      <w:r>
        <w:rPr>
          <w:b/>
          <w:bCs/>
        </w:rPr>
        <w:t>Fill the placeholders:</w:t>
      </w:r>
      <w:r>
        <w:t xml:space="preserve"> recipient names, your name / role / contact.</w:t>
      </w:r>
    </w:p>
    <w:p w14:paraId="4AF64E30" w14:textId="77777777" w:rsidR="00AD22B6" w:rsidRDefault="00000000">
      <w:pPr>
        <w:pStyle w:val="Compact"/>
        <w:numPr>
          <w:ilvl w:val="0"/>
          <w:numId w:val="2"/>
        </w:numPr>
      </w:pPr>
      <w:r>
        <w:rPr>
          <w:b/>
          <w:bCs/>
        </w:rPr>
        <w:t>Questions 3 and 7 are the ones that matter most.</w:t>
      </w:r>
      <w:r>
        <w:t xml:space="preserve"> #3 because Anu is the pedagogy authority and “tone down” is subjective — her explicit tick on the final wording is worth having in writing. #7 because it’s structural (the number of pathways changes how the build is planned).</w:t>
      </w:r>
    </w:p>
    <w:p w14:paraId="66225FDA" w14:textId="77777777" w:rsidR="00AD22B6" w:rsidRDefault="00000000">
      <w:pPr>
        <w:pStyle w:val="Compact"/>
        <w:numPr>
          <w:ilvl w:val="0"/>
          <w:numId w:val="2"/>
        </w:numPr>
      </w:pPr>
      <w:r>
        <w:t>The other questions (1, 2, 4, 5, 6) are refinements — they affect polish and scope, not whether the activity works. You can note that in the email or leave it out.</w:t>
      </w:r>
    </w:p>
    <w:p w14:paraId="4FC414EC" w14:textId="77777777" w:rsidR="00AD22B6" w:rsidRDefault="00000000">
      <w:pPr>
        <w:pStyle w:val="Compact"/>
        <w:numPr>
          <w:ilvl w:val="0"/>
          <w:numId w:val="2"/>
        </w:numPr>
      </w:pPr>
      <w:r>
        <w:t>Everything is phrased as forward‑looking planning (</w:t>
      </w:r>
      <w:r>
        <w:rPr>
          <w:i/>
          <w:iCs/>
        </w:rPr>
        <w:t>“we’re planning to…”</w:t>
      </w:r>
      <w:r>
        <w:t xml:space="preserve">, </w:t>
      </w:r>
      <w:r>
        <w:rPr>
          <w:i/>
          <w:iCs/>
        </w:rPr>
        <w:t>“as we adapt…”</w:t>
      </w:r>
      <w:r>
        <w:t>), consistent with the build starting once the content is confirmed.</w:t>
      </w:r>
    </w:p>
    <w:p w14:paraId="30637CB3" w14:textId="77777777" w:rsidR="00AD22B6" w:rsidRDefault="00000000">
      <w:pPr>
        <w:pStyle w:val="Compact"/>
        <w:numPr>
          <w:ilvl w:val="0"/>
          <w:numId w:val="2"/>
        </w:numPr>
      </w:pPr>
      <w:r>
        <w:t>Each point names the commenter (Ali, Anu, Thuy) so the team can find it in their own Blueprint document quickly.</w:t>
      </w:r>
      <w:bookmarkEnd w:id="0"/>
      <w:bookmarkEnd w:id="1"/>
    </w:p>
    <w:sectPr w:rsidR="00AD22B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D4A46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99020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01320956">
    <w:abstractNumId w:val="0"/>
  </w:num>
  <w:num w:numId="2" w16cid:durableId="10080691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D22B6"/>
    <w:rsid w:val="00410ACE"/>
    <w:rsid w:val="00566C17"/>
    <w:rsid w:val="00600123"/>
    <w:rsid w:val="00AD22B6"/>
    <w:rsid w:val="00D82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D6BFAD6"/>
  <w15:docId w15:val="{F5EF5EE2-D02B-574A-B825-C7DC9F767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Muhammad Hashim</cp:lastModifiedBy>
  <cp:revision>2</cp:revision>
  <dcterms:created xsi:type="dcterms:W3CDTF">2026-07-01T06:18:00Z</dcterms:created>
  <dcterms:modified xsi:type="dcterms:W3CDTF">2026-07-02T05:58:00Z</dcterms:modified>
</cp:coreProperties>
</file>