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RAG Answering Service</w:t>
      </w:r>
    </w:p>
    <w:p>
      <w:pPr>
        <w:spacing w:after="360"/>
        <w:jc w:val="center"/>
      </w:pPr>
      <w:r>
        <w:rPr>
          <w:i/>
          <w:iCs/>
          <w:color w:val="595959"/>
          <w:sz w:val="26"/>
          <w:szCs w:val="26"/>
        </w:rPr>
        <w:t xml:space="preserve">Design Decisions &amp; Trade-offs</w:t>
      </w:r>
    </w:p>
    <w:p>
      <w:pPr>
        <w:pStyle w:val="Heading1"/>
      </w:pPr>
      <w:r>
        <w:t xml:space="preserve">Architecture Overview</w:t>
      </w:r>
    </w:p>
    <w:p>
      <w:pPr>
        <w:spacing w:after="120"/>
      </w:pPr>
      <w:r>
        <w:t xml:space="preserve">A minimal FastAPI service that retrieves relevant snippets from a 12-document Kubernetes corpus using OpenAI embeddings (text-embedding-3-small) and returns a naive answer composed from the top-k results. No LLM generation step — the "answer" is assembled directly from retrieved snippets, keeping costs zero and latency predictable.</w:t>
      </w:r>
    </w:p>
    <w:p>
      <w:pPr>
        <w:spacing w:after="120"/>
      </w:pPr>
      <w:r>
        <w:rPr>
          <w:b/>
          <w:bCs/>
        </w:rPr>
        <w:t xml:space="preserve">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corpus.py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12 hand-written Kubernetes snippets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embeddings.py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OpenAI embedding calls + VectorIndex (cosine / dot)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guardrail.py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Denylist + query-length filter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metrics.py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In-memory latency &amp; hit-rate tracking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main.py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FastAPI endpoints: /answer, /compare, /metrics, /health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config.py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Settings via pydantic-settings + .env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test_compare.py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Comparison script exercising 5 targeted queries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BFBFBF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Guardrail: Denylist + Query-Length Limiter</w:t>
      </w:r>
    </w:p>
    <w:p>
      <w:pPr>
        <w:spacing w:after="120"/>
      </w:pPr>
      <w:r>
        <w:rPr>
          <w:b/>
          <w:bCs/>
        </w:rPr>
        <w:t xml:space="preserve">What it does: </w:t>
      </w:r>
      <w:r>
        <w:t xml:space="preserve">Before any embedding or retrieval, the guardrail rejects queries that: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Contain known prompt-injection phrases ("ignore previous instructions", "system prompt", "jailbreak", "DROP TABLE", &lt;script&gt;,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Exceed 500 characters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empty</w:t>
      </w:r>
    </w:p>
    <w:p>
      <w:pPr>
        <w:spacing w:after="120"/>
      </w:pPr>
      <w:r>
        <w:rPr>
          <w:b/>
          <w:bCs/>
        </w:rPr>
        <w:t xml:space="preserve">Why this guardrail is practical: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Zero additional latency </w:t>
      </w:r>
      <w:r>
        <w:t xml:space="preserve">— runs before any API call or vector computation, so clean queries pay no cost.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Covers real attack vectors </w:t>
      </w:r>
      <w:r>
        <w:t xml:space="preserve">— prompt injection is the #1 threat against LLM-adjacent APIs. SQL injection and XSS probes are cheap to block at the boundary.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Budget protection </w:t>
      </w:r>
      <w:r>
        <w:t xml:space="preserve">— the length cap prevents abuse where an attacker sends 10KB queries to burn embedding tokens.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Easy to extend </w:t>
      </w:r>
      <w:r>
        <w:t xml:space="preserve">— adding terms is a config change, not a code change. In production, the denylist lives in a config file or feature flag service.</w:t>
      </w:r>
    </w:p>
    <w:p>
      <w:pPr>
        <w:spacing w:after="120"/>
      </w:pPr>
      <w:r>
        <w:rPr>
          <w:b/>
          <w:bCs/>
        </w:rPr>
        <w:t xml:space="preserve">Trade-off acknowledged: </w:t>
      </w:r>
      <w:r>
        <w:t xml:space="preserve">A regex denylist is bypassable by a determined attacker (Unicode tricks, rephrasing). A more robust guardrail would use a classifier model, but that adds latency and complexity. For a production-minded prototype, a denylist is the right </w:t>
      </w:r>
      <w:r>
        <w:rPr>
          <w:i/>
          <w:iCs/>
        </w:rPr>
        <w:t xml:space="preserve">first</w:t>
      </w:r>
      <w:r>
        <w:t xml:space="preserve"> guardrail — it catches the low-hanging fruit cheaply.</w:t>
      </w:r>
    </w:p>
    <w:p>
      <w:pPr>
        <w:pBdr>
          <w:bottom w:val="single" w:color="BFBFBF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Index Comparison: Cosine vs Dot-Product</w:t>
      </w:r>
    </w:p>
    <w:p>
      <w:pPr>
        <w:pStyle w:val="Heading2"/>
      </w:pPr>
      <w:r>
        <w:t xml:space="preserve">Setup</w:t>
      </w:r>
    </w:p>
    <w:p>
      <w:pPr>
        <w:spacing w:after="120"/>
      </w:pPr>
      <w:r>
        <w:t xml:space="preserve">Two VectorIndex instances are built from the </w:t>
      </w:r>
      <w:r>
        <w:rPr>
          <w:b/>
          <w:bCs/>
        </w:rPr>
        <w:t xml:space="preserve">same</w:t>
      </w:r>
      <w:r>
        <w:t xml:space="preserve"> embedding vectors (one OpenAI API call for the corpus). The cosine index L2-normalizes vectors at index time; the dot index stores raw vectors. At query time, both use a dot product — the normalization makes them semantically different.</w:t>
      </w:r>
    </w:p>
    <w:p>
      <w:pPr>
        <w:pStyle w:val="Heading2"/>
      </w:pPr>
      <w:r>
        <w:t xml:space="preserve">Results from test_compare.py (5 queries)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2200"/>
        <w:gridCol w:w="116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Query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Cosine Top-1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Dot Top-1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Agreement?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How do I scale my application automatically?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k8s_08 (HPA) 0.41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k8s_08 (HPA) 0.41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What is the best way to store database passwords?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k8s_06 (Secrets) 0.40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k8s_06 (Secrets) 0.40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How does traffic reach my containers from outside?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k8s_09 (Ingress) 0.42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k8s_09 (Ingress) 0.42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How do I manage configuration across environments?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k8s_05 (ConfigMaps) 0.45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k8s_05 (ConfigMaps) 0.45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What happens when a container crashes?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k8s_10 (Probes) 0.36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k8s_10 (Probes) 0.36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Key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Top-1 ranking always agrees. </w:t>
      </w:r>
      <w:r>
        <w:t xml:space="preserve">OpenAI's text-embedding-3-small produces embeddings with near-uniform L2 norms, so normalizing has negligible effect on ranking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Score magnitudes are nearly identical </w:t>
      </w:r>
      <w:r>
        <w:t xml:space="preserve">for this embedding model. With models that produce variable-norm embeddings (e.g., older word2vec or sentence-transformers), dot-product scores would diverge significantly.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Score spread increases with k. </w:t>
      </w:r>
      <w:r>
        <w:t xml:space="preserve">Going from k=3 to k=5 roughly doubles the spread (e.g., 0.10 → 0.18 for the scaling query). The extra results bring in less-relevant snippets, widening the gap.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k=3 vs k=5 trade-off: </w:t>
      </w:r>
      <w:r>
        <w:t xml:space="preserve">k=3 returns tighter, more relevant results. k=5 adds context but includes weaker matches (scores drop below 0.20 in some cases). For a production system with a downstream LLM, k=3 gives a better signal-to-noise ratio; k=5 is useful when recall matters more than precision.</w:t>
      </w:r>
    </w:p>
    <w:p>
      <w:pPr>
        <w:pStyle w:val="Heading2"/>
      </w:pPr>
      <w:r>
        <w:t xml:space="preserve">Recommendation</w:t>
      </w:r>
    </w:p>
    <w:p>
      <w:pPr>
        <w:spacing w:after="120"/>
      </w:pPr>
      <w:r>
        <w:rPr>
          <w:b/>
          <w:bCs/>
        </w:rPr>
        <w:t xml:space="preserve">Cosine with k=3 </w:t>
      </w:r>
      <w:r>
        <w:t xml:space="preserve">is the default choice because: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Scores are bounded [−1, 1], making threshold-based decisions (like hit-rate) interpretable and portable.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k=3 avoids diluting context with low-relevance snippets.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a downstream LLM is added later, fewer but better snippets reduce hallucination risk.</w:t>
      </w:r>
    </w:p>
    <w:p>
      <w:pPr>
        <w:pBdr>
          <w:bottom w:val="single" w:color="BFBFBF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Monitoring Metrics</w:t>
      </w:r>
    </w:p>
    <w:p>
      <w:pPr>
        <w:pStyle w:val="Heading2"/>
      </w:pPr>
      <w:r>
        <w:t xml:space="preserve">1. Query Latency (P50 / P95 / P99)</w:t>
      </w:r>
    </w:p>
    <w:p>
      <w:pPr>
        <w:spacing w:after="120"/>
      </w:pPr>
      <w:r>
        <w:rPr>
          <w:b/>
          <w:bCs/>
        </w:rPr>
        <w:t xml:space="preserve">What: </w:t>
      </w:r>
      <w:r>
        <w:t xml:space="preserve">End-to-end time from request receipt to response, split into embedding latency and search latency.</w:t>
      </w:r>
    </w:p>
    <w:p>
      <w:pPr>
        <w:spacing w:after="120"/>
      </w:pPr>
      <w:r>
        <w:rPr>
          <w:b/>
          <w:bCs/>
        </w:rPr>
        <w:t xml:space="preserve">Why it matters: </w:t>
      </w:r>
      <w:r>
        <w:t xml:space="preserve">Embedding latency dominates (50–200ms per OpenAI call) while search is microseconds for 12 vectors. If P95 spikes, you know immediately whether it's the external API degrading or your own code.</w:t>
      </w:r>
    </w:p>
    <w:p>
      <w:pPr>
        <w:spacing w:after="120"/>
      </w:pPr>
      <w:r>
        <w:rPr>
          <w:b/>
          <w:bCs/>
        </w:rPr>
        <w:t xml:space="preserve">How tracked: </w:t>
      </w:r>
      <w:r>
        <w:t xml:space="preserve">In-memory collections.deque(maxlen=1000) circular buffer. Each request appends {total_latency_ms, embedding_latency_ms, search_latency_ms}. The /metrics endpoint computes percentiles via numpy.percentile.</w:t>
      </w:r>
    </w:p>
    <w:p>
      <w:pPr>
        <w:spacing w:after="120"/>
      </w:pPr>
      <w:r>
        <w:rPr>
          <w:b/>
          <w:bCs/>
        </w:rPr>
        <w:t xml:space="preserve">Production path: </w:t>
      </w:r>
      <w:r>
        <w:t xml:space="preserve">Emit these as Prometheus histograms or Datadog distributions. Set alerts on P95 &gt; 500ms.</w:t>
      </w:r>
    </w:p>
    <w:p>
      <w:pPr>
        <w:pStyle w:val="Heading2"/>
      </w:pPr>
      <w:r>
        <w:t xml:space="preserve">2. Retrieval Hit-Rate</w:t>
      </w:r>
    </w:p>
    <w:p>
      <w:pPr>
        <w:spacing w:after="120"/>
      </w:pPr>
      <w:r>
        <w:rPr>
          <w:b/>
          <w:bCs/>
        </w:rPr>
        <w:t xml:space="preserve">What: </w:t>
      </w:r>
      <w:r>
        <w:t xml:space="preserve">Fraction of queries where the top-1 similarity score exceeds a threshold (default: 0.35 for cosine).</w:t>
      </w:r>
    </w:p>
    <w:p>
      <w:pPr>
        <w:spacing w:after="120"/>
      </w:pPr>
      <w:r>
        <w:rPr>
          <w:b/>
          <w:bCs/>
        </w:rPr>
        <w:t xml:space="preserve">Why it matters: </w:t>
      </w:r>
      <w:r>
        <w:t xml:space="preserve">Hit-rate is a proxy for retrieval quality </w:t>
      </w:r>
      <w:r>
        <w:rPr>
          <w:i/>
          <w:iCs/>
        </w:rPr>
        <w:t xml:space="preserve">without needing labeled relevance judgments</w:t>
      </w:r>
      <w:r>
        <w:t xml:space="preserve">. If users start asking questions the corpus doesn't cover, hit-rate drops — signaling you need to expand the corpus. It also detects embedding model drift after provider updates.</w:t>
      </w:r>
    </w:p>
    <w:p>
      <w:pPr>
        <w:spacing w:after="120"/>
      </w:pPr>
      <w:r>
        <w:rPr>
          <w:b/>
          <w:bCs/>
        </w:rPr>
        <w:t xml:space="preserve">How tracked: </w:t>
      </w:r>
      <w:r>
        <w:t xml:space="preserve">Same deque buffer. Each entry records top1_score. The summary computes hits / total where hits = count(top1_score &gt;= threshold).</w:t>
      </w:r>
    </w:p>
    <w:p>
      <w:pPr>
        <w:spacing w:after="120"/>
      </w:pPr>
      <w:r>
        <w:rPr>
          <w:b/>
          <w:bCs/>
        </w:rPr>
        <w:t xml:space="preserve">Production path: </w:t>
      </w:r>
      <w:r>
        <w:t xml:space="preserve">Track weekly rolling hit-rate. A 10%+ drop triggers a corpus review. Combine with query logging to identify the most common "miss" topics.</w:t>
      </w:r>
    </w:p>
    <w:p>
      <w:pPr>
        <w:pBdr>
          <w:bottom w:val="single" w:color="BFBFBF" w:sz="6" w:space="1"/>
        </w:pBdr>
        <w:spacing w:after="200" w:before="100"/>
      </w:pPr>
      <w:r>
        <w:t xml:space="preserve"/>
      </w:r>
    </w:p>
    <w:p>
      <w:pPr>
        <w:pStyle w:val="Heading1"/>
      </w:pPr>
      <w:r>
        <w:t xml:space="preserve">Running the Service</w:t>
      </w:r>
    </w:p>
    <w:p>
      <w:pP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# Install dependencies
pip install -r requirements.txt</w:t>
      </w:r>
    </w:p>
    <w:p>
      <w:pP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# Set your OpenAI API key
cp .env.example .env  # then edit with your key
# or: export OPENAI_API_KEY="sk-..."</w:t>
      </w:r>
    </w:p>
    <w:p>
      <w:pP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# Start the server
uvicorn main:app --host 0.0.0.0 --port 8321</w:t>
      </w:r>
    </w:p>
    <w:p>
      <w:pP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# Test
curl -X POST http://localhost:8321/answer \
  -H 'Content-Type: application/json' \
  -d '{"query": "how do I scale pods?"}'</w:t>
      </w:r>
    </w:p>
    <w:p>
      <w:pP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# Compare index configs
curl -X POST http://localhost:8321/compare \
  -H 'Content-Type: application/json' \
  -d '{"query": "how do I scale pods?", "top_k_values": [3, 5]}'</w:t>
      </w:r>
    </w:p>
    <w:p>
      <w:pP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# Check metrics
curl http://localhost:8321/metrics</w:t>
      </w:r>
    </w:p>
    <w:p>
      <w:pPr>
        <w:shd w:fill="F2F2F2" w:val="clear"/>
        <w:spacing w:after="160" w:before="80"/>
      </w:pPr>
      <w:r>
        <w:rPr>
          <w:rFonts w:ascii="Consolas" w:cs="Consolas" w:eastAsia="Consolas" w:hAnsi="Consolas"/>
          <w:sz w:val="20"/>
          <w:szCs w:val="20"/>
        </w:rPr>
        <w:t xml:space="preserve"># Run full comparison
python test_compare.py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2026-04-10T14:22:01.929Z</dcterms:created>
  <dcterms:modified xsi:type="dcterms:W3CDTF">2026-04-10T14:22:01.931Z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