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arriett"/>
    <w:p>
      <w:pPr>
        <w:pStyle w:val="Heading1"/>
      </w:pPr>
      <w:r>
        <w:t xml:space="preserve">Harriett</w:t>
      </w:r>
    </w:p>
    <w:bookmarkStart w:id="9" w:name="X6a8212817bbb538c21c2d2fd8e187f6e64afd73"/>
    <w:p>
      <w:pPr>
        <w:pStyle w:val="Heading2"/>
      </w:pPr>
      <w:r>
        <w:t xml:space="preserve">Phase 2+3: The Pilot Through Full Office Rollout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Wilson Moore and Tanner Ashcraft, Pritchett-Moore Real Estate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Prairie Dog Labs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2, 2026</w:t>
      </w:r>
    </w:p>
    <w:p>
      <w:r>
        <w:pict>
          <v:rect style="width:0;height:1.5pt" o:hralign="center" o:hrstd="t" o:hr="t"/>
        </w:pict>
      </w:r>
    </w:p>
    <w:bookmarkEnd w:id="9"/>
    <w:bookmarkStart w:id="10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you get</w:t>
            </w:r>
          </w:p>
        </w:tc>
        <w:tc>
          <w:tcPr/>
          <w:p>
            <w:pPr>
              <w:pStyle w:val="Compact"/>
            </w:pPr>
            <w:r>
              <w:t xml:space="preserve">A working AI assistant for your 5 pilot agents, scaled to the full office, plus voice, dotloop integration, and office-wide AI enablement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$52,100 (Phase 1 fee credited in full, 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4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schedule</w:t>
            </w:r>
          </w:p>
        </w:tc>
        <w:tc>
          <w:tcPr/>
          <w:p>
            <w:pPr>
              <w:pStyle w:val="Compact"/>
            </w:pPr>
            <w:r>
              <w:t xml:space="preserve">4 monthly payments of $13,025</w:t>
            </w:r>
          </w:p>
        </w:tc>
      </w:tr>
    </w:tbl>
    <w:p>
      <w:pPr>
        <w:pStyle w:val="BodyText"/>
      </w:pPr>
      <w:r>
        <w:t xml:space="preserve">You’ve already completed Phase 1 and the pilot validation phase on real deals. This</w:t>
      </w:r>
      <w:r>
        <w:t xml:space="preserve"> </w:t>
      </w:r>
      <w:r>
        <w:t xml:space="preserve">proposal combines what were originally Phase 2 and Phase 3 into a single engagement, so</w:t>
      </w:r>
      <w:r>
        <w:t xml:space="preserve"> </w:t>
      </w:r>
      <w:r>
        <w:t xml:space="preserve">there is one build, one timeline, and one investment instead of two separate phases and</w:t>
      </w:r>
      <w:r>
        <w:t xml:space="preserve"> </w:t>
      </w:r>
      <w:r>
        <w:t xml:space="preserve">two separate decisions.</w:t>
      </w:r>
    </w:p>
    <w:p>
      <w:r>
        <w:pict>
          <v:rect style="width:0;height:1.5pt" o:hralign="center" o:hrstd="t" o:hr="t"/>
        </w:pict>
      </w:r>
    </w:p>
    <w:bookmarkEnd w:id="10"/>
    <w:bookmarkStart w:id="13" w:name="investment"/>
    <w:p>
      <w:pPr>
        <w:pStyle w:val="Heading2"/>
      </w:pPr>
      <w:r>
        <w:t xml:space="preserve">1. Investment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scope, full price</w:t>
            </w:r>
          </w:p>
        </w:tc>
        <w:tc>
          <w:tcPr/>
          <w:p>
            <w:pPr>
              <w:pStyle w:val="Compact"/>
            </w:pPr>
            <w:r>
              <w:t xml:space="preserve">$59,300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investment, credited in full</w:t>
            </w:r>
          </w:p>
        </w:tc>
        <w:tc>
          <w:tcPr/>
          <w:p>
            <w:pPr>
              <w:pStyle w:val="Compact"/>
            </w:pPr>
            <w:r>
              <w:t xml:space="preserve">-$7,200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$52,100</w:t>
            </w:r>
          </w:p>
        </w:tc>
      </w:tr>
    </w:tbl>
    <w:p>
      <w:pPr>
        <w:pStyle w:val="BodyText"/>
      </w:pPr>
      <w:r>
        <w:t xml:space="preserve">Your total investment across the entire engagement, Phase 1 through full office rollout,</w:t>
      </w:r>
      <w:r>
        <w:t xml:space="preserve"> </w:t>
      </w:r>
      <w:r>
        <w:t xml:space="preserve">is $59,300. Because your Phase 1 investment and pilot are already complete, that amount is</w:t>
      </w:r>
      <w:r>
        <w:t xml:space="preserve"> </w:t>
      </w:r>
      <w:r>
        <w:t xml:space="preserve">credited against this phase rather than billed twice.</w:t>
      </w:r>
    </w:p>
    <w:bookmarkStart w:id="11" w:name="payment-schedule"/>
    <w:p>
      <w:pPr>
        <w:pStyle w:val="Heading3"/>
      </w:pPr>
      <w:r>
        <w:t xml:space="preserve">Payment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At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Start of 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Start of 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Start of month 4</w:t>
            </w:r>
          </w:p>
        </w:tc>
      </w:tr>
    </w:tbl>
    <w:bookmarkEnd w:id="11"/>
    <w:bookmarkStart w:id="12" w:name="Xee341e2bdc989778a19700484feaf7f799accbe"/>
    <w:p>
      <w:pPr>
        <w:pStyle w:val="Heading3"/>
      </w:pPr>
      <w:r>
        <w:t xml:space="preserve">Recurring costs (start once the pilot is live)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costs (LLM, hosting, SMS), pass-through</w:t>
            </w:r>
          </w:p>
        </w:tc>
        <w:tc>
          <w:tcPr/>
          <w:p>
            <w:pPr>
              <w:pStyle w:val="Compact"/>
            </w:pPr>
            <w:r>
              <w:t xml:space="preserve">$750/month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Office Hours retainer (optional, cancel any time)</w:t>
            </w:r>
          </w:p>
        </w:tc>
        <w:tc>
          <w:tcPr/>
          <w:p>
            <w:pPr>
              <w:pStyle w:val="Compact"/>
            </w:pPr>
            <w:r>
              <w:t xml:space="preserve">$1,500/month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whats-included"/>
    <w:p>
      <w:pPr>
        <w:pStyle w:val="Heading2"/>
      </w:pPr>
      <w:r>
        <w:t xml:space="preserve">2. What’s Included</w:t>
      </w:r>
    </w:p>
    <w:bookmarkStart w:id="14" w:name="the-technical-build"/>
    <w:p>
      <w:pPr>
        <w:pStyle w:val="Heading3"/>
      </w:pPr>
      <w:r>
        <w:t xml:space="preserve">The technical build</w:t>
      </w:r>
    </w:p>
    <w:p>
      <w:pPr>
        <w:pStyle w:val="Compact"/>
        <w:numPr>
          <w:ilvl w:val="0"/>
          <w:numId w:val="1001"/>
        </w:numPr>
      </w:pPr>
      <w:r>
        <w:t xml:space="preserve">Microsoft 365 integration per opted-in agent (inbox, calendar, contacts)</w:t>
      </w:r>
    </w:p>
    <w:p>
      <w:pPr>
        <w:pStyle w:val="Compact"/>
        <w:numPr>
          <w:ilvl w:val="0"/>
          <w:numId w:val="1001"/>
        </w:numPr>
      </w:pPr>
      <w:r>
        <w:t xml:space="preserve">Per-agent training interface where each agent teaches Harriett their preferences, tone, and vendors</w:t>
      </w:r>
    </w:p>
    <w:p>
      <w:pPr>
        <w:pStyle w:val="Compact"/>
        <w:numPr>
          <w:ilvl w:val="0"/>
          <w:numId w:val="1001"/>
        </w:numPr>
      </w:pPr>
      <w:r>
        <w:t xml:space="preserve">Per-agent memory so Harriett remembers each agent’s people and style across deals</w:t>
      </w:r>
    </w:p>
    <w:p>
      <w:pPr>
        <w:pStyle w:val="Compact"/>
        <w:numPr>
          <w:ilvl w:val="0"/>
          <w:numId w:val="1001"/>
        </w:numPr>
      </w:pPr>
      <w:r>
        <w:t xml:space="preserve">Five workflows live: marketing materials, photo coordination, document drafting, inspection coordination, closing coordination</w:t>
      </w:r>
    </w:p>
    <w:p>
      <w:pPr>
        <w:pStyle w:val="Compact"/>
        <w:numPr>
          <w:ilvl w:val="0"/>
          <w:numId w:val="1001"/>
        </w:numPr>
      </w:pPr>
      <w:r>
        <w:t xml:space="preserve">Text and email outbound through Twilio direct, with A2P 10DLC registration in your business name</w:t>
      </w:r>
    </w:p>
    <w:p>
      <w:pPr>
        <w:pStyle w:val="Compact"/>
        <w:numPr>
          <w:ilvl w:val="0"/>
          <w:numId w:val="1001"/>
        </w:numPr>
      </w:pPr>
      <w:r>
        <w:t xml:space="preserve">Broker approval queue on every consumer-facing message before it sends</w:t>
      </w:r>
    </w:p>
    <w:p>
      <w:pPr>
        <w:pStyle w:val="Compact"/>
        <w:numPr>
          <w:ilvl w:val="0"/>
          <w:numId w:val="1001"/>
        </w:numPr>
      </w:pPr>
      <w:r>
        <w:t xml:space="preserve">Lightweight CRM built in for agents without one</w:t>
      </w:r>
    </w:p>
    <w:p>
      <w:pPr>
        <w:pStyle w:val="Compact"/>
        <w:numPr>
          <w:ilvl w:val="0"/>
          <w:numId w:val="1001"/>
        </w:numPr>
      </w:pPr>
      <w:r>
        <w:t xml:space="preserve">Alabama-specific form awareness and RECAD-compliant message templates</w:t>
      </w:r>
    </w:p>
    <w:p>
      <w:pPr>
        <w:pStyle w:val="Compact"/>
        <w:numPr>
          <w:ilvl w:val="0"/>
          <w:numId w:val="1001"/>
        </w:numPr>
      </w:pPr>
      <w:r>
        <w:t xml:space="preserve">Consent capture and a complete audit trail</w:t>
      </w:r>
    </w:p>
    <w:p>
      <w:pPr>
        <w:pStyle w:val="Compact"/>
        <w:numPr>
          <w:ilvl w:val="0"/>
          <w:numId w:val="1001"/>
        </w:numPr>
      </w:pPr>
      <w:r>
        <w:t xml:space="preserve">Admin dashboard for you and Tanner</w:t>
      </w:r>
    </w:p>
    <w:p>
      <w:pPr>
        <w:pStyle w:val="Compact"/>
        <w:numPr>
          <w:ilvl w:val="0"/>
          <w:numId w:val="1001"/>
        </w:numPr>
      </w:pPr>
      <w:r>
        <w:t xml:space="preserve">Inbound voice: a dedicated Harriett phone number agents can call to dictate deals, request help, or ask questions on the go</w:t>
      </w:r>
    </w:p>
    <w:p>
      <w:pPr>
        <w:pStyle w:val="Compact"/>
        <w:numPr>
          <w:ilvl w:val="0"/>
          <w:numId w:val="1001"/>
        </w:numPr>
      </w:pPr>
      <w:r>
        <w:t xml:space="preserve">Outbound voice to vendors only (inspectors, photographers, title companies), with AI disclosure built in. No outbound voice to consumers, by design</w:t>
      </w:r>
    </w:p>
    <w:p>
      <w:pPr>
        <w:pStyle w:val="Compact"/>
        <w:numPr>
          <w:ilvl w:val="0"/>
          <w:numId w:val="1001"/>
        </w:numPr>
      </w:pPr>
      <w:r>
        <w:t xml:space="preserve">Full office rollout beyond the original pilot group</w:t>
      </w:r>
    </w:p>
    <w:p>
      <w:pPr>
        <w:pStyle w:val="Compact"/>
        <w:numPr>
          <w:ilvl w:val="0"/>
          <w:numId w:val="1001"/>
        </w:numPr>
      </w:pPr>
      <w:r>
        <w:t xml:space="preserve">Dotloop integration for real-time, automatic deal detection</w:t>
      </w:r>
    </w:p>
    <w:bookmarkEnd w:id="14"/>
    <w:bookmarkStart w:id="15" w:name="the-ai-enablement-bundle"/>
    <w:p>
      <w:pPr>
        <w:pStyle w:val="Heading3"/>
      </w:pPr>
      <w:r>
        <w:t xml:space="preserve">The AI Enablement bundle</w:t>
      </w:r>
    </w:p>
    <w:p>
      <w:pPr>
        <w:pStyle w:val="Compact"/>
        <w:numPr>
          <w:ilvl w:val="0"/>
          <w:numId w:val="1002"/>
        </w:numPr>
      </w:pPr>
      <w:r>
        <w:t xml:space="preserve">Custom Claude Projects for Wilson: configured with brokerage data, brand voice, recruiting templates, and financial workflows, with a 1-hour personal training session</w:t>
      </w:r>
    </w:p>
    <w:p>
      <w:pPr>
        <w:pStyle w:val="Compact"/>
        <w:numPr>
          <w:ilvl w:val="0"/>
          <w:numId w:val="1002"/>
        </w:numPr>
      </w:pPr>
      <w:r>
        <w:t xml:space="preserve">Custom Claude Projects for Tanner: the same approach, customized for his role</w:t>
      </w:r>
    </w:p>
    <w:p>
      <w:pPr>
        <w:pStyle w:val="Compact"/>
        <w:numPr>
          <w:ilvl w:val="0"/>
          <w:numId w:val="1002"/>
        </w:numPr>
      </w:pPr>
      <w:r>
        <w:t xml:space="preserve">Pilot agent AI training workshop: a 90-minute group session on prompt fundamentals and daily-use cases beyond Harriett</w:t>
      </w:r>
    </w:p>
    <w:p>
      <w:pPr>
        <w:pStyle w:val="Compact"/>
        <w:numPr>
          <w:ilvl w:val="0"/>
          <w:numId w:val="1002"/>
        </w:numPr>
      </w:pPr>
      <w:r>
        <w:t xml:space="preserve">Pilot agent starter prompt library: 15 pre-built prompts for listing descriptions, follow-ups, market analysis, and social posts</w:t>
      </w:r>
    </w:p>
    <w:p>
      <w:pPr>
        <w:pStyle w:val="Compact"/>
        <w:numPr>
          <w:ilvl w:val="0"/>
          <w:numId w:val="1002"/>
        </w:numPr>
      </w:pPr>
      <w:r>
        <w:t xml:space="preserve">AI Usage Policy and Compliance Framework: a written policy on responsible AI use, data privacy, and escalation paths</w:t>
      </w:r>
    </w:p>
    <w:p>
      <w:pPr>
        <w:pStyle w:val="Compact"/>
        <w:numPr>
          <w:ilvl w:val="0"/>
          <w:numId w:val="1002"/>
        </w:numPr>
      </w:pPr>
      <w:r>
        <w:t xml:space="preserve">Prompt library expanded office-wide: 30+ prompts for the full team</w:t>
      </w:r>
    </w:p>
    <w:p>
      <w:pPr>
        <w:pStyle w:val="Compact"/>
        <w:numPr>
          <w:ilvl w:val="0"/>
          <w:numId w:val="1002"/>
        </w:numPr>
      </w:pPr>
      <w:r>
        <w:t xml:space="preserve">Year 1 Quarterly Business Reviews: 4 sessions across the year to review metrics and identify new opportunities</w:t>
      </w:r>
    </w:p>
    <w:p>
      <w:pPr>
        <w:pStyle w:val="Compact"/>
        <w:numPr>
          <w:ilvl w:val="0"/>
          <w:numId w:val="1002"/>
        </w:numPr>
      </w:pPr>
      <w:r>
        <w:t xml:space="preserve">Agent AI Training Workshop Series: 4 workshops, about 60 minutes each, open to every opted-in agent</w:t>
      </w:r>
    </w:p>
    <w:bookmarkEnd w:id="15"/>
    <w:bookmarkStart w:id="16" w:name="in-person-time"/>
    <w:p>
      <w:pPr>
        <w:pStyle w:val="Heading3"/>
      </w:pPr>
      <w:r>
        <w:t xml:space="preserve">In-person time</w:t>
      </w:r>
    </w:p>
    <w:p>
      <w:pPr>
        <w:pStyle w:val="FirstParagraph"/>
      </w:pPr>
      <w:r>
        <w:t xml:space="preserve">Two trips to Huntsville, both absorbed into the investment above. One early in the</w:t>
      </w:r>
      <w:r>
        <w:t xml:space="preserve"> </w:t>
      </w:r>
      <w:r>
        <w:t xml:space="preserve">engagement for discovery, Claude Project setup, and meeting the pilot agents in person.</w:t>
      </w:r>
      <w:r>
        <w:t xml:space="preserve"> </w:t>
      </w:r>
      <w:r>
        <w:t xml:space="preserve">One at office-wide rollout for the launch kickoff, the first AI training workshop, and</w:t>
      </w:r>
      <w:r>
        <w:t xml:space="preserve"> </w:t>
      </w:r>
      <w:r>
        <w:t xml:space="preserve">dotloop go-live.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on-dotloop-timing"/>
    <w:p>
      <w:pPr>
        <w:pStyle w:val="Heading2"/>
      </w:pPr>
      <w:r>
        <w:t xml:space="preserve">3. On Dotloop Timing</w:t>
      </w:r>
    </w:p>
    <w:p>
      <w:pPr>
        <w:pStyle w:val="FirstParagraph"/>
      </w:pPr>
      <w:r>
        <w:t xml:space="preserve">We know your dotloop migration date isn’t locked in yet. Rather than hold up this</w:t>
      </w:r>
      <w:r>
        <w:t xml:space="preserve"> </w:t>
      </w:r>
      <w:r>
        <w:t xml:space="preserve">engagement waiting on that, we’ve built a 4-month window that gives us room to land the</w:t>
      </w:r>
      <w:r>
        <w:t xml:space="preserve"> </w:t>
      </w:r>
      <w:r>
        <w:t xml:space="preserve">dotloop integration if migration happens in time. If it doesn’t, that’s fine: we will</w:t>
      </w:r>
      <w:r>
        <w:t xml:space="preserve"> </w:t>
      </w:r>
      <w:r>
        <w:t xml:space="preserve">still deliver the dotloop integration whenever your migration happens, at no additional</w:t>
      </w:r>
      <w:r>
        <w:t xml:space="preserve"> </w:t>
      </w:r>
      <w:r>
        <w:t xml:space="preserve">cost. It’s part of this engagement either way.</w:t>
      </w:r>
    </w:p>
    <w:p>
      <w:r>
        <w:pict>
          <v:rect style="width:0;height:1.5pt" o:hralign="center" o:hrstd="t" o:hr="t"/>
        </w:pict>
      </w:r>
    </w:p>
    <w:bookmarkEnd w:id="18"/>
    <w:bookmarkStart w:id="19" w:name="timeline"/>
    <w:p>
      <w:pPr>
        <w:pStyle w:val="Heading2"/>
      </w:pPr>
      <w:r>
        <w:t xml:space="preserve">4.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 office rollout begins, Custom Claude Projects setup for Wilson and Tanner, voice build 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Voice live, inspection and closing workflows live, agent training workshops begin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Dotloop integration (if migration has occurred), continued office-wide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 build complete, all five workflows live office-wide, AI Enablement bundle delivered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3"/>
        </w:numPr>
      </w:pPr>
      <w:r>
        <w:t xml:space="preserve">Review this proposal and flag anything that doesn’t match what you’re expecting</w:t>
      </w:r>
    </w:p>
    <w:p>
      <w:pPr>
        <w:pStyle w:val="Compact"/>
        <w:numPr>
          <w:ilvl w:val="0"/>
          <w:numId w:val="1003"/>
        </w:numPr>
      </w:pPr>
      <w:r>
        <w:t xml:space="preserve">Sign and submit the first payment to lock in a start date</w:t>
      </w:r>
    </w:p>
    <w:p>
      <w:pPr>
        <w:pStyle w:val="Compact"/>
        <w:numPr>
          <w:ilvl w:val="0"/>
          <w:numId w:val="1003"/>
        </w:numPr>
      </w:pPr>
      <w:r>
        <w:t xml:space="preserve">We begin within two weeks of signing</w:t>
      </w:r>
    </w:p>
    <w:p>
      <w:pPr>
        <w:pStyle w:val="FirstParagraph"/>
      </w:pPr>
      <w:r>
        <w:t xml:space="preserve">Thanks again, Wilson and Tanner. Looking forward to bringing Harriett to the whole office.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Prairie Dog Labs. Contact: matt@pdlabs.xyz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2026-07-02T14:01:04Z</dcterms:created>
  <dcterms:modified xsi:type="dcterms:W3CDTF">2026-07-02T14:01:04Z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