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6f1232ab485393a51df29694fbc3dbe555e8f26"/>
    <w:p>
      <w:pPr>
        <w:pStyle w:val="Heading1"/>
      </w:pPr>
      <w:r>
        <w:t xml:space="preserve">Harriett: Combined Phase 2+3 Scope (Pilot Through Full Office Rollout)</w:t>
      </w:r>
    </w:p>
    <w:p>
      <w:pPr>
        <w:pStyle w:val="FirstParagraph"/>
      </w:pPr>
      <w:r>
        <w:t xml:space="preserve">Working draft. Merges the original Phase 2 (</w:t>
      </w:r>
      <w:r>
        <w:t xml:space="preserve">“The Pilot + AI Enablement Kickstart”</w:t>
      </w:r>
      <w:r>
        <w:t xml:space="preserve">) and</w:t>
      </w:r>
      <w:r>
        <w:t xml:space="preserve"> </w:t>
      </w:r>
      <w:r>
        <w:t xml:space="preserve">Phase 3 (</w:t>
      </w:r>
      <w:r>
        <w:t xml:space="preserve">“Full Power + Office-Wide AI Enablement”</w:t>
      </w:r>
      <w:r>
        <w:t xml:space="preserve">) from the May 28, 2026 proposal into a</w:t>
      </w:r>
      <w:r>
        <w:t xml:space="preserve"> </w:t>
      </w:r>
      <w:r>
        <w:t xml:space="preserve">single project scope and SOW, per Matt’s 2026-06-30 decision to combine them. Source:</w:t>
      </w:r>
      <w:r>
        <w:t xml:space="preserve"> </w:t>
      </w:r>
      <w:r>
        <w:rPr>
          <w:rStyle w:val="VerbatimChar"/>
        </w:rPr>
        <w:t xml:space="preserve">~/Downloads/harriett_proposal_final.md</w:t>
      </w:r>
      <w:r>
        <w:t xml:space="preserve">, reconciled against current locked architecture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investment"/>
    <w:p>
      <w:pPr>
        <w:pStyle w:val="Heading2"/>
      </w:pPr>
      <w:r>
        <w:t xml:space="preserve">Investment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Phase 2+3 scope, sticker price</w:t>
            </w:r>
          </w:p>
        </w:tc>
        <w:tc>
          <w:tcPr/>
          <w:p>
            <w:pPr>
              <w:pStyle w:val="Compact"/>
            </w:pPr>
            <w:r>
              <w:t xml:space="preserve">$59,300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fee already paid, credited against this scope</w:t>
            </w:r>
          </w:p>
        </w:tc>
        <w:tc>
          <w:tcPr/>
          <w:p>
            <w:pPr>
              <w:pStyle w:val="Compact"/>
            </w:pPr>
            <w:r>
              <w:t xml:space="preserve">-$7,200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due for Phase 2+3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$52,100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cost, all phases (Phase 1 paid + net Phase 2+3)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$59,300</w:t>
            </w:r>
          </w:p>
        </w:tc>
      </w:tr>
    </w:tbl>
    <w:p>
      <w:pPr>
        <w:pStyle w:val="BodyText"/>
      </w:pPr>
      <w:r>
        <w:t xml:space="preserve">$66,500 was the old three-phase sticker total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Phase 1 credit. Crediting the</w:t>
      </w:r>
      <w:r>
        <w:t xml:space="preserve"> </w:t>
      </w:r>
      <w:r>
        <w:t xml:space="preserve">$7,200 instead of charging it twice brings the real total project cost down to $59,300 —</w:t>
      </w:r>
      <w:r>
        <w:t xml:space="preserve"> </w:t>
      </w:r>
      <w:r>
        <w:t xml:space="preserve">that’s the entire point of calling it a credit rather than just a relabeling.</w:t>
      </w:r>
    </w:p>
    <w:p>
      <w:pPr>
        <w:pStyle w:val="BodyText"/>
      </w:pPr>
      <w:r>
        <w:rPr>
          <w:b/>
          <w:bCs/>
        </w:rPr>
        <w:t xml:space="preserve">Timeline: 4 months build</w:t>
      </w:r>
      <w:r>
        <w:t xml:space="preserve">, extended from the original 3-month estimate specifically to</w:t>
      </w:r>
      <w:r>
        <w:t xml:space="preserve"> </w:t>
      </w:r>
      <w:r>
        <w:t xml:space="preserve">absorb dotloop uncertainty (see Open Items #1) — the extra month gives room to land</w:t>
      </w:r>
      <w:r>
        <w:t xml:space="preserve"> </w:t>
      </w:r>
      <w:r>
        <w:t xml:space="preserve">dotloop integration inside the build window rather than treating it as a bolt-on later.</w:t>
      </w:r>
    </w:p>
    <w:p>
      <w:pPr>
        <w:pStyle w:val="BodyText"/>
      </w:pPr>
      <w:r>
        <w:t xml:space="preserve">Recurring costs unchanged: $750/mo operating costs pass-through, optional $1,500/mo AI</w:t>
      </w:r>
      <w:r>
        <w:t xml:space="preserve"> </w:t>
      </w:r>
      <w:r>
        <w:t xml:space="preserve">Office Hours retainer, both starting once the pilot is live.</w:t>
      </w:r>
    </w:p>
    <w:bookmarkEnd w:id="9"/>
    <w:bookmarkStart w:id="10" w:name="payment-schedule"/>
    <w:p>
      <w:pPr>
        <w:pStyle w:val="Heading2"/>
      </w:pPr>
      <w:r>
        <w:t xml:space="preserve">Payment schedule</w:t>
      </w:r>
    </w:p>
    <w:p>
      <w:pPr>
        <w:pStyle w:val="FirstParagraph"/>
      </w:pPr>
      <w:r>
        <w:t xml:space="preserve">4 equal monthly payments of</w:t>
      </w:r>
      <w:r>
        <w:t xml:space="preserve"> </w:t>
      </w:r>
      <w:r>
        <w:rPr>
          <w:b/>
          <w:bCs/>
        </w:rPr>
        <w:t xml:space="preserve">$13,025</w:t>
      </w:r>
      <w:r>
        <w:t xml:space="preserve"> </w:t>
      </w:r>
      <w:r>
        <w:t xml:space="preserve">($52,100 / 4), one per month of the 4-month build</w:t>
      </w:r>
      <w:r>
        <w:t xml:space="preserve"> </w:t>
      </w:r>
      <w:r>
        <w:t xml:space="preserve">— no separate holdback, payment cadence now tracks the build directly.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At signing (start of month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$13,025</w:t>
            </w:r>
          </w:p>
        </w:tc>
        <w:tc>
          <w:tcPr/>
          <w:p>
            <w:pPr>
              <w:pStyle w:val="Compact"/>
            </w:pPr>
            <w:r>
              <w:t xml:space="preserve">Start of month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End of month 4: build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why-combine"/>
    <w:p>
      <w:pPr>
        <w:pStyle w:val="Heading2"/>
      </w:pPr>
      <w:r>
        <w:t xml:space="preserve">Why combine</w:t>
      </w:r>
    </w:p>
    <w:p>
      <w:pPr>
        <w:pStyle w:val="FirstParagraph"/>
      </w:pPr>
      <w:r>
        <w:t xml:space="preserve">Originally Phase 3 was a separate decision the client made after watching Phase 2 run</w:t>
      </w:r>
      <w:r>
        <w:t xml:space="preserve"> </w:t>
      </w:r>
      <w:r>
        <w:t xml:space="preserve">live for 30+ days. Combining removes that second sales gate: one signature, one combined</w:t>
      </w:r>
      <w:r>
        <w:t xml:space="preserve"> </w:t>
      </w:r>
      <w:r>
        <w:t xml:space="preserve">build, the pilot-to-full-office expansion happens as a planned phase inside the same</w:t>
      </w:r>
      <w:r>
        <w:t xml:space="preserve"> </w:t>
      </w:r>
      <w:r>
        <w:t xml:space="preserve">engagement instead of a re-pitch. Tradeoff: less proof-of-traction leverage before asking</w:t>
      </w:r>
      <w:r>
        <w:t xml:space="preserve"> </w:t>
      </w:r>
      <w:r>
        <w:t xml:space="preserve">for the bigger number, and the dotloop dependency (below) doesn’t go away just because</w:t>
      </w:r>
      <w:r>
        <w:t xml:space="preserve"> </w:t>
      </w:r>
      <w:r>
        <w:t xml:space="preserve">the paperwork merges.</w:t>
      </w:r>
    </w:p>
    <w:p>
      <w:r>
        <w:pict>
          <v:rect style="width:0;height:1.5pt" o:hralign="center" o:hrstd="t" o:hr="t"/>
        </w:pict>
      </w:r>
    </w:p>
    <w:bookmarkEnd w:id="11"/>
    <w:bookmarkStart w:id="12" w:name="combined-technical-build"/>
    <w:p>
      <w:pPr>
        <w:pStyle w:val="Heading2"/>
      </w:pPr>
      <w:r>
        <w:t xml:space="preserve">Combined technical build</w:t>
      </w:r>
    </w:p>
    <w:p>
      <w:pPr>
        <w:pStyle w:val="FirstParagraph"/>
      </w:pPr>
      <w:r>
        <w:t xml:space="preserve">Deduplicated and reconciled against current architecture. One change from the original</w:t>
      </w:r>
      <w:r>
        <w:t xml:space="preserve"> </w:t>
      </w:r>
      <w:r>
        <w:t xml:space="preserve">proposal text: Phase 2’s text/email outbound was originally scoped through</w:t>
      </w:r>
      <w:r>
        <w:t xml:space="preserve"> </w:t>
      </w:r>
      <w:r>
        <w:rPr>
          <w:b/>
          <w:bCs/>
        </w:rPr>
        <w:t xml:space="preserve">GoHighLevel</w:t>
      </w:r>
      <w:r>
        <w:t xml:space="preserve">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GHL was removed June 2026 — the locked architecture is</w:t>
      </w:r>
      <w:r>
        <w:t xml:space="preserve"> </w:t>
      </w:r>
      <w:r>
        <w:rPr>
          <w:b/>
          <w:bCs/>
        </w:rPr>
        <w:t xml:space="preserve">Twilio</w:t>
      </w:r>
      <w:r>
        <w:rPr>
          <w:b/>
          <w:bCs/>
        </w:rPr>
        <w:t xml:space="preserve"> </w:t>
      </w:r>
      <w:r>
        <w:rPr>
          <w:b/>
          <w:bCs/>
        </w:rPr>
        <w:t xml:space="preserve">Programmable Messaging, direct, with A2P 10DLC registered and owned by the brokerage</w:t>
      </w:r>
      <w:r>
        <w:t xml:space="preserve">.</w:t>
      </w:r>
      <w:r>
        <w:t xml:space="preserve"> </w:t>
      </w:r>
      <w:r>
        <w:t xml:space="preserve">Any new SOW draft should describe outbound this way, not GHL.</w:t>
      </w:r>
    </w:p>
    <w:p>
      <w:pPr>
        <w:pStyle w:val="BodyText"/>
      </w:pPr>
      <w:r>
        <w:rPr>
          <w:b/>
          <w:bCs/>
        </w:rPr>
        <w:t xml:space="preserve">Core platform (from original Phase 2):</w:t>
      </w:r>
      <w:r>
        <w:t xml:space="preserve"> </w:t>
      </w:r>
      <w:r>
        <w:t xml:space="preserve">- Microsoft 365 integration per opted-in agent (inbox, calendar, contacts)</w:t>
      </w:r>
      <w:r>
        <w:t xml:space="preserve"> </w:t>
      </w:r>
      <w:r>
        <w:t xml:space="preserve">- Per-agent training interface (preferences, tone, vendors)</w:t>
      </w:r>
      <w:r>
        <w:t xml:space="preserve"> </w:t>
      </w:r>
      <w:r>
        <w:t xml:space="preserve">- Per-agent memory across deals</w:t>
      </w:r>
      <w:r>
        <w:t xml:space="preserve"> </w:t>
      </w:r>
      <w:r>
        <w:t xml:space="preserve">- Three workflows live: marketing materials, photo coordination, document drafting</w:t>
      </w:r>
      <w:r>
        <w:t xml:space="preserve"> </w:t>
      </w:r>
      <w:r>
        <w:t xml:space="preserve">- Text and email outbound via Twilio direct, A2P 10DLC registration (brokerage-owned)</w:t>
      </w:r>
      <w:r>
        <w:t xml:space="preserve"> </w:t>
      </w:r>
      <w:r>
        <w:t xml:space="preserve">- Broker approval queue on every consumer-facing message</w:t>
      </w:r>
      <w:r>
        <w:t xml:space="preserve"> </w:t>
      </w:r>
      <w:r>
        <w:t xml:space="preserve">- Lightweight CRM for agents without one</w:t>
      </w:r>
      <w:r>
        <w:t xml:space="preserve"> </w:t>
      </w:r>
      <w:r>
        <w:t xml:space="preserve">- Alabama-specific form awareness, RECAD-compliant message templates</w:t>
      </w:r>
      <w:r>
        <w:t xml:space="preserve"> </w:t>
      </w:r>
      <w:r>
        <w:t xml:space="preserve">- Consent capture and full audit trail</w:t>
      </w:r>
      <w:r>
        <w:t xml:space="preserve"> </w:t>
      </w:r>
      <w:r>
        <w:t xml:space="preserve">- Admin dashboard for Wilson and Tanner</w:t>
      </w:r>
      <w:r>
        <w:t xml:space="preserve"> </w:t>
      </w:r>
      <w:r>
        <w:t xml:space="preserve">- Pilot cohort: 5 opted-in agents</w:t>
      </w:r>
    </w:p>
    <w:p>
      <w:pPr>
        <w:pStyle w:val="BodyText"/>
      </w:pPr>
      <w:r>
        <w:rPr>
          <w:b/>
          <w:bCs/>
        </w:rPr>
        <w:t xml:space="preserve">Scale-up build (from original Phase 3):</w:t>
      </w:r>
      <w:r>
        <w:t xml:space="preserve"> </w:t>
      </w:r>
      <w:r>
        <w:t xml:space="preserve">- Inbound voice: dedicated Harriett phone number, agents call to dictate deals or ask questions</w:t>
      </w:r>
      <w:r>
        <w:t xml:space="preserve"> </w:t>
      </w:r>
      <w:r>
        <w:t xml:space="preserve">- Outbound voice to vendors only (inspectors, photographers, title companies), AI disclosure</w:t>
      </w:r>
      <w:r>
        <w:t xml:space="preserve"> </w:t>
      </w:r>
      <w:r>
        <w:t xml:space="preserve">built in, no consumer outbound voice</w:t>
      </w:r>
      <w:r>
        <w:t xml:space="preserve"> </w:t>
      </w:r>
      <w:r>
        <w:t xml:space="preserve">- Full office rollout: onboarding for remaining agents beyond the pilot 5</w:t>
      </w:r>
      <w:r>
        <w:t xml:space="preserve"> </w:t>
      </w:r>
      <w:r>
        <w:t xml:space="preserve">- Dotloop integration: real-time automatic deal detection (delivered within the 4-month</w:t>
      </w:r>
      <w:r>
        <w:t xml:space="preserve"> </w:t>
      </w:r>
      <w:r>
        <w:t xml:space="preserve">build if migration lands in time; otherwise delivered whenever migration happens — see</w:t>
      </w:r>
      <w:r>
        <w:t xml:space="preserve"> </w:t>
      </w:r>
      <w:r>
        <w:t xml:space="preserve">Open Items #1)</w:t>
      </w:r>
      <w:r>
        <w:t xml:space="preserve"> </w:t>
      </w:r>
      <w:r>
        <w:t xml:space="preserve">- Inspection workflow: inspector, buyer’s agent, seller, access logistics</w:t>
      </w:r>
      <w:r>
        <w:t xml:space="preserve"> </w:t>
      </w:r>
      <w:r>
        <w:t xml:space="preserve">- Closing workflow: title company, closing attorney, lender, buyer</w:t>
      </w:r>
    </w:p>
    <w:bookmarkEnd w:id="12"/>
    <w:bookmarkStart w:id="13" w:name="combined-ai-enablement-bundle"/>
    <w:p>
      <w:pPr>
        <w:pStyle w:val="Heading2"/>
      </w:pPr>
      <w:r>
        <w:t xml:space="preserve">Combined AI Enablement bundle</w:t>
      </w:r>
    </w:p>
    <w:p>
      <w:pPr>
        <w:pStyle w:val="Compact"/>
        <w:numPr>
          <w:ilvl w:val="0"/>
          <w:numId w:val="1001"/>
        </w:numPr>
      </w:pPr>
      <w:r>
        <w:t xml:space="preserve">Custom Claude Projects for Wilson (brokerage data, brand voice, recruiting, financial</w:t>
      </w:r>
      <w:r>
        <w:t xml:space="preserve"> </w:t>
      </w:r>
      <w:r>
        <w:t xml:space="preserve">workflows; 1-hour personal session)</w:t>
      </w:r>
    </w:p>
    <w:p>
      <w:pPr>
        <w:pStyle w:val="Compact"/>
        <w:numPr>
          <w:ilvl w:val="0"/>
          <w:numId w:val="1001"/>
        </w:numPr>
      </w:pPr>
      <w:r>
        <w:t xml:space="preserve">Custom Claude Projects for Tanner (same approach, his role)</w:t>
      </w:r>
    </w:p>
    <w:p>
      <w:pPr>
        <w:pStyle w:val="Compact"/>
        <w:numPr>
          <w:ilvl w:val="0"/>
          <w:numId w:val="1001"/>
        </w:numPr>
      </w:pPr>
      <w:r>
        <w:t xml:space="preserve">Pilot agent AI training workshop (90 min, prompt fundamentals + daily use)</w:t>
      </w:r>
    </w:p>
    <w:p>
      <w:pPr>
        <w:pStyle w:val="Compact"/>
        <w:numPr>
          <w:ilvl w:val="0"/>
          <w:numId w:val="1001"/>
        </w:numPr>
      </w:pPr>
      <w:r>
        <w:t xml:space="preserve">Pilot agent starter prompt library (15 prompts)</w:t>
      </w:r>
    </w:p>
    <w:p>
      <w:pPr>
        <w:pStyle w:val="Compact"/>
        <w:numPr>
          <w:ilvl w:val="0"/>
          <w:numId w:val="1001"/>
        </w:numPr>
      </w:pPr>
      <w:r>
        <w:t xml:space="preserve">AI Usage Policy and Compliance Framework (responsible use, data privacy, escalation —</w:t>
      </w:r>
      <w:r>
        <w:t xml:space="preserve"> </w:t>
      </w:r>
      <w:r>
        <w:t xml:space="preserve">every brokerage needs this within 12 months for ARC compliance)</w:t>
      </w:r>
    </w:p>
    <w:p>
      <w:pPr>
        <w:pStyle w:val="Compact"/>
        <w:numPr>
          <w:ilvl w:val="0"/>
          <w:numId w:val="1001"/>
        </w:numPr>
      </w:pPr>
      <w:r>
        <w:t xml:space="preserve">Prompt library expanded office-wide (30+ prompts)</w:t>
      </w:r>
    </w:p>
    <w:p>
      <w:pPr>
        <w:pStyle w:val="Compact"/>
        <w:numPr>
          <w:ilvl w:val="0"/>
          <w:numId w:val="1001"/>
        </w:numPr>
      </w:pPr>
      <w:r>
        <w:t xml:space="preserve">Year 1 Quarterly Business Reviews (4 sessions, metrics + opportunities to leadership)</w:t>
      </w:r>
    </w:p>
    <w:p>
      <w:pPr>
        <w:pStyle w:val="Compact"/>
        <w:numPr>
          <w:ilvl w:val="0"/>
          <w:numId w:val="1001"/>
        </w:numPr>
      </w:pPr>
      <w:r>
        <w:t xml:space="preserve">Agent AI Training Workshop Series (4 sessions, ~60 min each, open to all opted-in agents)</w:t>
      </w:r>
    </w:p>
    <w:bookmarkEnd w:id="13"/>
    <w:bookmarkStart w:id="14" w:name="in-person-time"/>
    <w:p>
      <w:pPr>
        <w:pStyle w:val="Heading2"/>
      </w:pPr>
      <w:r>
        <w:t xml:space="preserve">In-person time</w:t>
      </w:r>
    </w:p>
    <w:p>
      <w:pPr>
        <w:pStyle w:val="FirstParagraph"/>
      </w:pPr>
      <w:r>
        <w:t xml:space="preserve">Original proposal had two separate Huntsville trips (kickoff at Phase 2 start, launch at</w:t>
      </w:r>
      <w:r>
        <w:t xml:space="preserve"> </w:t>
      </w:r>
      <w:r>
        <w:t xml:space="preserve">Phase 3 start), both absorbed into their respective phase fees. Combining the phases</w:t>
      </w:r>
      <w:r>
        <w:t xml:space="preserve"> </w:t>
      </w:r>
      <w:r>
        <w:t xml:space="preserve">doesn’t have to combine the trips — the kickoff trip still makes sense early (discovery,</w:t>
      </w:r>
      <w:r>
        <w:t xml:space="preserve"> </w:t>
      </w:r>
      <w:r>
        <w:t xml:space="preserve">Claude Project setup, meet the pilot agents) and the launch trip still makes sense at</w:t>
      </w:r>
      <w:r>
        <w:t xml:space="preserve"> </w:t>
      </w:r>
      <w:r>
        <w:t xml:space="preserve">office-wide rollout. Keep both trips, both still absorbed into the $52,100, since the</w:t>
      </w:r>
      <w:r>
        <w:t xml:space="preserve"> </w:t>
      </w:r>
      <w:r>
        <w:t xml:space="preserve">underlying work (two distinct moments in the engagement) hasn’t gone away.</w:t>
      </w:r>
    </w:p>
    <w:p>
      <w:r>
        <w:pict>
          <v:rect style="width:0;height:1.5pt" o:hralign="center" o:hrstd="t" o:hr="t"/>
        </w:pict>
      </w:r>
    </w:p>
    <w:bookmarkEnd w:id="14"/>
    <w:bookmarkStart w:id="15" w:name="X7f5cefb222a4fb7b1dd157e62e3d6a3fe38f8e1"/>
    <w:p>
      <w:pPr>
        <w:pStyle w:val="Heading2"/>
      </w:pPr>
      <w:r>
        <w:t xml:space="preserve">Open items to resolve before this becomes a real SOW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Dotloop timing is still unconfirmed</w:t>
      </w:r>
      <w:r>
        <w:t xml:space="preserve"> </w:t>
      </w:r>
      <w:r>
        <w:rPr>
          <w:b/>
          <w:bCs/>
        </w:rPr>
        <w:t xml:space="preserve">Resolved 2026-07-02: build extended to 4</w:t>
      </w:r>
      <w:r>
        <w:rPr>
          <w:b/>
          <w:bCs/>
        </w:rPr>
        <w:t xml:space="preserve"> </w:t>
      </w:r>
      <w:r>
        <w:rPr>
          <w:b/>
          <w:bCs/>
        </w:rPr>
        <w:t xml:space="preserve">months to absorb it, plus a standing commitment regardless of timing.</w:t>
      </w:r>
      <w:r>
        <w:t xml:space="preserve"> </w:t>
      </w:r>
      <w:r>
        <w:t xml:space="preserve">Per the</w:t>
      </w:r>
      <w:r>
        <w:t xml:space="preserve"> </w:t>
      </w:r>
      <w:r>
        <w:t xml:space="preserve">2026-06-30 discovery call, both InstaNet and Dotloop have API access, and the</w:t>
      </w:r>
      <w:r>
        <w:t xml:space="preserve"> </w:t>
      </w:r>
      <w:r>
        <w:t xml:space="preserve">migration date is still unknown. Rather than gate the SOW on the client’s migration</w:t>
      </w:r>
      <w:r>
        <w:t xml:space="preserve"> </w:t>
      </w:r>
      <w:r>
        <w:t xml:space="preserve">date, the build window grew from 3 to 4 months to make room for it, and Matt commits</w:t>
      </w:r>
      <w:r>
        <w:t xml:space="preserve"> </w:t>
      </w:r>
      <w:r>
        <w:t xml:space="preserve">to delivering the dotloop integration whenever migration actually happens, even if</w:t>
      </w:r>
      <w:r>
        <w:t xml:space="preserve"> </w:t>
      </w:r>
      <w:r>
        <w:t xml:space="preserve">that’s after month 4 — it’s not scoped strictly to the build window. Note for the SOW:</w:t>
      </w:r>
      <w:r>
        <w:t xml:space="preserve"> </w:t>
      </w:r>
      <w:r>
        <w:rPr>
          <w:i/>
          <w:iCs/>
        </w:rPr>
        <w:t xml:space="preserve">“If dotloop migration has not occurred by the end of the build, dotloop integration</w:t>
      </w:r>
      <w:r>
        <w:rPr>
          <w:i/>
          <w:iCs/>
        </w:rPr>
        <w:t xml:space="preserve"> </w:t>
      </w:r>
      <w:r>
        <w:rPr>
          <w:i/>
          <w:iCs/>
        </w:rPr>
        <w:t xml:space="preserve">will still be provided once migration happens, at no additional cost.”</w:t>
      </w:r>
    </w:p>
    <w:p>
      <w:pPr>
        <w:pStyle w:val="Compact"/>
        <w:numPr>
          <w:ilvl w:val="0"/>
          <w:numId w:val="1002"/>
        </w:numPr>
      </w:pPr>
      <w:r>
        <w:rPr>
          <w:strike/>
        </w:rPr>
        <w:t xml:space="preserve">30-day pilot proof window</w:t>
      </w:r>
      <w:r>
        <w:t xml:space="preserve"> </w:t>
      </w:r>
      <w:r>
        <w:rPr>
          <w:b/>
          <w:bCs/>
        </w:rPr>
        <w:t xml:space="preserve">Resolved 2026-07-02: completed, not dropped.</w:t>
      </w:r>
      <w:r>
        <w:t xml:space="preserve"> </w:t>
      </w:r>
      <w:r>
        <w:t xml:space="preserve">Correction</w:t>
      </w:r>
      <w:r>
        <w:t xml:space="preserve"> </w:t>
      </w:r>
      <w:r>
        <w:t xml:space="preserve">to the 2026-06-30 resolution below (which read this as the gate being cut) — Matt</w:t>
      </w:r>
      <w:r>
        <w:t xml:space="preserve"> </w:t>
      </w:r>
      <w:r>
        <w:t xml:space="preserve">clarified the pilot validation step is</w:t>
      </w:r>
      <w:r>
        <w:t xml:space="preserve"> </w:t>
      </w:r>
      <w:r>
        <w:rPr>
          <w:b/>
          <w:bCs/>
        </w:rPr>
        <w:t xml:space="preserve">completed</w:t>
      </w:r>
      <w:r>
        <w:t xml:space="preserve">, and the Phase 1 credit is applied</w:t>
      </w:r>
      <w:r>
        <w:t xml:space="preserve"> </w:t>
      </w:r>
      <w:r>
        <w:t xml:space="preserve">on that basis. The 5-agent pilot has already satisfied its validation requirement, so</w:t>
      </w:r>
      <w:r>
        <w:t xml:space="preserve"> </w:t>
      </w:r>
      <w:r>
        <w:t xml:space="preserve">full office rollout, voice, and the AI Enablement bundle proceed without restriction —</w:t>
      </w:r>
      <w:r>
        <w:t xml:space="preserve"> </w:t>
      </w:r>
      <w:r>
        <w:t xml:space="preserve">not because the gate was waived, but because it was already met. The $7,200 Phase 1</w:t>
      </w:r>
      <w:r>
        <w:t xml:space="preserve"> </w:t>
      </w:r>
      <w:r>
        <w:t xml:space="preserve">credit against Phase 2+3 (see Investment table above) stands as confirmed, not</w:t>
      </w:r>
      <w:r>
        <w:t xml:space="preserve"> </w:t>
      </w:r>
      <w:r>
        <w:t xml:space="preserve">contingent on any further pilot proof.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Retainer start date.</w:t>
      </w:r>
      <w:r>
        <w:t xml:space="preserve"> </w:t>
      </w:r>
      <w:r>
        <w:t xml:space="preserve">Original pricing has the $750/mo + optional $1,500/mo retainer</w:t>
      </w:r>
      <w:r>
        <w:t xml:space="preserve"> </w:t>
      </w:r>
      <w:r>
        <w:t xml:space="preserve">starting</w:t>
      </w:r>
      <w:r>
        <w:t xml:space="preserve"> </w:t>
      </w:r>
      <w:r>
        <w:t xml:space="preserve">“post Phase 2.”</w:t>
      </w:r>
      <w:r>
        <w:t xml:space="preserve"> </w:t>
      </w:r>
      <w:r>
        <w:t xml:space="preserve">With Phase 2 and 3 merged into a 4-month build, clarify whether</w:t>
      </w:r>
      <w:r>
        <w:t xml:space="preserve"> </w:t>
      </w:r>
      <w:r>
        <w:t xml:space="preserve">that means after the pilot goes live (early in the build) or after the whole combined</w:t>
      </w:r>
      <w:r>
        <w:t xml:space="preserve"> </w:t>
      </w:r>
      <w:r>
        <w:t xml:space="preserve">scope ships (end of month 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GHL reference needs scrubbing.</w:t>
      </w:r>
      <w:r>
        <w:t xml:space="preserve"> </w:t>
      </w:r>
      <w:r>
        <w:t xml:space="preserve">Confirmed above — replace in any new proposal draft,</w:t>
      </w:r>
      <w:r>
        <w:t xml:space="preserve"> </w:t>
      </w:r>
      <w:r>
        <w:t xml:space="preserve">the demo deck, and</w:t>
      </w:r>
      <w:r>
        <w:t xml:space="preserve"> </w:t>
      </w:r>
      <w:r>
        <w:rPr>
          <w:rStyle w:val="VerbatimChar"/>
        </w:rPr>
        <w:t xml:space="preserve">docs/scope.md</w:t>
      </w:r>
      <w:r>
        <w:t xml:space="preserve">’s Phase 2 description, which still says GHL.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2026-07-02T13:57:36Z</dcterms:created>
  <dcterms:modified xsi:type="dcterms:W3CDTF">2026-07-02T13:57:36Z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