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23603</w:t>
      </w:r>
      <w:r w:rsidDel="00000000" w:rsidR="00000000" w:rsidRPr="00000000">
        <w:rPr>
          <w:rtl w:val="0"/>
        </w:rPr>
        <w:t xml:space="preserve">-lab-2.R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2023-03-05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rnorm(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hist(x,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prob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breaks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'#F35423'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'Observed X 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'X 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'Density of Distribution'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curve(dnorm(x,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add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4267200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y1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rnorm(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y2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rnorm(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y2-y1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hist(d,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breaks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'Values of Y1-Y2'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'Frequency'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4267200"/>
            <wp:effectExtent b="0" l="0" r="0" t="0"/>
            <wp:docPr id="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#Histogram from part b is centered around 0, with a symmetric shape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#As such, I would predict that d is also a normal distribution,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#with mean 0, and standard deviation 10 as most of the distribution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#seems to be within the range (-20,20), i.e. two standard deviations from the mean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hist(d,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breaks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prob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'pink'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'Values of Y1-Y2'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'Density of Distribution'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xlim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range(-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curve(dnorm(x,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add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4267200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hist(d,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breaks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prob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'pink'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'Values of Y1-Y2'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'Density of Distribution'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xlim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range(-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#The curve of the PDF is too narrow, so try standard deviation of 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curve(dnorm(x,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add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#The curve is closer, but may not be tall enough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#so try standard deviation 13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curve(dnorm(x,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add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'#00BF0F'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4267200"/>
            <wp:effectExtent b="0" l="0" r="0" t="0"/>
            <wp:docPr id="5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#This curve seems to follow our simulation closely,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#so predict that d follows a normal distribution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#with mean 0 and S.D 13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Xsamples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Ysamples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Rsamples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Xsamples[i]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rexp(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rate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Ysamples[i]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rexp(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rate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(Ysamples[i]==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Rsamples[i]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Rsamples[i]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Xsamples[i]/Ysamples[i]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hist(Xsamples,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prob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breaks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xlim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'Observed X 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'X 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'Density of Distribution'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4267200"/>
            <wp:effectExtent b="0" l="0" r="0" t="0"/>
            <wp:docPr id="5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hist(Ysamples,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prob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breaks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xlim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'Observed Y 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'Y 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'Density of Distribution'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4267200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hist(Rsamples,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prob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breaks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'Observed Values of X/Y'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'X/Y 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'Density of Distribution'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4267200"/>
            <wp:effectExtent b="0" l="0" r="0" t="0"/>
            <wp:docPr id="4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hist(Rsamples[Rsamples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prob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breaks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'Observed Values of X/Y'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'X/Y Values &lt; 10'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'Density of Distribution'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curve(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/((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+x)^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add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TRUE,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col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4267200"/>
            <wp:effectExtent b="0" l="0" r="0" t="0"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#My plot does support the professor's claim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#The plot of the proposed PDF would correspond to high densities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#For small values of r, and low densities as r becomes larger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#This can be seen on the plot, as the curve of the PDF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#follows the height of the bars closely, with high density at low r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#And low density at high r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#CDF F(r) is the integral of the pdf from the lower bound of 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#possible values up to 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#So F(r) = integral from 0 to r (1/(1+r)^2 dr)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#Giving F(r) = 1-1/(1+r) for r&gt;=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c(.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Fr[i]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/(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+r[i])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[1] 0.09090909 0.16666667 0.23076923 0.33333333 0.50000000 0.66666667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[7] 0.80000000 0.83333333 0.88888889 0.90909091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#From above, we have F(0.1) = 0.0909, F(0.2) = 0.167,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#F(0.3) = 0.231, F(0.5) = 0.333, F(1) = 0.5, F(2) = 0.667m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#F(4) = 0.8, F(5) = 0.833, F(8) = 0.889, F(10) = 0.909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proportions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proportions[i]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length(Rsamples[Rsamples &lt; r[i]]) 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plot(proportions, Fr,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'Proportion of R 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'CDF'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'Proportions of R Values vs CDF 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4267200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#The plot shows a linear correlation between the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#of F(r) and the proportion of values in Rsamples less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#The corresponding values of r used in calculations of F(r)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#The plot also shows that the values of the two variables are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#Relatively close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Xsamples2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Ysamples2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Rsamples2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proportions2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Xsamples2[i]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rexp(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rate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Ysamples2[i]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rexp(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rate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(Ysamples2[i]==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Rsamples2[i]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Rsamples2[i]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Xsamples2[i]/Ysamples2[i]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proportions2[i]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length(Rsamples2[Rsamples2 &lt; r[i]]) / 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plot(proportions2, Fr,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xlab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'Proportion of R values'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ylab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'CDF'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main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'Proportions of R Values vs CDF Values for larger sample'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334000" cy="4267200"/>
            <wp:effectExtent b="0" l="0" r="0" t="0"/>
            <wp:docPr id="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#Based off the larger sample, the values for F(r) and the proportions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#are extremely close, leading me to believe that the professor's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highlight w:val="yellow"/>
          <w:u w:val="none"/>
          <w:vertAlign w:val="baseline"/>
          <w:rtl w:val="0"/>
        </w:rPr>
        <w:t xml:space="preserve">#claim is correct, as a larger sample led to closer values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BRlqMlIiKLVk8sH42NIyguycCw==">AMUW2mWwRMwS157jsZOoEicC0Oy2RgJCJZlPlkcLVBSIXTmncruszsBVBFSKFi/6phsIYcXEUaLaz5jXCn9cCrervP9S8+9fEUsLrB8K2pKsVGKq34vyCnU=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2023-03-05T22:52:11Z</dcterms:created>
  <dc:creator>mattcarr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2023-03-05</vt:lpwstr>
  </property>
</Properties>
</file>