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Discovery Questionnaire</w:t>
      </w:r>
    </w:p>
    <w:p>
      <w:r>
        <w:t>Business &amp; technical Q&amp;A for Zephyr wave-1 candidates.</w:t>
      </w:r>
    </w:p>
    <w:p>
      <w:r>
        <w:t>Q1: Which applications are business critical?</w:t>
      </w:r>
    </w:p>
    <w:p>
      <w:r>
        <w:t>The Order API and Payments Service are business critical; Fleet Tracker is medium.</w:t>
      </w:r>
    </w:p>
    <w:p>
      <w:r>
        <w:t>Q2: Are there compliance constraints?</w:t>
      </w:r>
    </w:p>
    <w:p>
      <w:r>
        <w:t>Payments data is PCI-relevant and EU order data must remain in West Europe.</w:t>
      </w:r>
    </w:p>
    <w:p>
      <w:r>
        <w:t>Q3: What are the known dependencies?</w:t>
      </w:r>
    </w:p>
    <w:p>
      <w:r>
        <w:t>The Order API depends on Payments and the Identity Provider; Fleet Tracker reads Kafka.</w:t>
      </w:r>
    </w:p>
    <w:p>
      <w:r>
        <w:t>Q4: What is not documented?</w:t>
      </w:r>
    </w:p>
    <w:p>
      <w:r>
        <w:t>Firewall rules between DC-North and DC-South are not captured in this pack.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