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Zephyr Wave-1 Requirements &amp; NFR Pack</w:t>
      </w:r>
    </w:p>
    <w:p>
      <w:r>
        <w:t>Business requirements document (BRD) for cloud migration readiness. Version 1.0, 2026-05.</w:t>
      </w:r>
    </w:p>
    <w:p>
      <w:pPr>
        <w:pStyle w:val="Heading1"/>
      </w:pPr>
      <w:r>
        <w:t>Non-functional requirements</w:t>
      </w:r>
    </w:p>
    <w:p>
      <w:r>
        <w:t>SLA: 99.95% monthly availability for the Order API.</w:t>
      </w:r>
    </w:p>
    <w:p>
      <w:r>
        <w:t>RTO: 2 hours for the Order API; RPO: 5 minutes for the Payments datastore.</w:t>
      </w:r>
    </w:p>
    <w:p>
      <w:r>
        <w:t>Latency p95 must stay under 200 ms for order submission.</w:t>
      </w:r>
    </w:p>
    <w:p>
      <w:r>
        <w:t>Must sustain 5,000 concurrent users at month-end peak.</w:t>
      </w:r>
    </w:p>
    <w:p>
      <w:r>
        <w:t>Data residency: EU order data must remain in West Europe.</w:t>
      </w:r>
    </w:p>
    <w:p>
      <w:pPr>
        <w:pStyle w:val="Heading1"/>
      </w:pPr>
      <w:r>
        <w:t>Compliance</w:t>
      </w:r>
    </w:p>
    <w:p>
      <w:r>
        <w:t>PCI-DSS controls apply to the Payments Service and its datastore.</w:t>
      </w:r>
    </w:p>
    <w:p>
      <w:r>
        <w:t>Encryption: TLS 1.2+ in transit, AES-256 at rest.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