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Migration Assessment Questionnaire</w:t>
      </w:r>
    </w:p>
    <w:p>
      <w:r>
        <w:t>Business &amp; technical Q&amp;A for Contoso wave-1 candidates.</w:t>
      </w:r>
    </w:p>
    <w:p>
      <w:r>
        <w:t>Q: Which applications are business critical?</w:t>
      </w:r>
    </w:p>
    <w:p>
      <w:r>
        <w:t>A: Billing Service and Identity Gateway are business critical. Customer Portal is medium criticality.</w:t>
      </w:r>
    </w:p>
    <w:p>
      <w:r>
        <w:t>Q: Are there known compliance constraints?</w:t>
      </w:r>
    </w:p>
    <w:p>
      <w:r>
        <w:t>A: FinanceDB contains PCI-relevant payment metadata and must remain in-region.</w:t>
      </w:r>
    </w:p>
    <w:p>
      <w:r>
        <w:t>Q: Dependency assumptions</w:t>
      </w:r>
    </w:p>
    <w:p>
      <w:r>
        <w:t>A: Reporting Hub depends on Billing Service batch extracts overnight.</w:t>
      </w:r>
    </w:p>
    <w:p>
      <w:r>
        <w:t>Q: Known gaps</w:t>
      </w:r>
    </w:p>
    <w:p>
      <w:r>
        <w:t>A: Network topology and firewall rules are not documented in this pack.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