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Discovery Questionnaire</w:t>
      </w:r>
    </w:p>
    <w:p>
      <w:r>
        <w:t>Q1: Which applications are business critical?</w:t>
      </w:r>
    </w:p>
    <w:p>
      <w:r>
        <w:t>Cart Service is business critical during peak sales events.</w:t>
      </w:r>
    </w:p>
    <w:p>
      <w:r>
        <w:t>Q2: Are there compliance constraints?</w:t>
      </w:r>
    </w:p>
    <w:p>
      <w:r>
        <w:t>PCI-DSS applies to Cart Service payment data.</w:t>
      </w:r>
    </w:p>
    <w:p>
      <w:r>
        <w:t>Q3: What is not documented?</w:t>
      </w:r>
    </w:p>
    <w:p>
      <w:r>
        <w:t>Firewall rules between regions are not documented in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