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Orion Financial — Platform Architecture</w:t>
      </w:r>
    </w:p>
    <w:p>
      <w:r>
        <w:t>Application: Trading Gateway — order routing service. Trading Gateway depends on Risk Engine.</w:t>
      </w:r>
    </w:p>
    <w:p>
      <w:r>
        <w:t>Application: Risk Engine — real-time risk scoring. Risk Engine is hosted on server orion-app-01 and uses database RiskDB.</w:t>
      </w:r>
    </w:p>
    <w:p>
      <w:r>
        <w:t>Application: Settlement Service — trade settlement. Settlement Service uses database TradesDB.</w:t>
      </w:r>
    </w:p>
    <w:p>
      <w:r>
        <w:t>Server: orion-app-01 runs Windows Server 2019.</w:t>
      </w:r>
    </w:p>
    <w:p>
      <w:r>
        <w:t>Database: RiskDB (PostgreSQL) stores risk scores.</w:t>
      </w:r>
    </w:p>
    <w:p>
      <w:r>
        <w:t>Database: TradesDB (Oracle) stores settlement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