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Orion Wave-1 Requirements &amp; NFR Pack</w:t>
      </w:r>
    </w:p>
    <w:p>
      <w:pPr>
        <w:pStyle w:val="Heading1"/>
      </w:pPr>
      <w:r>
        <w:t>Compliance</w:t>
      </w:r>
    </w:p>
    <w:p>
      <w:r>
        <w:t>PCI-DSS and SOX controls apply to settlement data in TradesDB.</w:t>
      </w:r>
    </w:p>
    <w:p>
      <w:r>
        <w:t>Encryption: TLS 1.3 in transit and AES-256 at rest.</w:t>
      </w:r>
    </w:p>
    <w:p>
      <w:pPr>
        <w:pStyle w:val="Heading1"/>
      </w:pPr>
      <w:r>
        <w:t>Non-functional requirements</w:t>
      </w:r>
    </w:p>
    <w:p>
      <w:r>
        <w:t>RTO: 30 minutes for Trading Gateway.</w:t>
      </w:r>
    </w:p>
    <w:p>
      <w:r>
        <w:t>RPO: 5 minutes for TradesDB.</w:t>
      </w:r>
    </w:p>
    <w:p>
      <w:r>
        <w:t>Availability target is 99.99% for production workloads.</w:t>
      </w:r>
    </w:p>
    <w:p>
      <w:r>
        <w:t>Latency p95 must stay under 150 ms for order routing.</w:t>
      </w:r>
    </w:p>
    <w:p>
      <w:r>
        <w:t>Data residency: EU only for settlement data.</w:t>
      </w:r>
    </w:p>
    <w:p>
      <w:r>
        <w:t>Must support 20,000 concurrent users at peak 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