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6030" w:rsidRDefault="00F36030" w:rsidP="00F36030">
      <w:pPr>
        <w:spacing w:line="240" w:lineRule="auto"/>
        <w:rPr>
          <w:rFonts w:asciiTheme="majorBidi" w:hAnsiTheme="majorBidi" w:cstheme="majorBidi"/>
          <w:sz w:val="72"/>
          <w:szCs w:val="72"/>
          <w:rtl/>
        </w:rPr>
      </w:pPr>
      <w:r w:rsidRPr="00F36030">
        <w:rPr>
          <w:rFonts w:eastAsiaTheme="minorEastAsia"/>
          <w:sz w:val="52"/>
          <w:szCs w:val="52"/>
          <w:rtl/>
        </w:rPr>
        <w:t xml:space="preserve">معادله حرکت سامانه تحت ارتعاش </w:t>
      </w:r>
      <w:r w:rsidRPr="00F36030">
        <w:rPr>
          <w:rFonts w:eastAsiaTheme="minorEastAsia" w:hint="cs"/>
          <w:sz w:val="52"/>
          <w:szCs w:val="52"/>
          <w:rtl/>
        </w:rPr>
        <w:t>هارمونیک</w:t>
      </w:r>
      <w:r w:rsidRPr="00F36030">
        <w:rPr>
          <w:rFonts w:eastAsiaTheme="minorEastAsia"/>
          <w:sz w:val="52"/>
          <w:szCs w:val="52"/>
          <w:rtl/>
        </w:rPr>
        <w:t xml:space="preserve"> نامیرا:</w:t>
      </w:r>
    </w:p>
    <w:p w:rsidR="00F36030" w:rsidRPr="00F36030" w:rsidRDefault="00F36030" w:rsidP="00B22C2E">
      <w:pPr>
        <w:spacing w:line="240" w:lineRule="auto"/>
        <w:ind w:left="-449" w:right="-709" w:firstLine="449"/>
        <w:rPr>
          <w:rFonts w:asciiTheme="majorBidi" w:hAnsiTheme="majorBidi" w:cstheme="majorBidi"/>
          <w:sz w:val="72"/>
          <w:szCs w:val="72"/>
        </w:rPr>
      </w:pPr>
    </w:p>
    <w:p w:rsidR="00144CC2" w:rsidRDefault="00144CC2" w:rsidP="00144CC2">
      <w:pPr>
        <w:spacing w:line="240" w:lineRule="auto"/>
        <w:jc w:val="center"/>
        <w:rPr>
          <w:rFonts w:asciiTheme="majorBidi" w:hAnsiTheme="majorBidi" w:cstheme="majorBidi"/>
          <w:sz w:val="96"/>
          <w:szCs w:val="96"/>
        </w:rPr>
      </w:pPr>
      <w:proofErr w:type="gramStart"/>
      <w:r w:rsidRPr="00144CC2">
        <w:rPr>
          <w:rFonts w:asciiTheme="majorBidi" w:hAnsiTheme="majorBidi" w:cstheme="majorBidi"/>
          <w:sz w:val="96"/>
          <w:szCs w:val="96"/>
        </w:rPr>
        <w:t>m</w:t>
      </w:r>
      <m:oMath>
        <m:acc>
          <m:accPr>
            <m:chr m:val="̈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>u</m:t>
            </m:r>
          </m:e>
        </m:acc>
        <m:r>
          <w:rPr>
            <w:rFonts w:ascii="Cambria Math" w:hAnsi="Cambria Math" w:cstheme="majorBidi"/>
            <w:sz w:val="96"/>
            <w:szCs w:val="96"/>
          </w:rPr>
          <m:t xml:space="preserve"> </m:t>
        </m:r>
      </m:oMath>
      <w:proofErr w:type="gramEnd"/>
      <w:r w:rsidRPr="00144CC2">
        <w:rPr>
          <w:rFonts w:asciiTheme="majorBidi" w:hAnsiTheme="majorBidi" w:cstheme="majorBidi"/>
          <w:sz w:val="96"/>
          <w:szCs w:val="96"/>
        </w:rPr>
        <w:t>+ ku = p</w:t>
      </w:r>
      <w:r w:rsidRPr="00144CC2">
        <w:rPr>
          <w:rFonts w:asciiTheme="majorBidi" w:hAnsiTheme="majorBidi" w:cstheme="majorBidi"/>
          <w:sz w:val="72"/>
          <w:szCs w:val="72"/>
          <w:vertAlign w:val="subscript"/>
        </w:rPr>
        <w:t>0</w:t>
      </w:r>
      <w:r w:rsidRPr="00144CC2">
        <w:rPr>
          <w:rFonts w:asciiTheme="majorBidi" w:hAnsiTheme="majorBidi" w:cstheme="majorBidi"/>
          <w:sz w:val="96"/>
          <w:szCs w:val="96"/>
        </w:rPr>
        <w:t xml:space="preserve"> sin(</w:t>
      </w:r>
      <m:oMath>
        <m:acc>
          <m:accPr>
            <m:chr m:val="̅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>ω</m:t>
            </m:r>
          </m:e>
        </m:acc>
      </m:oMath>
      <w:r w:rsidRPr="00144CC2">
        <w:rPr>
          <w:rFonts w:asciiTheme="majorBidi" w:hAnsiTheme="majorBidi" w:cstheme="majorBidi"/>
          <w:sz w:val="96"/>
          <w:szCs w:val="96"/>
        </w:rPr>
        <w:t>t)</w:t>
      </w:r>
    </w:p>
    <w:p w:rsidR="00144CC2" w:rsidRDefault="00144CC2" w:rsidP="00144CC2">
      <w:pPr>
        <w:spacing w:line="240" w:lineRule="auto"/>
        <w:jc w:val="center"/>
        <w:rPr>
          <w:rFonts w:asciiTheme="majorBidi" w:hAnsiTheme="majorBidi" w:cstheme="majorBidi"/>
          <w:sz w:val="96"/>
          <w:szCs w:val="96"/>
        </w:rPr>
      </w:pPr>
    </w:p>
    <w:p w:rsidR="00144CC2" w:rsidRPr="00B22C2E" w:rsidRDefault="00144CC2" w:rsidP="00144CC2">
      <w:pPr>
        <w:spacing w:line="240" w:lineRule="auto"/>
        <w:jc w:val="center"/>
        <w:rPr>
          <w:rFonts w:asciiTheme="majorBidi" w:hAnsiTheme="majorBidi" w:cstheme="majorBidi"/>
          <w:sz w:val="96"/>
          <w:szCs w:val="96"/>
        </w:rPr>
      </w:pPr>
      <w:r w:rsidRPr="00B22C2E">
        <w:rPr>
          <w:rFonts w:asciiTheme="majorBidi" w:hAnsiTheme="majorBidi" w:cstheme="majorBidi"/>
          <w:sz w:val="96"/>
          <w:szCs w:val="96"/>
        </w:rPr>
        <w:t>m</w:t>
      </w:r>
      <m:oMath>
        <m:acc>
          <m:accPr>
            <m:chr m:val="̈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 xml:space="preserve">u </m:t>
            </m:r>
          </m:e>
        </m:acc>
      </m:oMath>
      <w:r w:rsidRPr="00B22C2E">
        <w:rPr>
          <w:rFonts w:asciiTheme="majorBidi" w:hAnsiTheme="majorBidi" w:cstheme="majorBidi"/>
          <w:sz w:val="96"/>
          <w:szCs w:val="96"/>
        </w:rPr>
        <w:t>= p</w:t>
      </w:r>
      <w:r w:rsidRPr="00B22C2E">
        <w:rPr>
          <w:rFonts w:asciiTheme="majorBidi" w:hAnsiTheme="majorBidi" w:cstheme="majorBidi"/>
          <w:sz w:val="72"/>
          <w:szCs w:val="72"/>
          <w:vertAlign w:val="subscript"/>
        </w:rPr>
        <w:t>0</w:t>
      </w:r>
      <w:r w:rsidRPr="00B22C2E">
        <w:rPr>
          <w:rFonts w:asciiTheme="majorBidi" w:hAnsiTheme="majorBidi" w:cstheme="majorBidi"/>
          <w:sz w:val="96"/>
          <w:szCs w:val="96"/>
        </w:rPr>
        <w:t xml:space="preserve"> </w:t>
      </w:r>
      <w:proofErr w:type="gramStart"/>
      <w:r w:rsidRPr="00B22C2E">
        <w:rPr>
          <w:rFonts w:asciiTheme="majorBidi" w:hAnsiTheme="majorBidi" w:cstheme="majorBidi"/>
          <w:sz w:val="96"/>
          <w:szCs w:val="96"/>
        </w:rPr>
        <w:t>sin(</w:t>
      </w:r>
      <w:proofErr w:type="gramEnd"/>
      <m:oMath>
        <m:acc>
          <m:accPr>
            <m:chr m:val="̅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>ω</m:t>
            </m:r>
          </m:e>
        </m:acc>
      </m:oMath>
      <w:r w:rsidRPr="00B22C2E">
        <w:rPr>
          <w:rFonts w:asciiTheme="majorBidi" w:hAnsiTheme="majorBidi" w:cstheme="majorBidi"/>
          <w:sz w:val="96"/>
          <w:szCs w:val="96"/>
        </w:rPr>
        <w:t xml:space="preserve">t) - </w:t>
      </w:r>
      <m:oMath>
        <m:r>
          <m:rPr>
            <m:sty m:val="p"/>
          </m:rPr>
          <w:rPr>
            <w:rFonts w:ascii="Cambria Math" w:hAnsi="Cambria Math" w:cstheme="majorBidi"/>
            <w:sz w:val="96"/>
            <w:szCs w:val="96"/>
          </w:rPr>
          <m:t>m</m:t>
        </m:r>
        <m:sSubSup>
          <m:sSubSupPr>
            <m:ctrlPr>
              <w:rPr>
                <w:rFonts w:ascii="Cambria Math" w:hAnsi="Cambria Math" w:cstheme="majorBidi"/>
                <w:sz w:val="96"/>
                <w:szCs w:val="9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2</m:t>
            </m:r>
          </m:sup>
        </m:sSubSup>
      </m:oMath>
      <w:r w:rsidRPr="00B22C2E">
        <w:rPr>
          <w:rFonts w:asciiTheme="majorBidi" w:hAnsiTheme="majorBidi" w:cstheme="majorBidi"/>
          <w:sz w:val="96"/>
          <w:szCs w:val="96"/>
        </w:rPr>
        <w:t>u</w:t>
      </w:r>
    </w:p>
    <w:p w:rsidR="00144CC2" w:rsidRDefault="00144CC2" w:rsidP="00144CC2">
      <w:pPr>
        <w:spacing w:line="240" w:lineRule="auto"/>
        <w:jc w:val="center"/>
        <w:rPr>
          <w:rFonts w:asciiTheme="majorBidi" w:hAnsiTheme="majorBidi" w:cstheme="majorBidi"/>
          <w:sz w:val="96"/>
          <w:szCs w:val="96"/>
          <w:rtl/>
        </w:rPr>
      </w:pPr>
    </w:p>
    <w:p w:rsidR="00144CC2" w:rsidRDefault="00297618" w:rsidP="00297618">
      <w:pPr>
        <w:bidi w:val="0"/>
        <w:spacing w:line="240" w:lineRule="auto"/>
        <w:jc w:val="center"/>
        <w:rPr>
          <w:rFonts w:asciiTheme="majorBidi" w:hAnsiTheme="majorBidi" w:cstheme="majorBidi"/>
          <w:sz w:val="96"/>
          <w:szCs w:val="96"/>
          <w:rtl/>
        </w:rPr>
      </w:pPr>
      <m:oMath>
        <m:acc>
          <m:accPr>
            <m:chr m:val="̈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 xml:space="preserve">u </m:t>
            </m:r>
          </m:e>
        </m:acc>
      </m:oMath>
      <w:r w:rsidR="00144CC2" w:rsidRPr="00144CC2">
        <w:rPr>
          <w:rFonts w:asciiTheme="majorBidi" w:hAnsiTheme="majorBidi" w:cstheme="majorBidi"/>
          <w:sz w:val="96"/>
          <w:szCs w:val="96"/>
        </w:rPr>
        <w:t xml:space="preserve">= </w:t>
      </w:r>
      <w:r w:rsidRPr="00297618">
        <w:rPr>
          <w:rFonts w:asciiTheme="majorBidi" w:hAnsiTheme="majorBidi" w:cstheme="majorBidi"/>
          <w:sz w:val="96"/>
          <w:szCs w:val="96"/>
        </w:rPr>
        <w:t>p</w:t>
      </w:r>
      <w:r w:rsidRPr="00297618">
        <w:rPr>
          <w:rFonts w:asciiTheme="majorBidi" w:hAnsiTheme="majorBidi" w:cstheme="majorBidi"/>
          <w:sz w:val="96"/>
          <w:szCs w:val="96"/>
          <w:vertAlign w:val="subscript"/>
        </w:rPr>
        <w:t>0</w:t>
      </w:r>
      <m:oMath>
        <m:r>
          <w:rPr>
            <w:rFonts w:ascii="Cambria Math" w:eastAsiaTheme="minorEastAsia" w:hAnsi="Cambria Math" w:cstheme="majorBidi"/>
            <w:sz w:val="96"/>
            <w:szCs w:val="96"/>
          </w:rPr>
          <m:t>/m</m:t>
        </m:r>
      </m:oMath>
      <w:r>
        <w:rPr>
          <w:rFonts w:asciiTheme="majorBidi" w:hAnsiTheme="majorBidi" w:cstheme="majorBidi"/>
          <w:sz w:val="96"/>
          <w:szCs w:val="96"/>
        </w:rPr>
        <w:t xml:space="preserve"> *</w:t>
      </w:r>
      <w:r w:rsidR="00144CC2" w:rsidRPr="00144CC2">
        <w:rPr>
          <w:rFonts w:asciiTheme="majorBidi" w:hAnsiTheme="majorBidi" w:cstheme="majorBidi"/>
          <w:sz w:val="96"/>
          <w:szCs w:val="96"/>
        </w:rPr>
        <w:t xml:space="preserve"> </w:t>
      </w:r>
      <w:proofErr w:type="gramStart"/>
      <w:r w:rsidR="00144CC2" w:rsidRPr="00144CC2">
        <w:rPr>
          <w:rFonts w:asciiTheme="majorBidi" w:hAnsiTheme="majorBidi" w:cstheme="majorBidi"/>
          <w:sz w:val="96"/>
          <w:szCs w:val="96"/>
        </w:rPr>
        <w:t>sin(</w:t>
      </w:r>
      <w:proofErr w:type="gramEnd"/>
      <m:oMath>
        <m:acc>
          <m:accPr>
            <m:chr m:val="̅"/>
            <m:ctrlPr>
              <w:rPr>
                <w:rFonts w:ascii="Cambria Math" w:hAnsi="Cambria Math" w:cstheme="majorBidi"/>
                <w:i/>
                <w:sz w:val="96"/>
                <w:szCs w:val="96"/>
              </w:rPr>
            </m:ctrlPr>
          </m:accPr>
          <m:e>
            <m:r>
              <w:rPr>
                <w:rFonts w:ascii="Cambria Math" w:hAnsi="Cambria Math" w:cstheme="majorBidi"/>
                <w:sz w:val="96"/>
                <w:szCs w:val="96"/>
              </w:rPr>
              <m:t>ω</m:t>
            </m:r>
          </m:e>
        </m:acc>
      </m:oMath>
      <w:r w:rsidR="00144CC2" w:rsidRPr="00144CC2">
        <w:rPr>
          <w:rFonts w:asciiTheme="majorBidi" w:hAnsiTheme="majorBidi" w:cstheme="majorBidi"/>
          <w:sz w:val="96"/>
          <w:szCs w:val="96"/>
        </w:rPr>
        <w:t>t)</w:t>
      </w:r>
      <w:r w:rsidR="00144CC2">
        <w:rPr>
          <w:rFonts w:asciiTheme="majorBidi" w:hAnsiTheme="majorBidi" w:cstheme="majorBidi"/>
          <w:sz w:val="96"/>
          <w:szCs w:val="96"/>
        </w:rPr>
        <w:t xml:space="preserve"> –</w:t>
      </w:r>
      <w:r w:rsidR="00144CC2" w:rsidRPr="00144CC2">
        <w:rPr>
          <w:rFonts w:asciiTheme="majorBidi" w:hAnsiTheme="majorBidi" w:cstheme="majorBidi"/>
          <w:sz w:val="96"/>
          <w:szCs w:val="96"/>
        </w:rPr>
        <w:t xml:space="preserve"> </w:t>
      </w:r>
      <m:oMath>
        <m:sSubSup>
          <m:sSubSupPr>
            <m:ctrlPr>
              <w:rPr>
                <w:rFonts w:ascii="Cambria Math" w:hAnsi="Cambria Math" w:cstheme="majorBidi"/>
                <w:sz w:val="96"/>
                <w:szCs w:val="96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 w:cstheme="majorBidi"/>
                <w:sz w:val="96"/>
                <w:szCs w:val="96"/>
              </w:rPr>
              <m:t>2</m:t>
            </m:r>
          </m:sup>
        </m:sSubSup>
      </m:oMath>
      <w:r w:rsidR="00B22C2E" w:rsidRPr="00B22C2E">
        <w:rPr>
          <w:rFonts w:asciiTheme="majorBidi" w:hAnsiTheme="majorBidi" w:cstheme="majorBidi"/>
          <w:sz w:val="96"/>
          <w:szCs w:val="96"/>
        </w:rPr>
        <w:t>u</w:t>
      </w:r>
    </w:p>
    <w:p w:rsidR="00144CC2" w:rsidRPr="00144CC2" w:rsidRDefault="00144CC2" w:rsidP="00144CC2">
      <w:pPr>
        <w:spacing w:line="240" w:lineRule="auto"/>
        <w:jc w:val="center"/>
        <w:rPr>
          <w:rFonts w:asciiTheme="majorBidi" w:hAnsiTheme="majorBidi" w:cstheme="majorBidi" w:hint="cs"/>
          <w:sz w:val="96"/>
          <w:szCs w:val="96"/>
        </w:rPr>
      </w:pPr>
      <w:bookmarkStart w:id="0" w:name="_GoBack"/>
      <w:bookmarkEnd w:id="0"/>
    </w:p>
    <w:sectPr w:rsidR="00144CC2" w:rsidRPr="00144CC2" w:rsidSect="00B22C2E">
      <w:pgSz w:w="11906" w:h="16838"/>
      <w:pgMar w:top="1440" w:right="849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72B"/>
    <w:rsid w:val="0013587F"/>
    <w:rsid w:val="00144CC2"/>
    <w:rsid w:val="00297618"/>
    <w:rsid w:val="002B1B64"/>
    <w:rsid w:val="00551877"/>
    <w:rsid w:val="00B22C2E"/>
    <w:rsid w:val="00EC472B"/>
    <w:rsid w:val="00F3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2D6031A"/>
  <w15:chartTrackingRefBased/>
  <w15:docId w15:val="{D32E17E6-E4B4-418E-831A-C8D2C465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187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2024-04-03T12:01:00Z</dcterms:created>
  <dcterms:modified xsi:type="dcterms:W3CDTF">2024-04-03T13:02:00Z</dcterms:modified>
</cp:coreProperties>
</file>