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color w:val="1F3864"/>
          <w:sz w:val="20"/>
          <w:szCs w:val="20"/>
        </w:rPr>
        <w:t xml:space="preserve">Université Iba Der Thiam — UIDT</w:t>
      </w:r>
    </w:p>
    <w:p>
      <w:pPr>
        <w:jc w:val="right"/>
      </w:pPr>
      <w:r>
        <w:rPr>
          <w:color w:val="666666"/>
          <w:sz w:val="18"/>
          <w:szCs w:val="18"/>
        </w:rPr>
        <w:t xml:space="preserve">Licence 3 Génie Logiciel — Data Processing / BDA</w:t>
      </w:r>
    </w:p>
    <w:p>
      <w:pPr>
        <w:jc w:val="right"/>
      </w:pPr>
      <w:r>
        <w:rPr>
          <w:color w:val="666666"/>
          <w:sz w:val="18"/>
          <w:szCs w:val="18"/>
        </w:rPr>
        <w:t xml:space="preserve">Enseignant : Prof. Papa DIOP — Semestre 5, 2025-2026</w:t>
      </w:r>
    </w:p>
    <w:p>
      <w:pPr>
        <w:spacing w:after="200"/>
      </w:pPr>
    </w:p>
    <w:p>
      <w:pPr>
        <w:pStyle w:val="Title"/>
        <w:spacing w:after="100"/>
        <w:jc w:val="center"/>
      </w:pPr>
      <w:r>
        <w:rPr>
          <w:b/>
          <w:bCs/>
          <w:color w:val="1F3864"/>
        </w:rPr>
        <w:t xml:space="preserve">Spécification technique</w:t>
      </w:r>
    </w:p>
    <w:p>
      <w:pPr>
        <w:spacing w:after="300"/>
        <w:jc w:val="center"/>
      </w:pPr>
      <w:r>
        <w:rPr>
          <w:b/>
          <w:bCs/>
          <w:color w:val="2C5F8A"/>
          <w:sz w:val="24"/>
          <w:szCs w:val="24"/>
        </w:rPr>
        <w:t xml:space="preserve">Fonctionnalités front-end et back-end à coder</w:t>
      </w:r>
    </w:p>
    <w:p>
      <w:pPr>
        <w:spacing w:after="200"/>
      </w:pPr>
      <w:r>
        <w:rPr>
          <w:sz w:val="20"/>
          <w:szCs w:val="20"/>
        </w:rPr>
        <w:t xml:space="preserve">Ce document croise le diagramme de cas d'utilisation corrigé (8 domaines, 63 cas d'utilisation, 20 acteurs) avec le diagramme de classe (DiagClasse_V5_CORRIGE) pour faire apparaître, cas par cas, ce qui doit être développé côté front-end (écrans, composants) et côté back-end (endpoints, méthodes de classe, entités mobilisées). Les méthodes citées reprennent, lorsqu'elles existent, le nom exact défini dans le diagramme de classe ; à défaut, une méthode ou un endpoint à créer est proposé et signalé comme tel.</w:t>
      </w:r>
    </w:p>
    <w:p>
      <w:pPr>
        <w:spacing w:after="120" w:before="200"/>
      </w:pPr>
      <w:r>
        <w:rPr>
          <w:b/>
          <w:bCs/>
          <w:color w:val="1F3864"/>
          <w:sz w:val="22"/>
          <w:szCs w:val="22"/>
        </w:rPr>
        <w:t xml:space="preserve">Vue d'ensemble par domaine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12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Domaine fonctionnel</w:t>
            </w:r>
          </w:p>
        </w:tc>
        <w:tc>
          <w:tcPr>
            <w:tcW w:type="dxa" w:w="41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Cas d'utilisation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Vitrine, comptes et communication</w:t>
            </w:r>
          </w:p>
        </w:tc>
        <w:tc>
          <w:tcPr>
            <w:tcW w:type="dxa" w:w="4126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UC01–07 (7)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Gestion des demandes</w:t>
            </w:r>
          </w:p>
        </w:tc>
        <w:tc>
          <w:tcPr>
            <w:tcW w:type="dxa" w:w="4126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UC10–15 (6)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Instruction et attribution</w:t>
            </w:r>
          </w:p>
        </w:tc>
        <w:tc>
          <w:tcPr>
            <w:tcW w:type="dxa" w:w="4126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UC20–32 (13)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Contrats et portefeuille locatif</w:t>
            </w:r>
          </w:p>
        </w:tc>
        <w:tc>
          <w:tcPr>
            <w:tcW w:type="dxa" w:w="4126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UC40–48 (9)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Comptabilité des paiements</w:t>
            </w:r>
          </w:p>
        </w:tc>
        <w:tc>
          <w:tcPr>
            <w:tcW w:type="dxa" w:w="4126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UC50–55 (6)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Signalements et interventions</w:t>
            </w:r>
          </w:p>
        </w:tc>
        <w:tc>
          <w:tcPr>
            <w:tcW w:type="dxa" w:w="4126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UC60–67 (8)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QHSE et fidélisation</w:t>
            </w:r>
          </w:p>
        </w:tc>
        <w:tc>
          <w:tcPr>
            <w:tcW w:type="dxa" w:w="4126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UC69–77 (9)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Pilotage et administration</w:t>
            </w:r>
          </w:p>
        </w:tc>
        <w:tc>
          <w:tcPr>
            <w:tcW w:type="dxa" w:w="4126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UC80–84 (5)</w:t>
            </w:r>
          </w:p>
        </w:tc>
      </w:tr>
    </w:tbl>
    <w:p>
      <w:pPr>
        <w:sectPr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2. Vitrine, comptes et communication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7 cas d'utilisation — colonnes Front-end / Back-end à coder, avec les entités du diagramme de classe mobilisées.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5900"/>
        <w:gridCol w:w="1498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Cas d'utilisation</w:t>
            </w:r>
          </w:p>
        </w:tc>
        <w:tc>
          <w:tcPr>
            <w:tcW w:type="dxa" w:w="4400"/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Front-end à coder</w:t>
            </w:r>
          </w:p>
        </w:tc>
        <w:tc>
          <w:tcPr>
            <w:tcW w:type="dxa" w:w="5900"/>
            <w:shd w:fill="6A3D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Back-end à coder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Entités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UC01 · Consulter la vitrine et les procédures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Pages publiques : accueil, procédure (timeline 5 étapes), portefeuille locatif filtrable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Endpoint de lecture du contenu vitrine ; GET /locaux (référentiel en lecture seule pour affichage)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Local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UC02 · Consulter les appels à candidature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Liste/cartes des appels ouverts, tri par clôture, filtres type/campus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GET /appels?actif=true — lecture AppelCandidature + CritereAppel joints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AppelCandidature, CritereAppel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UC03 · Créer un compte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d'inscription (nom, email, mot de passe, statut étudiant)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/utilisateurs — création Utilisateur, hash mot de passe, validation email unique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Utilisateur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UC04 · S'authentifier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de connexion, gestion de session côté client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/auth/login → Utilisateur.sAuthentifier() ; vérifie delegationActive/delegationExpiration ; émission token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Utilisateur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UC05 · Publier un avis sur une cantine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Widget notation (étoiles) + commentaire sur la fiche d'un local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/avis — création AvisCantine (statut initial PUBLIE ou SIGNALE selon filtre anti-abus)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AvisCantine, Local, Demandeur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UC06 · Modérer un avis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Cellule Communication : liste des avis signalés, actions Publier/Masquer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/avis/{id}/moderer → AvisCantine.modererAvis(), mise à jour StatutAvis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AvisCantine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UC07 · Publier un appel à candidature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: formulaire création d'appel + définition des critères de pondération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/appels → AppelCandidature.publierAppelCandidature() (crée CritereAppel en composition)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/appels/{id}/cloturer → cloturerAppel()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AppelCandidature, CritereAppel</w:t>
            </w:r>
          </w:p>
        </w:tc>
      </w:tr>
    </w:tbl>
    <w:p>
      <w:pPr>
        <w:sectPr>
          <w:type w:val="nextPage"/>
          <w:pgSz w:w="16838" w:h="11906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3. Gestion des demandes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6 cas d'utilisation — colonnes Front-end / Back-end à coder, avec les entités du diagramme de classe mobilisées.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5900"/>
        <w:gridCol w:w="1498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Cas d'utilisation</w:t>
            </w:r>
          </w:p>
        </w:tc>
        <w:tc>
          <w:tcPr>
            <w:tcW w:type="dxa" w:w="4400"/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Front-end à coder</w:t>
            </w:r>
          </w:p>
        </w:tc>
        <w:tc>
          <w:tcPr>
            <w:tcW w:type="dxa" w:w="5900"/>
            <w:shd w:fill="6A3D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Back-end à coder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Entités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UC10 · Déposer une demande d'occupation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multi-champs : type de demande, campus/local visé, informations demandeur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/demandes — crée Demande + Dossier (composition 1-1) + première entrée HistoriqueStatutDemande (statut EN_ATTENTE)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Demande, Dossier, HistoriqueStatutDemande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UC11 · Téléverser le dossier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Composant d'upload multi-fichiers, intégré au formulaire de dépôt (relation «include» avec UC10)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Service de stockage fichiers ; Dossier.enregistrerDossier(), mise à jour piecesRecepissees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Dossier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UC12 · Suivre le statut de sa demande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Page de recherche par n° de dossier, timeline de statut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GET /demandes/{id}/statut — lecture Demande + HistoriqueStatutDemande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Demande, HistoriqueStatutDemande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UC13 · Enregistrer l'arrivée du courrier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Bureau du Courrier : formulaire d'enregistrement pour dépôt physique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/demandes (canal papier) ou PATCH /dossiers/{id}/receptionner — Dossier.enregistrerDossier()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Dossier, Demande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UC14 · Fournir un complément de dossier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Écran de dépôt de pièces complémentaires suite à notification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/dossiers/{id}/complement — Dossier.verifierCompletudeGlobale(), nouvelle entrée HistoriqueStatutDemande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Dossier, HistoriqueStatutDemande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UC15 · Notifier le demandeur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Centre de notifications côté usager (liste, badge non lues)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Service Notification.genererAlerteAutomatique() — envoi multi-canal (SMS / EMAIL / PUSH_APP)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Notification</w:t>
            </w:r>
          </w:p>
        </w:tc>
      </w:tr>
    </w:tbl>
    <w:p>
      <w:pPr>
        <w:sectPr>
          <w:type w:val="nextPage"/>
          <w:pgSz w:w="16838" w:h="11906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4. Instruction et attribution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13 cas d'utilisation — colonnes Front-end / Back-end à coder, avec les entités du diagramme de classe mobilisées.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5900"/>
        <w:gridCol w:w="1498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Cas d'utilisation</w:t>
            </w:r>
          </w:p>
        </w:tc>
        <w:tc>
          <w:tcPr>
            <w:tcW w:type="dxa" w:w="4400"/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Front-end à coder</w:t>
            </w:r>
          </w:p>
        </w:tc>
        <w:tc>
          <w:tcPr>
            <w:tcW w:type="dxa" w:w="5900"/>
            <w:shd w:fill="6A3D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Back-end à coder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Entités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UC20 · Vérifier la recevabilité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Directeur DCUVE / Technicien : vue dossier, bouton « Vérifier »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/demandes/{id}/recevabilite → Demande.verifierRecevabilite()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UC21 · Contrôler la complétude du dossier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Checklist des pièces requises dans la vue dossier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Dossier.verifierCompletudeGlobale()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Dossier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UC22 · Réaliser la vérification technique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de saisie de l'avis technique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/demandes/{id}/verification-technique — champ dédié sur Demande (méthode à nommer)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UC23 · Réaliser la vérification administrative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de saisie de l'avis administratif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/demandes/{id}/verification-administrative — champ dédié sur Demande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UC24 · Recueillir l'avis d'aptitude sanitaire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de saisie de l'avis externe (uniquement pour la vente alimentaire)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/demandes/{id}/avis-sanitaire → Demande.enregistrerAvisSanitaireExterne()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UC25 · Demander un complément de dossier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« Demander un complément » + zone de motif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/demandes/{id}/complement → Demande.demanderComplement() ; statut → MITIGEE_COMPLEMENT ; déclenche UC15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Demande, HistoriqueStatutDemande, Notification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UC26 · Déclarer l'irrecevabilité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« Déclarer irrecevable » avec motif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/demandes/{id}/irrecevable → Demande.rejeter() ; statut → DEFAVORABLE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Demande, HistoriqueStatutDemande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UC27 · Convoquer la commission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: création d'une session, désignation des membres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/commission/sessions — création MembreCommission (dateDesignation, actif)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MembreCommission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UC28 · Évaluer la demande selon les critères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Grille de saisie par critère (repris de CritereAppel)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Lecture CritereAppel.poids / valeurCible pour construire la grille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CritereAppel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UC29 · Calculer la note pondérée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Affichage de la note calculée sur la fiche demande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Service de calcul pondéré à implémenter (ex. calculerNotePonderee()), agrégeant les critères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CritereAppel, Demande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UC30 · Délibérer et voter en commission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Interface de vote individuel par membre (favorable / défavorable / abstention)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/votes → VoteCommission (avis, commentaire) ; MembreCommission « émet »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VoteCommission, MembreCommission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UC31 · Décider de l'attribution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de décision finale (Directeur DCUVE / Directeur CROUS-T)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/demandes/{id}/valider → Demande.valider() ; statut → FAVORABLE ; déclenche UC41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Demande, HistoriqueStatutDemande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UC32 · Rejeter la demande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de rejet avec motif obligatoire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/demandes/{id}/rejeter → Demande.rejeter() ; statut → DEFAVORABLE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Demande, HistoriqueStatutDemande</w:t>
            </w:r>
          </w:p>
        </w:tc>
      </w:tr>
    </w:tbl>
    <w:p>
      <w:pPr>
        <w:sectPr>
          <w:type w:val="nextPage"/>
          <w:pgSz w:w="16838" w:h="11906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5. Contrats et portefeuille locatif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9 cas d'utilisation — colonnes Front-end / Back-end à coder, avec les entités du diagramme de classe mobilisées.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5900"/>
        <w:gridCol w:w="1498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Cas d'utilisation</w:t>
            </w:r>
          </w:p>
        </w:tc>
        <w:tc>
          <w:tcPr>
            <w:tcW w:type="dxa" w:w="4400"/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Front-end à coder</w:t>
            </w:r>
          </w:p>
        </w:tc>
        <w:tc>
          <w:tcPr>
            <w:tcW w:type="dxa" w:w="5900"/>
            <w:shd w:fill="6A3D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Back-end à coder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Entités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UC40 · Gérer le référentiel des locaux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: liste, fiche et formulaire CRUD des locaux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i w:val="false"/>
                <w:iCs w:val="false"/>
                <w:sz w:val="15"/>
                <w:szCs w:val="15"/>
              </w:rPr>
              <w:t xml:space="preserve">CRUD /locaux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Local.changerEtat() pour la mise à jour d'état physique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Local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UC41 · Affecter un local à la demande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Sélecteur de local disponible sur une demande validée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/demandes/{id}/affecter-local — Local.estLibre passe à false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Local, Demande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UC42 · Rédiger le contrat d'attribution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de génération de contrat pré-rempli depuis la demande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/contrats → Contrat.redigerContrat()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Contrat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UC43 · Signer le contrat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Écran de signature (dépôt du document signé ou signature électronique)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/contrats/{id}/signer — dateSignature renseignée, estActif = true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Contrat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UC44 · Générer l'échéancier de redevances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Aperçu de l'échéancier généré, éditable avant validation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Contrat.genererEcheancier() — crée les Echeance (composition, dérivées de durée/redevance)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Contrat, Echeance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UC45 · Percevoir la caution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d'encaissement de la caution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/contrats/{id}/caution — montantCaution renseigné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Contrat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UC46 · Renouveler le contrat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« Renouveler » avec nouvelle durée proposée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Méthode à ajouter au modèle (ex. renouvelerContrat()) — met à jour dureeMois / dates ; peut déclencher un bonus fidélité (UC76)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Contrat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UC47 · Résilier le contrat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de résiliation (motif, respect du préavis)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/contrats/{id}/resilier — dateResiliation / motifResiliation renseignés, estActif = false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Contrat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UC48 · Prononcer l'expulsion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d'expulsion (cas de manquement grave, réservé Directeur CROUS-T)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/contrats/{id}/expulsion → Contrat.prononcerExpulsion()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Contrat</w:t>
            </w:r>
          </w:p>
        </w:tc>
      </w:tr>
    </w:tbl>
    <w:p>
      <w:pPr>
        <w:sectPr>
          <w:type w:val="nextPage"/>
          <w:pgSz w:w="16838" w:h="11906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6. Comptabilité des paiements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6 cas d'utilisation — colonnes Front-end / Back-end à coder, avec les entités du diagramme de classe mobilisées.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5900"/>
        <w:gridCol w:w="1498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Cas d'utilisation</w:t>
            </w:r>
          </w:p>
        </w:tc>
        <w:tc>
          <w:tcPr>
            <w:tcW w:type="dxa" w:w="4400"/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Front-end à coder</w:t>
            </w:r>
          </w:p>
        </w:tc>
        <w:tc>
          <w:tcPr>
            <w:tcW w:type="dxa" w:w="5900"/>
            <w:shd w:fill="6A3D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Back-end à coder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Entités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UC50 · Payer la redevance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Écran de paiement côté occupant (choix du mode)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/paiements — création Paiement (mode : MOBILE_MONEY, VIREMENT, ESPECES, CHEQUE)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Paiement, Echeance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UC51 · Encaisser et valider le paiement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Service Comptable : validation manuelle des paiements reçus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/paiements/{id}/valider → Paiement.validerPaiement()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Paiement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UC52 · Éditer le quitus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de génération / téléchargement du quitus (PDF)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GET /paiements/{id}/quitus → Paiement.editerQuitus(), referenceQuitus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Paiement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UC53 · Appliquer une pénalité de retard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Affichage automatique de la pénalité sur une échéance en retard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Job planifié + Echeance.appliquerPenaliteRetard()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Echeance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UC54 · Relancer les impayés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: liste des impayés, bouton « Relancer »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Service de relance → déclenche Notification ; StatutEcheance = EN_RETARD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Echeance, Notification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UC55 · Suivre le portefeuille locatif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Tableau de bord financier (taux de recouvrement, impayés, revenus par campus)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Endpoints d'agrégation /stats/portefeuille (lecture croisée Contrat / Echeance / Paiement)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Contrat, Echeance, Paiement</w:t>
            </w:r>
          </w:p>
        </w:tc>
      </w:tr>
    </w:tbl>
    <w:p>
      <w:pPr>
        <w:sectPr>
          <w:type w:val="nextPage"/>
          <w:pgSz w:w="16838" w:h="11906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7. Signalements et interventions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8 cas d'utilisation — colonnes Front-end / Back-end à coder, avec les entités du diagramme de classe mobilisées.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5900"/>
        <w:gridCol w:w="1498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Cas d'utilisation</w:t>
            </w:r>
          </w:p>
        </w:tc>
        <w:tc>
          <w:tcPr>
            <w:tcW w:type="dxa" w:w="4400"/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Front-end à coder</w:t>
            </w:r>
          </w:p>
        </w:tc>
        <w:tc>
          <w:tcPr>
            <w:tcW w:type="dxa" w:w="5900"/>
            <w:shd w:fill="6A3D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Back-end à coder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Entités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UC60 · Déposer un signalement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de signalement (type, urgence, description, photo, géolocalisation, option anonyme)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/plaintes — création Plainte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Plainte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UC61 · Qualifier et affecter le signalement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: qualification du type et affectation à un agent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/plaintes/{id}/qualifier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Plainte, Utilisateur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UC62 · Planifier une intervention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Planning d'intervention (agenda agent de terrain)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/plaintes/{id}/planifier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Plainte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UC63 · Réaliser l'intervention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Écran terrain (mobile) de compte-rendu d'intervention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Plainte.intervenirSurPlainte()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Plainte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UC64 · Clôturer la plainte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de clôture avec résolution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Plainte.cloturerPlainte() ; statut → RESOLUE ou REJETEE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Plainte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UC65 · Escalader un signalement hors délai SLA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Alerte visuelle sur dépassement de délai dans le back-office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Job planifié de contrôle SLA + Notification vers le responsable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Plainte, Notification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UC66 · Contrôler l'occupation effective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Checklist de contrôle terrain (spécialisation de la visite de contrôle générique)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Généralisation de UC69 — InspectionQHse en contexte d'occupation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InspectionQHse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UC67 · Signaler une occupation sans titre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Formulaire de signalement dédié (type DENONCIATION_ILLEGALE)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/plaintes avec type = DENONCIATION_ILLEGALE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Plainte</w:t>
            </w:r>
          </w:p>
        </w:tc>
      </w:tr>
    </w:tbl>
    <w:p>
      <w:pPr>
        <w:sectPr>
          <w:type w:val="nextPage"/>
          <w:pgSz w:w="16838" w:h="11906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8. QHSE et fidélisation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9 cas d'utilisation — colonnes Front-end / Back-end à coder, avec les entités du diagramme de classe mobilisées.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5900"/>
        <w:gridCol w:w="1498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Cas d'utilisation</w:t>
            </w:r>
          </w:p>
        </w:tc>
        <w:tc>
          <w:tcPr>
            <w:tcW w:type="dxa" w:w="4400"/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Front-end à coder</w:t>
            </w:r>
          </w:p>
        </w:tc>
        <w:tc>
          <w:tcPr>
            <w:tcW w:type="dxa" w:w="5900"/>
            <w:shd w:fill="6A3D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Back-end à coder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Entités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UC69 · Réaliser une visite de contrôle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Écran terrain générique de visite (cas général dont dérivent UC66 et UC71)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InspectionQHse — cas général (généralisation UML)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InspectionQHse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UC70 · Planifier une inspection QHSE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Planning des inspections par local / campus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POST /inspections — dateVisite programmée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InspectionQHse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UC71 · Réaliser l'inspection QHSE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Écran terrain de saisie d'inspection (sanitaire / technique / électrique)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InspectionQHse.emettreFicheSanitaire()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InspectionQHse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UC72 · Relever les non-conformités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Champ observations + bascule estConforme dans le formulaire d'inspection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/inspections/{id} — estConforme = false, observations renseignées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InspectionQHse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UC73 · Prononcer une sanction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« Sanctionner » déclenchable depuis une inspection ou une plainte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Sanction.notifierInfraction() — dépendance depuis InspectionQHse ou Plainte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Sanction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UC74 · Lever une sanction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« Lever la sanction » (régularisation constatée)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Méthode à ajouter au modèle (ex. leverSanction())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Sanction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UC75 · Calculer la fiche de fidélité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Affichage du score de fidélité sur le profil du demandeur / occupant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Demandeur.mettreAJourScore() — calcul à partir des paiements réguliers et de l'absence de sanction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Demandeur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UC76 · Attribuer un bonus au renouvellement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Affichage du bonus proposé lors du renouvellement de contrat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Logique de bonus liée à UC46, basée sur Demandeur.scoreFidelite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Demandeur, Contrat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UC77 · Publier le classement QHSE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Page publique de classement (vitrine), consultable par tout usager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GET /classement-qhse — agrégation des scores de conformité par local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InspectionQHse, Local</w:t>
            </w:r>
          </w:p>
        </w:tc>
      </w:tr>
    </w:tbl>
    <w:p>
      <w:pPr>
        <w:sectPr>
          <w:type w:val="nextPage"/>
          <w:pgSz w:w="16838" w:h="11906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9. Pilotage et administration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5 cas d'utilisation — colonnes Front-end / Back-end à coder, avec les entités du diagramme de classe mobilisées.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5900"/>
        <w:gridCol w:w="1498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Cas d'utilisation</w:t>
            </w:r>
          </w:p>
        </w:tc>
        <w:tc>
          <w:tcPr>
            <w:tcW w:type="dxa" w:w="4400"/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Front-end à coder</w:t>
            </w:r>
          </w:p>
        </w:tc>
        <w:tc>
          <w:tcPr>
            <w:tcW w:type="dxa" w:w="5900"/>
            <w:shd w:fill="6A3D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Back-end à coder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Entités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UC80 · Gérer les comptes et les rôles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Administrateur SI : CRUD utilisateurs, attribution de rôles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CRUD /utilisateurs — gestion de RoleUtilisateur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Utilisateur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UC81 · Paramétrer les critères d'évaluation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Back-office : configuration des modèles de critères par défaut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CRUD /criteres-modeles — TypeCritere, poids par défaut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CritereAppel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UC82 · Consulter les tableaux de bord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Dashboards globaux multi-domaines (KPI, occupation, finances, QHSE)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Endpoints d'agrégation transverses (lecture seule, croisant plusieurs domaines)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Toutes entités (lecture)</w:t>
            </w:r>
          </w:p>
        </w:tc>
      </w:tr>
      <w:tr>
        <w:tc>
          <w:tcPr>
            <w:tcW w:type="dxa" w:w="36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UC83 · Consulter le journal d'audit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Écran de consultation des logs, filtrable par acteur / date / action</w:t>
            </w:r>
          </w:p>
        </w:tc>
        <w:tc>
          <w:tcPr>
            <w:tcW w:type="dxa" w:w="5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Lecture HistoriqueStatutDemande + journal technique dédié (table AuditLog à ajouter au modèle)</w:t>
            </w:r>
          </w:p>
        </w:tc>
        <w:tc>
          <w:tcPr>
            <w:tcW w:type="dxa" w:w="1498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HistoriqueStatutDemande, AuditLog *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UC84 · Archiver le dossier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Bouton « Archiver » sur un dossier clôturé</w:t>
            </w:r>
          </w:p>
        </w:tc>
        <w:tc>
          <w:tcPr>
            <w:tcW w:type="dxa" w:w="59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i w:val="false"/>
                <w:iCs w:val="false"/>
                <w:sz w:val="15"/>
                <w:szCs w:val="15"/>
              </w:rPr>
              <w:t xml:space="preserve">PATCH /dossiers/{id}/archiver — statut d'archivage sur Dossier / Demande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Dossier, Demande</w:t>
            </w:r>
          </w:p>
        </w:tc>
      </w:tr>
    </w:tbl>
    <w:p>
      <w:pPr>
        <w:sectPr>
          <w:type w:val="nextPage"/>
          <w:pgSz w:w="16838" w:h="11906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b/>
          <w:bCs/>
          <w:color w:val="1F3864"/>
        </w:rPr>
        <w:t xml:space="preserve">T. Fonctionnalités transversales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Briques communes mobilisées par plusieurs domaines, à concevoir comme des services partagés plutôt qu'à dupliquer par domaine.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Fonctionnalité</w:t>
            </w:r>
          </w:p>
        </w:tc>
        <w:tc>
          <w:tcPr>
            <w:tcW w:type="dxa" w:w="3313"/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Front-end</w:t>
            </w:r>
          </w:p>
        </w:tc>
        <w:tc>
          <w:tcPr>
            <w:tcW w:type="dxa" w:w="3313"/>
            <w:shd w:fill="6A3D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Back-end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Authentification &amp; habilitation</w:t>
            </w:r>
          </w:p>
        </w:tc>
        <w:tc>
          <w:tcPr>
            <w:tcW w:type="dxa" w:w="3313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Garde de routes selon RoleUtilisateur ; état de session (connecté / rôle actif)</w:t>
            </w:r>
          </w:p>
        </w:tc>
        <w:tc>
          <w:tcPr>
            <w:tcW w:type="dxa" w:w="3313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Middleware d'autorisation basé sur RoleUtilisateur ; vérification systématique du rôle sur chaque endpoint sensible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Délégation de droits</w:t>
            </w:r>
          </w:p>
        </w:tc>
        <w:tc>
          <w:tcPr>
            <w:tcW w:type="dxa" w:w="3313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Écran « Activer une délégation » pour un responsable absent</w:t>
            </w:r>
          </w:p>
        </w:tc>
        <w:tc>
          <w:tcPr>
            <w:tcW w:type="dxa" w:w="3313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Utilisateur.activerDelegation() / revoquerDelegation() ; vérification delegationActive/delegationExpiration à chaque action sensible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Notifications multi-canal</w:t>
            </w:r>
          </w:p>
        </w:tc>
        <w:tc>
          <w:tcPr>
            <w:tcW w:type="dxa" w:w="3313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Centre de notifications utilisateur (liste, badge, marquer comme lu)</w:t>
            </w:r>
          </w:p>
        </w:tc>
        <w:tc>
          <w:tcPr>
            <w:tcW w:type="dxa" w:w="3313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Service Notification.genererAlerteAutomatique() ; adaptateurs SMS / EMAIL / PUSH_APP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Téléversement de fichiers</w:t>
            </w:r>
          </w:p>
        </w:tc>
        <w:tc>
          <w:tcPr>
            <w:tcW w:type="dxa" w:w="3313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Composant d'upload réutilisable (pièces de dossier, photo de plainte, carte étudiant)</w:t>
            </w:r>
          </w:p>
        </w:tc>
        <w:tc>
          <w:tcPr>
            <w:tcW w:type="dxa" w:w="3313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Service de stockage (fichiers + métadonnées), utilisé par Dossier, Plainte, Demandeur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Géolocalisation</w:t>
            </w:r>
          </w:p>
        </w:tc>
        <w:tc>
          <w:tcPr>
            <w:tcW w:type="dxa" w:w="3313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Sélecteur de position sur carte pour signalements et inspections sans local répertorié</w:t>
            </w:r>
          </w:p>
        </w:tc>
        <w:tc>
          <w:tcPr>
            <w:tcW w:type="dxa" w:w="3313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Persistance latitude/longitude sur Plainte et InspectionQHse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Vérification de la carte étudiant</w:t>
            </w:r>
          </w:p>
        </w:tc>
        <w:tc>
          <w:tcPr>
            <w:tcW w:type="dxa" w:w="3313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Écran de dépôt de la carte étudiant + suivi du statut de vérification</w:t>
            </w:r>
          </w:p>
        </w:tc>
        <w:tc>
          <w:tcPr>
            <w:tcW w:type="dxa" w:w="3313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PATCH /demandeurs/{id}/verification-etudiant — StatutVerificationEtudiant, Demandeur.soumettreCarteEtudiant()</w:t>
            </w:r>
          </w:p>
        </w:tc>
      </w:tr>
    </w:tbl>
    <w:p>
      <w:pPr>
        <w:spacing w:before="240"/>
      </w:pPr>
      <w:r>
        <w:rPr>
          <w:i/>
          <w:iCs/>
          <w:color w:val="666666"/>
          <w:sz w:val="17"/>
          <w:szCs w:val="17"/>
        </w:rPr>
        <w:t xml:space="preserve">* AuditLog n'existe pas explicitement dans le diagramme de classe fourni : le journal d'audit (UC83) peut être partiellement couvert par HistoriqueStatutDemande, mais une table dédiée est recommandée pour tracer les actions hors cycle de vie d'une demande (connexions, modifications de rôle, etc.).</w:t>
      </w:r>
    </w:p>
    <w:sectPr>
      <w:type w:val="nextPage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2026-08-08T22:18:35.147Z</dcterms:created>
  <dcterms:modified xsi:type="dcterms:W3CDTF">2026-08-08T22:18:35.157Z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