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23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14:41:31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3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TIDAK DITEMUKAN</w:t>
      </w:r>
    </w:p>
    <w:p>
      <w:r>
        <w:t>Elemen yang Hilang: dasar hukum yang jelas, persetujuan pengguna, informasi tentang hak pengguna</w:t>
      </w:r>
    </w:p>
    <w:p>
      <w:r>
        <w:t>Referensi: artikel 5 GDPR, artikel 6 GDPR, artikel 13 GDPR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Kami mengumpulkan informasi berikut: - Nama lengkap dan alamat email - Nomor telepon dan alamat - Data penggunaan aplikasi - Informasi perangkat dan lokasi - Riwayat transaksi dan pembayaran</w:t>
      </w:r>
    </w:p>
    <w:p>
      <w:r>
        <w:t>Elemen yang Hilang: pengungkapan tujuan pengumpulan data, pengungkapan pilihan pengguna untuk menghapus data, pengungkapan kebijakan pengungkapan data</w:t>
      </w:r>
    </w:p>
    <w:p>
      <w:r>
        <w:t>Referensi: artikel 5 GDPR (hak pengguna atas data), artikel 12 GDPR (transparansi dan informasi)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Data disimpan di server kami selama diperlukan untuk operasional bisnis. Kami tidak memberikan jaminan waktu penyimpanan yang spesifik.</w:t>
      </w:r>
    </w:p>
    <w:p>
      <w:r>
        <w:t>Elemen yang Hilang: lokasi server, negara penyimpanan data</w:t>
      </w:r>
    </w:p>
    <w:p>
      <w:r>
        <w:t>Referensi: STANDAR 1 - GDPR (N/A)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Kami tidak memberikan jaminan waktu penyimpanan yang spesifik.</w:t>
      </w:r>
    </w:p>
    <w:p>
      <w:r>
        <w:t>Elemen yang Hilang: periode retensi data yang spesifik</w:t>
      </w:r>
    </w:p>
    <w:p>
      <w:r>
        <w:t>Referensi: STANDAR 1 - GDPR (N/A)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Kami menggunakan langkah-langkah keamanan standar untuk melindungi data Anda, namun tidak dapat menjamin keamanan 100%.</w:t>
      </w:r>
    </w:p>
    <w:p>
      <w:r>
        <w:t>Elemen yang Hilang: Jaminan waktu penyimpanan data, Prosedur penghapusan data, Penggunaan enkripsi data</w:t>
      </w:r>
    </w:p>
    <w:p>
      <w:r>
        <w:t>Referensi: STANDAR 1 - GDPR (N/A): REGULATIONS REGULATION (EU) 2016/679 OF THE EUROPEAN PARLIAMENT AND OF THE COUNCIL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TIDAK DITEMUKAN</w:t>
      </w:r>
    </w:p>
    <w:p>
      <w:r>
        <w:t>Elemen yang Hilang: mekanisme akses data, prosedur koreksi data</w:t>
      </w:r>
    </w:p>
    <w:p>
      <w:r>
        <w:t>Referensi: Artikel 12 GDPR: Harga yang wajar untuk akses data, Artikel 16 GDPR: Koreksi data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tidak ada informasi tentang transfer data internasional</w:t>
      </w:r>
    </w:p>
    <w:p>
      <w:r>
        <w:t>Bukti dari Dokumen: tidak ada</w:t>
      </w:r>
    </w:p>
    <w:p>
      <w:r>
        <w:t>Elemen yang Hilang: informasi tentang transfer data internasional, mekanisme transfer data internasional</w:t>
      </w:r>
    </w:p>
    <w:p>
      <w:r>
        <w:t>Referensi: artikel 44-49 GDPR</w:t>
      </w:r>
    </w:p>
    <w:p/>
    <w:p>
      <w:pPr>
        <w:pStyle w:val="Heading1"/>
      </w:pPr>
      <w:r>
        <w:t>✅ ACTIONABLE RECOMMENDATIONS</w:t>
      </w:r>
    </w:p>
    <w:p>
      <w:r>
        <w:t>1. PRIORITAS TINGGI:</w:t>
      </w:r>
    </w:p>
    <w:p>
      <w:r>
        <w:t>2. pastikan lokasi server dan negara penyimpanan data jelas dan sesuai dengan regulasi</w:t>
      </w:r>
    </w:p>
    <w:p>
      <w:r>
        <w:t xml:space="preserve">3. </w:t>
        <w:br/>
        <w:t>REKOMENDASI UMUM:</w:t>
      </w:r>
    </w:p>
    <w:p>
      <w:r>
        <w:t>4. Sertakan continuous monitoring and improvement processes</w:t>
      </w:r>
    </w:p>
    <w:p>
      <w:r>
        <w:t>5. pastikan untuk memberikan pilihan pengguna untuk menghapus data</w:t>
      </w:r>
    </w:p>
    <w:p>
      <w:r>
        <w:t>6. pastikan untuk mengungkapkan kebijakan pengungkapan data</w:t>
      </w:r>
    </w:p>
    <w:p>
      <w:r>
        <w:t xml:space="preserve">7. </w:t>
        <w:br/>
        <w:t>REKOMENDASI KHUSUS GDPR:</w:t>
      </w:r>
    </w:p>
    <w:p>
      <w:r>
        <w:t>8. informasikan hak pengguna dalam kebijakan privasi</w:t>
      </w:r>
    </w:p>
    <w:p>
      <w:r>
        <w:t xml:space="preserve">9. </w:t>
        <w:br/>
        <w:t>REKOMENDASI KHUSUS NIST:</w:t>
      </w:r>
    </w:p>
    <w:p>
      <w:r>
        <w:t>10. perlu mendapatkan persetujuan pengguna sebelum mengumpulkan data</w:t>
      </w:r>
    </w:p>
    <w:p>
      <w:r>
        <w:t>11. Siapkan mekanisme audit internal untuk memastikan compliance</w:t>
      </w:r>
    </w:p>
    <w:p>
      <w:r>
        <w:t>12. Tambahkan informasi tentang hak-hak subjek data (Article 12-23)</w:t>
      </w:r>
    </w:p>
    <w:p>
      <w:r>
        <w:t>13. Sertakan dasar hukum yang jelas untuk setiap pemrosesan data</w:t>
      </w:r>
    </w:p>
    <w:p>
      <w:r>
        <w:t>14. Pastikan ada klausul persetujuan yang eksplisit sesuai GDPR Article 6 &amp; 7</w:t>
      </w:r>
    </w:p>
    <w:p>
      <w:r>
        <w:t>15. Pastikan semua stakeholder memahami kebijakan yang berlaku</w:t>
      </w:r>
    </w:p>
    <w:p>
      <w:r>
        <w:t>16. Implementasikan NIST Cybersecurity Framework (Identify, Protect, Detect, Respond, Recover)</w:t>
      </w:r>
    </w:p>
    <w:p>
      <w:r>
        <w:t>17. Dokumentasikan semua proses dan prosedur dengan jelas</w:t>
      </w:r>
    </w:p>
    <w:p>
      <w:r>
        <w:t>18. Tambahkan risk assessment dan management procedures</w:t>
      </w:r>
    </w:p>
    <w:p>
      <w:r>
        <w:t>19. Lakukan review berkala terhadap dokumen kebijakan</w:t>
      </w:r>
    </w:p>
    <w:p>
      <w:r>
        <w:t>20. pastikan untuk menyertakan dasar hukum yang jelas</w:t>
      </w:r>
    </w:p>
    <w:p>
      <w:r>
        <w:t>21. pastikan untuk mengungkapkan tujuan pengumpulan data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GDPR, NIST, UU_PDP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2025-08-23T14:41:31Z</dcterms:created>
  <dcterms:modified xsi:type="dcterms:W3CDTF">2013-12-23T23:15:00Z</dcterms:modified>
  <cp:category/>
</cp:coreProperties>
</file>