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20:43:56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 xml:space="preserve">1. </w:t>
        <w:br/>
        <w:t>REKOMENDASI KHUSUS BSSN:</w:t>
      </w:r>
    </w:p>
    <w:p>
      <w:r>
        <w:t>2. Lakukan review berkala terhadap dokumen kebijakan</w:t>
      </w:r>
    </w:p>
    <w:p>
      <w:r>
        <w:t>3. Pastikan ada monitoring dan audit keamanan berkala</w:t>
      </w:r>
    </w:p>
    <w:p>
      <w:r>
        <w:t>4. Periksa koneksi ke database standar untuk Lokasi Penyimpanan Data</w:t>
      </w:r>
    </w:p>
    <w:p>
      <w:r>
        <w:t>5. Siapkan mekanisme audit internal untuk memastikan compliance</w:t>
      </w:r>
    </w:p>
    <w:p>
      <w:r>
        <w:t>6. PRIORITAS TINGGI:</w:t>
      </w:r>
    </w:p>
    <w:p>
      <w:r>
        <w:t>7. Pastikan semua stakeholder memahami kebijakan yang berlaku</w:t>
      </w:r>
    </w:p>
    <w:p>
      <w:r>
        <w:t>8. Periksa koneksi ke database standar untuk Hak Pengguna atas Data</w:t>
      </w:r>
    </w:p>
    <w:p>
      <w:r>
        <w:t>9. Tambahkan prosedur incident response dan recovery</w:t>
      </w:r>
    </w:p>
    <w:p>
      <w:r>
        <w:t>10. Implementasikan framework keamanan siber sesuai standar BSSN</w:t>
      </w:r>
    </w:p>
    <w:p>
      <w:r>
        <w:t>11. Periksa koneksi ke database standar untuk Dasar Hukum Pengumpulan Data</w:t>
      </w:r>
    </w:p>
    <w:p>
      <w:r>
        <w:t xml:space="preserve">12. </w:t>
        <w:br/>
        <w:t>REKOMENDASI UMUM:</w:t>
      </w:r>
    </w:p>
    <w:p>
      <w:r>
        <w:t>13. Dokumentasikan semua proses dan prosedur dengan jelas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2025-08-22T20:43:56Z</dcterms:created>
  <dcterms:modified xsi:type="dcterms:W3CDTF">2013-12-23T23:15:00Z</dcterms:modified>
  <cp:category/>
</cp:coreProperties>
</file>