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15:18:37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🟢 STATUS COMPLIANCE: BAIK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100.0%.</w:t>
        <w:br/>
        <w:br/>
        <w:t>🔍 TEMUAN UTAMA:</w:t>
        <w:br/>
        <w:t>• 7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7 items (100.0%)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100.0%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Standar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Compliant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Non-Compliant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Score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akses dan koreksi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transfer data internasional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1"/>
      </w:pPr>
      <w:r>
        <w:t>🔍 DETAILED FINDINGS</w:t>
      </w:r>
    </w:p>
    <w:p>
      <w:pPr>
        <w:pStyle w:val="Heading2"/>
      </w:pPr>
      <w:r>
        <w:t>1. Dasar Hukum Pengumpulan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2. Hak Pengguna Atas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3. Lokasi Penyimpanan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4. Periode Retensi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5. Keamanan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6. Akses Dan Koreksi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7. Transfer Data Internasional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1"/>
      </w:pPr>
      <w:r>
        <w:t>⚠️ RISK ASSESSMENT</w:t>
      </w:r>
    </w:p>
    <w:p>
      <w:pPr>
        <w:pStyle w:val="Heading1"/>
      </w:pPr>
      <w:r>
        <w:t>✅ ACTIONABLE RECOMMENDATIONS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BSSN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2025-08-22T15:18:37Z</dcterms:created>
  <dcterms:modified xsi:type="dcterms:W3CDTF">2013-12-23T23:15:00Z</dcterms:modified>
  <cp:category/>
</cp:coreProperties>
</file>