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22 August 2025, 14:43 WIB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1"/>
      </w:pPr>
      <w:r>
        <w:t>REQUIREMENTS TERPENUHI</w:t>
      </w:r>
    </w:p>
    <w:p>
      <w:r>
        <w:t>1. Dasar Hukum Pengumpulan Data - COMPLIANT ✓</w:t>
      </w:r>
    </w:p>
    <w:p>
      <w:r>
        <w:t>2. Hak Pengguna Atas Data - COMPLIANT ✓</w:t>
      </w:r>
    </w:p>
    <w:p>
      <w:r>
        <w:t>3. Lokasi Penyimpanan Data - COMPLIANT ✓</w:t>
      </w:r>
    </w:p>
    <w:p>
      <w:r>
        <w:t>4. Periode Retensi Data - COMPLIANT ✓</w:t>
      </w:r>
    </w:p>
    <w:p>
      <w:r>
        <w:t>5. Keamanan Data - COMPLIANT ✓</w:t>
      </w:r>
    </w:p>
    <w:p>
      <w:r>
        <w:t>6. Akses Dan Koreksi Data - COMPLIANT ✓</w:t>
      </w:r>
    </w:p>
    <w:p>
      <w:r>
        <w:t>7. Transfer Data Internasional - COMPLIANT ✓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