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374"/>
        <w:tblW w:w="0" w:type="auto"/>
        <w:tblLook w:val="04A0" w:firstRow="1" w:lastRow="0" w:firstColumn="1" w:lastColumn="0" w:noHBand="0" w:noVBand="1"/>
      </w:tblPr>
      <w:tblGrid>
        <w:gridCol w:w="3579"/>
        <w:gridCol w:w="2428"/>
        <w:gridCol w:w="3009"/>
      </w:tblGrid>
      <w:tr w:rsidR="00C45E46" w14:paraId="22AD93A2" w14:textId="77777777" w:rsidTr="00C45E46">
        <w:tc>
          <w:tcPr>
            <w:tcW w:w="9016" w:type="dxa"/>
            <w:gridSpan w:val="3"/>
          </w:tcPr>
          <w:p w14:paraId="75DA7B4B" w14:textId="77777777" w:rsidR="00C45E46" w:rsidRDefault="00C45E46" w:rsidP="00C45E46">
            <w:pPr>
              <w:rPr>
                <w:b/>
                <w:bCs/>
              </w:rPr>
            </w:pPr>
            <w:r w:rsidRPr="00D9794D">
              <w:rPr>
                <w:b/>
                <w:bCs/>
              </w:rPr>
              <w:t>MHC I Pathway</w:t>
            </w:r>
          </w:p>
          <w:p w14:paraId="2811A267" w14:textId="77777777" w:rsidR="00C45E46" w:rsidRDefault="00C45E46" w:rsidP="00C45E46">
            <w:pPr>
              <w:pStyle w:val="ListParagraph"/>
              <w:numPr>
                <w:ilvl w:val="0"/>
                <w:numId w:val="5"/>
              </w:numPr>
            </w:pPr>
            <w:r>
              <w:t>All nucleated cells</w:t>
            </w:r>
          </w:p>
          <w:p w14:paraId="480A8B7C" w14:textId="4775065F" w:rsidR="00C45E46" w:rsidRDefault="00C45E46" w:rsidP="00C45E46">
            <w:pPr>
              <w:pStyle w:val="ListParagraph"/>
              <w:numPr>
                <w:ilvl w:val="0"/>
                <w:numId w:val="5"/>
              </w:numPr>
            </w:pPr>
            <w:r>
              <w:t>8-10mers</w:t>
            </w:r>
            <w:r w:rsidR="005A2F98">
              <w:t xml:space="preserve"> (closed groove as bonds are made with C- &amp; N-termini hence less sensitive to AA sequences in core of oligomer)</w:t>
            </w:r>
            <w:r>
              <w:t>, &gt;95% self-peptides</w:t>
            </w:r>
            <w:r w:rsidR="00AD3F7C">
              <w:t xml:space="preserve"> (surveys interior)</w:t>
            </w:r>
          </w:p>
          <w:p w14:paraId="21A5D7F3" w14:textId="02C7CDE6" w:rsidR="00217A14" w:rsidRDefault="00217A14" w:rsidP="00C45E46">
            <w:pPr>
              <w:pStyle w:val="ListParagraph"/>
              <w:numPr>
                <w:ilvl w:val="0"/>
                <w:numId w:val="5"/>
              </w:numPr>
            </w:pPr>
            <w:r>
              <w:t>Conjugation in the endoplasmic reticulum</w:t>
            </w:r>
          </w:p>
          <w:p w14:paraId="4ADBBCB9" w14:textId="77777777" w:rsidR="00217A14" w:rsidRDefault="00217A14" w:rsidP="00C45E46">
            <w:pPr>
              <w:pStyle w:val="ListParagraph"/>
              <w:numPr>
                <w:ilvl w:val="0"/>
                <w:numId w:val="5"/>
              </w:numPr>
            </w:pPr>
            <w:proofErr w:type="spellStart"/>
            <w:r>
              <w:t>Tapasin</w:t>
            </w:r>
            <w:proofErr w:type="spellEnd"/>
            <w:r>
              <w:t xml:space="preserve"> transports high-affinity </w:t>
            </w:r>
            <w:proofErr w:type="spellStart"/>
            <w:r>
              <w:t>pMHC</w:t>
            </w:r>
            <w:proofErr w:type="spellEnd"/>
            <w:r>
              <w:t xml:space="preserve">-Is to cell </w:t>
            </w:r>
            <w:proofErr w:type="gramStart"/>
            <w:r>
              <w:t>surface</w:t>
            </w:r>
            <w:proofErr w:type="gramEnd"/>
          </w:p>
          <w:p w14:paraId="2D185B97" w14:textId="753C94FB" w:rsidR="004E3324" w:rsidRDefault="004E3324" w:rsidP="00C45E46">
            <w:pPr>
              <w:pStyle w:val="ListParagraph"/>
              <w:numPr>
                <w:ilvl w:val="0"/>
                <w:numId w:val="5"/>
              </w:numPr>
            </w:pPr>
            <w:r>
              <w:t>Immunogenicity prediction</w:t>
            </w:r>
          </w:p>
          <w:p w14:paraId="59B8D418" w14:textId="366D2386" w:rsidR="00947299" w:rsidRPr="00C45E46" w:rsidRDefault="00000000" w:rsidP="00947299">
            <w:pPr>
              <w:pStyle w:val="ListParagraph"/>
              <w:numPr>
                <w:ilvl w:val="1"/>
                <w:numId w:val="5"/>
              </w:numPr>
            </w:pPr>
            <w:hyperlink r:id="rId6" w:history="1">
              <w:r w:rsidR="00947299" w:rsidRPr="00947299">
                <w:rPr>
                  <w:rStyle w:val="Hyperlink"/>
                </w:rPr>
                <w:t>IEDB T-cell class I tool</w:t>
              </w:r>
            </w:hyperlink>
            <w:r w:rsidR="00947299">
              <w:t xml:space="preserve"> seems like the best </w:t>
            </w:r>
            <w:proofErr w:type="gramStart"/>
            <w:r w:rsidR="00947299">
              <w:t>option:</w:t>
            </w:r>
            <w:proofErr w:type="gramEnd"/>
            <w:r w:rsidR="00947299">
              <w:t xml:space="preserve"> integrates all steps + API</w:t>
            </w:r>
          </w:p>
        </w:tc>
      </w:tr>
      <w:tr w:rsidR="00C45E46" w14:paraId="47CEED7D" w14:textId="77777777" w:rsidTr="00C45E46">
        <w:tc>
          <w:tcPr>
            <w:tcW w:w="3579" w:type="dxa"/>
          </w:tcPr>
          <w:p w14:paraId="78056B71" w14:textId="77777777" w:rsidR="00C45E46" w:rsidRPr="00F5234D" w:rsidRDefault="00C45E46" w:rsidP="00C45E46">
            <w:pPr>
              <w:rPr>
                <w:b/>
                <w:bCs/>
              </w:rPr>
            </w:pPr>
            <w:r>
              <w:rPr>
                <w:b/>
                <w:bCs/>
              </w:rPr>
              <w:t>Domain (Input)</w:t>
            </w:r>
          </w:p>
        </w:tc>
        <w:tc>
          <w:tcPr>
            <w:tcW w:w="2428" w:type="dxa"/>
          </w:tcPr>
          <w:p w14:paraId="02F7B3BC" w14:textId="550F49AD" w:rsidR="00C45E46" w:rsidRPr="00F5234D" w:rsidRDefault="00C45E46" w:rsidP="00C45E46">
            <w:pPr>
              <w:rPr>
                <w:b/>
                <w:bCs/>
              </w:rPr>
            </w:pPr>
            <w:r>
              <w:rPr>
                <w:b/>
                <w:bCs/>
              </w:rPr>
              <w:t>Tool</w:t>
            </w:r>
            <w:r w:rsidR="00542C75">
              <w:rPr>
                <w:b/>
                <w:bCs/>
              </w:rPr>
              <w:t>/Resource</w:t>
            </w:r>
          </w:p>
        </w:tc>
        <w:tc>
          <w:tcPr>
            <w:tcW w:w="3009" w:type="dxa"/>
          </w:tcPr>
          <w:p w14:paraId="73B6D323" w14:textId="77777777" w:rsidR="00C45E46" w:rsidRPr="00F5234D" w:rsidRDefault="00C45E46" w:rsidP="00C45E46">
            <w:pPr>
              <w:rPr>
                <w:b/>
                <w:bCs/>
              </w:rPr>
            </w:pPr>
            <w:r w:rsidRPr="00F5234D">
              <w:rPr>
                <w:b/>
                <w:bCs/>
              </w:rPr>
              <w:t>Notes</w:t>
            </w:r>
          </w:p>
        </w:tc>
      </w:tr>
      <w:tr w:rsidR="00B57E86" w14:paraId="4354E6C4" w14:textId="77777777" w:rsidTr="00C45E46">
        <w:tc>
          <w:tcPr>
            <w:tcW w:w="3579" w:type="dxa"/>
            <w:vMerge w:val="restart"/>
          </w:tcPr>
          <w:p w14:paraId="6879A40F" w14:textId="77777777" w:rsidR="00B57E86" w:rsidRDefault="00B57E86" w:rsidP="00C45E46">
            <w:r>
              <w:t>Pathogen proteomes (n/a)</w:t>
            </w:r>
          </w:p>
        </w:tc>
        <w:tc>
          <w:tcPr>
            <w:tcW w:w="2428" w:type="dxa"/>
          </w:tcPr>
          <w:p w14:paraId="1D97B083" w14:textId="77777777" w:rsidR="00B57E86" w:rsidRDefault="00000000" w:rsidP="00C45E46">
            <w:hyperlink r:id="rId7" w:history="1">
              <w:proofErr w:type="spellStart"/>
              <w:r w:rsidR="00B57E86" w:rsidRPr="00634D8C">
                <w:rPr>
                  <w:rStyle w:val="Hyperlink"/>
                </w:rPr>
                <w:t>ViralZone</w:t>
              </w:r>
              <w:proofErr w:type="spellEnd"/>
            </w:hyperlink>
          </w:p>
        </w:tc>
        <w:tc>
          <w:tcPr>
            <w:tcW w:w="3009" w:type="dxa"/>
          </w:tcPr>
          <w:p w14:paraId="5F5B5BFE" w14:textId="77777777" w:rsidR="00B57E86" w:rsidRDefault="00B57E86" w:rsidP="00C45E46">
            <w:pPr>
              <w:pStyle w:val="ListParagraph"/>
              <w:numPr>
                <w:ilvl w:val="0"/>
                <w:numId w:val="1"/>
              </w:numPr>
            </w:pPr>
            <w:r>
              <w:t xml:space="preserve">Manually curated, links to </w:t>
            </w:r>
            <w:proofErr w:type="spellStart"/>
            <w:r>
              <w:t>fasta</w:t>
            </w:r>
            <w:proofErr w:type="spellEnd"/>
            <w:r>
              <w:t xml:space="preserve"> files on </w:t>
            </w:r>
            <w:proofErr w:type="spellStart"/>
            <w:r>
              <w:t>Uniprot</w:t>
            </w:r>
            <w:proofErr w:type="spellEnd"/>
            <w:r>
              <w:t xml:space="preserve"> which are annotated using experimental data (~4/5 scores)</w:t>
            </w:r>
          </w:p>
          <w:p w14:paraId="4EE50746" w14:textId="77777777" w:rsidR="00B57E86" w:rsidRDefault="00B57E86" w:rsidP="00C45E46">
            <w:pPr>
              <w:pStyle w:val="ListParagraph"/>
              <w:numPr>
                <w:ilvl w:val="0"/>
                <w:numId w:val="1"/>
              </w:numPr>
            </w:pPr>
            <w:r>
              <w:t>129 common human viruses including adenovirus, rotavirus, coxsackie etc</w:t>
            </w:r>
          </w:p>
        </w:tc>
      </w:tr>
      <w:tr w:rsidR="00B57E86" w14:paraId="307D462C" w14:textId="77777777" w:rsidTr="00C45E46">
        <w:tc>
          <w:tcPr>
            <w:tcW w:w="3579" w:type="dxa"/>
            <w:vMerge/>
          </w:tcPr>
          <w:p w14:paraId="2B25BAFB" w14:textId="77777777" w:rsidR="00B57E86" w:rsidRDefault="00B57E86" w:rsidP="00C45E46"/>
        </w:tc>
        <w:tc>
          <w:tcPr>
            <w:tcW w:w="2428" w:type="dxa"/>
          </w:tcPr>
          <w:p w14:paraId="6182F77D" w14:textId="77777777" w:rsidR="00B57E86" w:rsidRDefault="00B57E86" w:rsidP="00C45E46">
            <w:proofErr w:type="spellStart"/>
            <w:r>
              <w:t>RefSeq</w:t>
            </w:r>
            <w:proofErr w:type="spellEnd"/>
          </w:p>
        </w:tc>
        <w:tc>
          <w:tcPr>
            <w:tcW w:w="3009" w:type="dxa"/>
          </w:tcPr>
          <w:p w14:paraId="785D5B1C" w14:textId="77777777" w:rsidR="00B57E86" w:rsidRDefault="00B57E86" w:rsidP="00C45E46">
            <w:pPr>
              <w:pStyle w:val="ListParagraph"/>
              <w:numPr>
                <w:ilvl w:val="0"/>
                <w:numId w:val="1"/>
              </w:numPr>
            </w:pPr>
            <w:r>
              <w:t>52M viral proteins, variable evidence (</w:t>
            </w:r>
            <w:proofErr w:type="spellStart"/>
            <w:proofErr w:type="gramStart"/>
            <w:r>
              <w:t>eg</w:t>
            </w:r>
            <w:proofErr w:type="spellEnd"/>
            <w:proofErr w:type="gramEnd"/>
            <w:r>
              <w:t xml:space="preserve"> some hypothetical, predicted from other </w:t>
            </w:r>
            <w:proofErr w:type="spellStart"/>
            <w:r>
              <w:t>baltimore</w:t>
            </w:r>
            <w:proofErr w:type="spellEnd"/>
            <w:r>
              <w:t xml:space="preserve"> groups)</w:t>
            </w:r>
          </w:p>
        </w:tc>
      </w:tr>
      <w:tr w:rsidR="00B57E86" w14:paraId="5931BCEC" w14:textId="77777777" w:rsidTr="00C45E46">
        <w:tc>
          <w:tcPr>
            <w:tcW w:w="3579" w:type="dxa"/>
            <w:vMerge/>
          </w:tcPr>
          <w:p w14:paraId="5C752F19" w14:textId="77777777" w:rsidR="00B57E86" w:rsidRDefault="00B57E86" w:rsidP="00C45E46"/>
        </w:tc>
        <w:tc>
          <w:tcPr>
            <w:tcW w:w="2428" w:type="dxa"/>
          </w:tcPr>
          <w:p w14:paraId="169CCB9E" w14:textId="5290B2E9" w:rsidR="00B57E86" w:rsidRDefault="00B57E86" w:rsidP="00C45E46">
            <w:proofErr w:type="spellStart"/>
            <w:r>
              <w:t>Uniprot</w:t>
            </w:r>
            <w:proofErr w:type="spellEnd"/>
          </w:p>
        </w:tc>
        <w:tc>
          <w:tcPr>
            <w:tcW w:w="3009" w:type="dxa"/>
          </w:tcPr>
          <w:p w14:paraId="183C37B4" w14:textId="4160AE42" w:rsidR="00B57E86" w:rsidRDefault="00B57E86" w:rsidP="00C45E46">
            <w:pPr>
              <w:pStyle w:val="ListParagraph"/>
              <w:numPr>
                <w:ilvl w:val="0"/>
                <w:numId w:val="1"/>
              </w:numPr>
            </w:pPr>
            <w:r>
              <w:t>~110,000 viral proteins with evidence of existence at protein level</w:t>
            </w:r>
          </w:p>
        </w:tc>
      </w:tr>
      <w:tr w:rsidR="00A915B2" w14:paraId="4A632583" w14:textId="77777777" w:rsidTr="00C45E46">
        <w:tc>
          <w:tcPr>
            <w:tcW w:w="3579" w:type="dxa"/>
            <w:vMerge w:val="restart"/>
            <w:shd w:val="clear" w:color="auto" w:fill="auto"/>
          </w:tcPr>
          <w:p w14:paraId="59637801" w14:textId="77777777" w:rsidR="00A915B2" w:rsidRDefault="00A915B2" w:rsidP="00C45E46">
            <w:proofErr w:type="spellStart"/>
            <w:r>
              <w:t>I</w:t>
            </w:r>
            <w:r w:rsidRPr="00D9794D">
              <w:t>mmunoproteosome</w:t>
            </w:r>
            <w:proofErr w:type="spellEnd"/>
            <w:r w:rsidRPr="00D9794D">
              <w:t xml:space="preserve"> cleavage prediction </w:t>
            </w:r>
            <w:r>
              <w:t>(foreign proteomes)</w:t>
            </w:r>
          </w:p>
          <w:p w14:paraId="50F9C958" w14:textId="25D897DF" w:rsidR="00A915B2" w:rsidRPr="00D9794D" w:rsidRDefault="00A915B2" w:rsidP="00926E61">
            <w:pPr>
              <w:pStyle w:val="ListParagraph"/>
              <w:numPr>
                <w:ilvl w:val="0"/>
                <w:numId w:val="1"/>
              </w:numPr>
            </w:pPr>
            <w:r>
              <w:t>Unlike ER, cleaves AAs at C-terminus</w:t>
            </w:r>
          </w:p>
        </w:tc>
        <w:tc>
          <w:tcPr>
            <w:tcW w:w="2428" w:type="dxa"/>
            <w:shd w:val="clear" w:color="auto" w:fill="auto"/>
          </w:tcPr>
          <w:p w14:paraId="19AE1A20" w14:textId="15B25E49" w:rsidR="00A915B2" w:rsidRPr="00D9794D" w:rsidRDefault="00000000" w:rsidP="00C45E46">
            <w:hyperlink r:id="rId8" w:history="1">
              <w:proofErr w:type="spellStart"/>
              <w:r w:rsidR="00A915B2" w:rsidRPr="00D9794D">
                <w:rPr>
                  <w:rStyle w:val="Hyperlink"/>
                </w:rPr>
                <w:t>NetChop</w:t>
              </w:r>
              <w:proofErr w:type="spellEnd"/>
              <w:r w:rsidR="00A915B2" w:rsidRPr="00D9794D">
                <w:rPr>
                  <w:rStyle w:val="Hyperlink"/>
                </w:rPr>
                <w:t xml:space="preserve"> – 3.1</w:t>
              </w:r>
            </w:hyperlink>
            <w:r w:rsidR="00A915B2" w:rsidRPr="00D9794D">
              <w:t xml:space="preserve">. </w:t>
            </w:r>
            <w:r w:rsidR="00A915B2">
              <w:t xml:space="preserve">no API, runs locally as a </w:t>
            </w:r>
            <w:proofErr w:type="spellStart"/>
            <w:r w:rsidR="00A915B2">
              <w:t>linux</w:t>
            </w:r>
            <w:proofErr w:type="spellEnd"/>
            <w:r w:rsidR="00A915B2">
              <w:t xml:space="preserve"> program (need to use BASH)</w:t>
            </w:r>
            <w:r w:rsidR="00C9636B">
              <w:t xml:space="preserve">. </w:t>
            </w:r>
            <w:r w:rsidR="00C9636B" w:rsidRPr="00C9636B">
              <w:rPr>
                <w:u w:val="single"/>
              </w:rPr>
              <w:t>IEDB-</w:t>
            </w:r>
            <w:proofErr w:type="gramStart"/>
            <w:r w:rsidR="00C9636B" w:rsidRPr="00C9636B">
              <w:rPr>
                <w:u w:val="single"/>
              </w:rPr>
              <w:t>recommended</w:t>
            </w:r>
            <w:proofErr w:type="gramEnd"/>
          </w:p>
          <w:p w14:paraId="472CF958" w14:textId="77777777" w:rsidR="00A915B2" w:rsidRPr="00D9794D" w:rsidRDefault="00A915B2" w:rsidP="00C45E46"/>
        </w:tc>
        <w:tc>
          <w:tcPr>
            <w:tcW w:w="3009" w:type="dxa"/>
            <w:shd w:val="clear" w:color="auto" w:fill="auto"/>
          </w:tcPr>
          <w:p w14:paraId="6867F59D" w14:textId="7D18E3FC" w:rsidR="006E51F2" w:rsidRDefault="006E51F2" w:rsidP="00C45E46">
            <w:pPr>
              <w:pStyle w:val="ListParagraph"/>
              <w:numPr>
                <w:ilvl w:val="0"/>
                <w:numId w:val="1"/>
              </w:numPr>
            </w:pPr>
            <w:proofErr w:type="spellStart"/>
            <w:r w:rsidRPr="006E51F2">
              <w:t>NetChop</w:t>
            </w:r>
            <w:proofErr w:type="spellEnd"/>
            <w:r w:rsidRPr="006E51F2">
              <w:t xml:space="preserve"> is a predictor of proteasomal processing based upon a neural network. </w:t>
            </w:r>
            <w:proofErr w:type="spellStart"/>
            <w:r w:rsidRPr="006E51F2">
              <w:t>NetCTL</w:t>
            </w:r>
            <w:proofErr w:type="spellEnd"/>
            <w:r w:rsidRPr="006E51F2">
              <w:t xml:space="preserve"> is a predictor of T cell epitopes along a protein sequence. It also employs a neural network architecture. </w:t>
            </w:r>
            <w:proofErr w:type="spellStart"/>
            <w:r w:rsidRPr="006E51F2">
              <w:t>NetCTLpan</w:t>
            </w:r>
            <w:proofErr w:type="spellEnd"/>
            <w:r w:rsidRPr="006E51F2">
              <w:t xml:space="preserve"> is an update to the original </w:t>
            </w:r>
            <w:proofErr w:type="spellStart"/>
            <w:r w:rsidRPr="006E51F2">
              <w:t>NetCTL</w:t>
            </w:r>
            <w:proofErr w:type="spellEnd"/>
            <w:r w:rsidRPr="006E51F2">
              <w:t xml:space="preserve"> server that allows for prediction of CTL epitope with restriction to any MHC molecules of known protein sequence.</w:t>
            </w:r>
          </w:p>
          <w:p w14:paraId="236675E5" w14:textId="361F435C" w:rsidR="00A915B2" w:rsidRDefault="00A915B2" w:rsidP="00C45E46">
            <w:pPr>
              <w:pStyle w:val="ListParagraph"/>
              <w:numPr>
                <w:ilvl w:val="0"/>
                <w:numId w:val="1"/>
              </w:numPr>
            </w:pPr>
            <w:r w:rsidRPr="00D9794D">
              <w:t xml:space="preserve">each AA given binary indicator of </w:t>
            </w:r>
            <w:proofErr w:type="gramStart"/>
            <w:r w:rsidRPr="00D9794D">
              <w:t>whether or not</w:t>
            </w:r>
            <w:proofErr w:type="gramEnd"/>
            <w:r w:rsidRPr="00D9794D">
              <w:t xml:space="preserve"> cleavage occurs immediately afterward (based on user-determined threshold</w:t>
            </w:r>
            <w:r>
              <w:t xml:space="preserve">, </w:t>
            </w:r>
            <w:r>
              <w:lastRenderedPageBreak/>
              <w:t>default = 0.5, increasing this increases specificity and decreases sensitivity</w:t>
            </w:r>
            <w:r w:rsidRPr="00D9794D">
              <w:t>)</w:t>
            </w:r>
          </w:p>
          <w:p w14:paraId="2CC58C43" w14:textId="75EB3121" w:rsidR="00A915B2" w:rsidRDefault="00A915B2" w:rsidP="00C45E46">
            <w:pPr>
              <w:pStyle w:val="ListParagraph"/>
              <w:numPr>
                <w:ilvl w:val="0"/>
                <w:numId w:val="1"/>
              </w:numPr>
            </w:pPr>
            <w:r>
              <w:t xml:space="preserve">Does not model PCPS but spliced peptides minimally increase the </w:t>
            </w:r>
            <w:proofErr w:type="spellStart"/>
            <w:r>
              <w:t>immunoproteome</w:t>
            </w:r>
            <w:proofErr w:type="spellEnd"/>
            <w:r>
              <w:t xml:space="preserve"> (&lt;5%)</w:t>
            </w:r>
          </w:p>
          <w:p w14:paraId="31A2B76A" w14:textId="7FAB76A0" w:rsidR="006E51F2" w:rsidRPr="00D9794D" w:rsidRDefault="006E51F2" w:rsidP="006E51F2">
            <w:pPr>
              <w:pStyle w:val="ListParagraph"/>
              <w:numPr>
                <w:ilvl w:val="0"/>
                <w:numId w:val="1"/>
              </w:numPr>
            </w:pPr>
            <w:r>
              <w:t xml:space="preserve">The </w:t>
            </w:r>
            <w:proofErr w:type="spellStart"/>
            <w:r>
              <w:t>Netchop</w:t>
            </w:r>
            <w:proofErr w:type="spellEnd"/>
            <w:r>
              <w:t xml:space="preserve"> 3.0 version has two different network methods that can be used for prediction. C-term 3.0 and 20S 3.0. C-term 3.0 network is trained with a database consisting of 1260 publicly available MHC class I ligands (using only C-terminal cleavage site of the ligands). 20S network is trained with in vitro degradation data published in Toes, et al. and Emmerich et al. C-term 3.0 network performs best in predicting the boundaries of CTL epitopes.</w:t>
            </w:r>
          </w:p>
        </w:tc>
      </w:tr>
      <w:tr w:rsidR="00A915B2" w14:paraId="0047662C" w14:textId="77777777" w:rsidTr="00C45E46">
        <w:tc>
          <w:tcPr>
            <w:tcW w:w="3579" w:type="dxa"/>
            <w:vMerge/>
            <w:shd w:val="clear" w:color="auto" w:fill="auto"/>
          </w:tcPr>
          <w:p w14:paraId="58A301C8" w14:textId="77777777" w:rsidR="00A915B2" w:rsidRDefault="00A915B2" w:rsidP="00C45E46"/>
        </w:tc>
        <w:tc>
          <w:tcPr>
            <w:tcW w:w="2428" w:type="dxa"/>
            <w:shd w:val="clear" w:color="auto" w:fill="auto"/>
          </w:tcPr>
          <w:p w14:paraId="008844C7" w14:textId="041911D7" w:rsidR="00A915B2" w:rsidRPr="00D9794D" w:rsidRDefault="00000000" w:rsidP="00C45E46">
            <w:hyperlink r:id="rId9" w:history="1">
              <w:proofErr w:type="spellStart"/>
              <w:r w:rsidR="00395931">
                <w:rPr>
                  <w:rStyle w:val="Hyperlink"/>
                </w:rPr>
                <w:t>iP</w:t>
              </w:r>
              <w:r w:rsidR="00A915B2" w:rsidRPr="00D9794D">
                <w:rPr>
                  <w:rStyle w:val="Hyperlink"/>
                </w:rPr>
                <w:t>CPS</w:t>
              </w:r>
              <w:proofErr w:type="spellEnd"/>
            </w:hyperlink>
            <w:r w:rsidR="00A915B2" w:rsidRPr="00D9794D">
              <w:t>. (</w:t>
            </w:r>
            <w:proofErr w:type="gramStart"/>
            <w:r w:rsidR="00A915B2" w:rsidRPr="00D9794D">
              <w:t>webserver</w:t>
            </w:r>
            <w:proofErr w:type="gramEnd"/>
            <w:r w:rsidR="00A915B2" w:rsidRPr="00D9794D">
              <w:t xml:space="preserve"> only)</w:t>
            </w:r>
          </w:p>
          <w:p w14:paraId="06C34815" w14:textId="77777777" w:rsidR="00A915B2" w:rsidRPr="00D9794D" w:rsidRDefault="00A915B2" w:rsidP="00C45E46"/>
        </w:tc>
        <w:tc>
          <w:tcPr>
            <w:tcW w:w="3009" w:type="dxa"/>
            <w:shd w:val="clear" w:color="auto" w:fill="auto"/>
          </w:tcPr>
          <w:p w14:paraId="4592DE7D" w14:textId="77777777" w:rsidR="00A915B2" w:rsidRDefault="00A915B2" w:rsidP="00CD24AA">
            <w:pPr>
              <w:pStyle w:val="ListParagraph"/>
              <w:numPr>
                <w:ilvl w:val="0"/>
                <w:numId w:val="7"/>
              </w:numPr>
            </w:pPr>
            <w:r w:rsidRPr="00D9794D">
              <w:t xml:space="preserve">each AA given binary indicator of </w:t>
            </w:r>
            <w:proofErr w:type="gramStart"/>
            <w:r w:rsidRPr="00D9794D">
              <w:t>whether or not</w:t>
            </w:r>
            <w:proofErr w:type="gramEnd"/>
            <w:r w:rsidRPr="00D9794D">
              <w:t xml:space="preserve"> cleavage occurs immediately afterward (based on user-determined threshold)</w:t>
            </w:r>
          </w:p>
          <w:p w14:paraId="79301B43" w14:textId="57F06D6E" w:rsidR="00A915B2" w:rsidRDefault="00A915B2" w:rsidP="00CD24AA">
            <w:pPr>
              <w:pStyle w:val="ListParagraph"/>
              <w:numPr>
                <w:ilvl w:val="0"/>
                <w:numId w:val="7"/>
              </w:numPr>
            </w:pPr>
            <w:r>
              <w:t xml:space="preserve">Does not model PCPS but spliced peptides minimally increase the </w:t>
            </w:r>
            <w:proofErr w:type="spellStart"/>
            <w:r>
              <w:t>immunoproteome</w:t>
            </w:r>
            <w:proofErr w:type="spellEnd"/>
            <w:r>
              <w:t xml:space="preserve"> (&lt;5%)</w:t>
            </w:r>
          </w:p>
          <w:p w14:paraId="367CFA07" w14:textId="77777777" w:rsidR="00A915B2" w:rsidRDefault="00A915B2" w:rsidP="00CD24AA">
            <w:pPr>
              <w:pStyle w:val="ListParagraph"/>
              <w:numPr>
                <w:ilvl w:val="0"/>
                <w:numId w:val="7"/>
              </w:numPr>
            </w:pPr>
            <w:r>
              <w:t xml:space="preserve">immunoproteasome trained on </w:t>
            </w:r>
            <w:r w:rsidRPr="00CD24AA">
              <w:t>553 CD8 T cell epitopes and their flanking regions</w:t>
            </w:r>
            <w:r>
              <w:t>. Three models respectively based on training sets of 12, 8, 6 -</w:t>
            </w:r>
            <w:proofErr w:type="spellStart"/>
            <w:r>
              <w:t>meric</w:t>
            </w:r>
            <w:proofErr w:type="spellEnd"/>
            <w:r>
              <w:t xml:space="preserve"> </w:t>
            </w:r>
            <w:r>
              <w:lastRenderedPageBreak/>
              <w:t xml:space="preserve">oligopeptides, models se=90,91,76%, </w:t>
            </w:r>
            <w:proofErr w:type="spellStart"/>
            <w:r>
              <w:t>sp</w:t>
            </w:r>
            <w:proofErr w:type="spellEnd"/>
            <w:r>
              <w:t>=41,54,71%</w:t>
            </w:r>
          </w:p>
          <w:p w14:paraId="0CB1138B" w14:textId="69FE2390" w:rsidR="00A915B2" w:rsidRPr="00D9794D" w:rsidRDefault="00A915B2" w:rsidP="00CD24AA">
            <w:pPr>
              <w:pStyle w:val="ListParagraph"/>
              <w:numPr>
                <w:ilvl w:val="0"/>
                <w:numId w:val="7"/>
              </w:numPr>
            </w:pPr>
            <w:r w:rsidRPr="00B935DC">
              <w:t xml:space="preserve">844 unique </w:t>
            </w:r>
            <w:proofErr w:type="gramStart"/>
            <w:r w:rsidRPr="00B935DC">
              <w:t>virus-specific</w:t>
            </w:r>
            <w:proofErr w:type="gramEnd"/>
            <w:r w:rsidRPr="00B935DC">
              <w:t xml:space="preserve"> CD8+ T cell epitopes and their source proteins</w:t>
            </w:r>
            <w:r>
              <w:t xml:space="preserve"> from IEDB: </w:t>
            </w:r>
            <w:r w:rsidRPr="00B935DC">
              <w:t xml:space="preserve">PCPS was clearly superior to </w:t>
            </w:r>
            <w:proofErr w:type="spellStart"/>
            <w:r w:rsidRPr="00B935DC">
              <w:t>NetChop</w:t>
            </w:r>
            <w:proofErr w:type="spellEnd"/>
            <w:r w:rsidRPr="00B935DC">
              <w:t xml:space="preserve"> in term of sensitivity (0.89 vs. 0.79) but somewhat inferior with regard to specificity (0.55 vs. 0.60). Judging by the Mathew’s Correlation Coefficient, PCPS predictions were overall superior to those provided by </w:t>
            </w:r>
            <w:proofErr w:type="spellStart"/>
            <w:r w:rsidRPr="00B935DC">
              <w:t>NetChop</w:t>
            </w:r>
            <w:proofErr w:type="spellEnd"/>
            <w:r w:rsidRPr="00B935DC">
              <w:t xml:space="preserve"> (0.46 vs. 0.39). </w:t>
            </w:r>
            <w:r>
              <w:t>W</w:t>
            </w:r>
            <w:r w:rsidRPr="00B935DC">
              <w:t>e tuned the PCPS web server to predict CD8+ T cell epitopes and predicted the entire SARS-CoV-2 epitope space</w:t>
            </w:r>
            <w:r>
              <w:fldChar w:fldCharType="begin"/>
            </w:r>
            <w:r>
              <w:instrText xml:space="preserve"> ADDIN ZOTERO_ITEM CSL_CITATION {"citationID":"xncvKrUO","properties":{"formattedCitation":"\\super 1\\nosupersub{}","plainCitation":"1","noteIndex":0},"citationItems":[{"id":1345,"uris":["http://zotero.org/users/local/VNX8NcXN/items/DEAHKVEN"],"itemData":{"id":1345,"type":"article-journal","abstract":"We previously introduced PCPS (Proteasome Cleavage Prediction Server), a web-based tool to predict proteasome cleavage sites using n-grams. Here, we evaluated the ability of PCPS immunoproteasome cleavage model to discriminate CD8+ T cell epitopes.","container-title":"BMC Bioinformatics","DOI":"10.1186/s12859-020-03782-1","ISSN":"1471-2105","issue":"17","journalAbbreviation":"BMC Bioinformatics","page":"484","source":"BioMed Central","title":"Identification of CD8+ T cell epitopes through proteasome cleavage site predictions","volume":"21","author":[{"family":"Gomez-Perosanz","given":"Marta"},{"family":"Ras-Carmona","given":"Alvaro"},{"family":"Lafuente","given":"Esther M."},{"family":"Reche","given":"Pedro A."}],"issued":{"date-parts":[["2020",12,14]]}}}],"schema":"https://github.com/citation-style-language/schema/raw/master/csl-citation.json"} </w:instrText>
            </w:r>
            <w:r>
              <w:fldChar w:fldCharType="separate"/>
            </w:r>
            <w:r w:rsidRPr="00B935DC">
              <w:rPr>
                <w:rFonts w:ascii="Calibri" w:hAnsi="Calibri" w:cs="Calibri"/>
                <w:kern w:val="0"/>
                <w:szCs w:val="24"/>
                <w:vertAlign w:val="superscript"/>
              </w:rPr>
              <w:t>1</w:t>
            </w:r>
            <w:r>
              <w:fldChar w:fldCharType="end"/>
            </w:r>
            <w:r w:rsidRPr="00B935DC">
              <w:t>.</w:t>
            </w:r>
          </w:p>
        </w:tc>
      </w:tr>
      <w:tr w:rsidR="00A915B2" w14:paraId="1A93E94A" w14:textId="77777777" w:rsidTr="00C45E46">
        <w:tc>
          <w:tcPr>
            <w:tcW w:w="3579" w:type="dxa"/>
            <w:vMerge/>
            <w:shd w:val="clear" w:color="auto" w:fill="auto"/>
          </w:tcPr>
          <w:p w14:paraId="595A0CA1" w14:textId="77777777" w:rsidR="00A915B2" w:rsidRDefault="00A915B2" w:rsidP="00C45E46"/>
        </w:tc>
        <w:tc>
          <w:tcPr>
            <w:tcW w:w="2428" w:type="dxa"/>
            <w:shd w:val="clear" w:color="auto" w:fill="auto"/>
          </w:tcPr>
          <w:p w14:paraId="6EA350A1" w14:textId="7924F4E3" w:rsidR="00A915B2" w:rsidRDefault="00000000" w:rsidP="00C45E46">
            <w:hyperlink r:id="rId10" w:history="1">
              <w:proofErr w:type="spellStart"/>
              <w:r w:rsidR="00A915B2" w:rsidRPr="00A915B2">
                <w:rPr>
                  <w:rStyle w:val="Hyperlink"/>
                </w:rPr>
                <w:t>PCleavage</w:t>
              </w:r>
              <w:proofErr w:type="spellEnd"/>
            </w:hyperlink>
            <w:r w:rsidR="00C9636B">
              <w:t xml:space="preserve"> </w:t>
            </w:r>
          </w:p>
        </w:tc>
        <w:tc>
          <w:tcPr>
            <w:tcW w:w="3009" w:type="dxa"/>
            <w:shd w:val="clear" w:color="auto" w:fill="auto"/>
          </w:tcPr>
          <w:p w14:paraId="0A593005" w14:textId="35A8437F" w:rsidR="00A915B2" w:rsidRPr="00D9794D" w:rsidRDefault="00A915B2" w:rsidP="00CD24AA">
            <w:pPr>
              <w:pStyle w:val="ListParagraph"/>
              <w:numPr>
                <w:ilvl w:val="0"/>
                <w:numId w:val="7"/>
              </w:numPr>
            </w:pPr>
            <w:r>
              <w:t xml:space="preserve">ROC AUC for </w:t>
            </w:r>
            <w:proofErr w:type="spellStart"/>
            <w:r>
              <w:t>NetChop</w:t>
            </w:r>
            <w:proofErr w:type="spellEnd"/>
            <w:r>
              <w:t xml:space="preserve"> &gt; </w:t>
            </w:r>
            <w:proofErr w:type="spellStart"/>
            <w:r>
              <w:t>Pcleavage</w:t>
            </w:r>
            <w:proofErr w:type="spellEnd"/>
            <w:r w:rsidR="00385369">
              <w:t xml:space="preserve">, MCC </w:t>
            </w:r>
            <w:r w:rsidR="00385369" w:rsidRPr="00385369">
              <w:t>0.54 and 0.43 on in vitro and major histocompatibility complex ligand data</w:t>
            </w:r>
          </w:p>
        </w:tc>
      </w:tr>
      <w:tr w:rsidR="00C9636B" w14:paraId="764029DD" w14:textId="77777777" w:rsidTr="00C45E46">
        <w:tc>
          <w:tcPr>
            <w:tcW w:w="3579" w:type="dxa"/>
            <w:vMerge w:val="restart"/>
          </w:tcPr>
          <w:p w14:paraId="4E275753" w14:textId="4184E37B" w:rsidR="00C9636B" w:rsidRDefault="00C9636B" w:rsidP="00C45E46">
            <w:r>
              <w:t>input into MHC class I molecule epitope binding prediction model/database</w:t>
            </w:r>
            <w:r w:rsidR="001446EC">
              <w:t xml:space="preserve"> (oligopeptides)</w:t>
            </w:r>
          </w:p>
          <w:p w14:paraId="564DE93A" w14:textId="47AF2881" w:rsidR="00C9636B" w:rsidRDefault="00C9636B" w:rsidP="00C45E46">
            <w:pPr>
              <w:pStyle w:val="ListParagraph"/>
              <w:numPr>
                <w:ilvl w:val="0"/>
                <w:numId w:val="4"/>
              </w:numPr>
            </w:pPr>
            <w:r>
              <w:t>Initially HLA-allele agnostic</w:t>
            </w:r>
          </w:p>
        </w:tc>
        <w:tc>
          <w:tcPr>
            <w:tcW w:w="2428" w:type="dxa"/>
          </w:tcPr>
          <w:p w14:paraId="7DF70E13" w14:textId="1C258007" w:rsidR="00C9636B" w:rsidRDefault="00000000" w:rsidP="004A60E5">
            <w:hyperlink r:id="rId11" w:history="1">
              <w:proofErr w:type="spellStart"/>
              <w:r w:rsidR="00C9636B" w:rsidRPr="00C9636B">
                <w:rPr>
                  <w:rStyle w:val="Hyperlink"/>
                </w:rPr>
                <w:t>NetMHCpan</w:t>
              </w:r>
              <w:proofErr w:type="spellEnd"/>
              <w:r w:rsidR="00D51BED">
                <w:rPr>
                  <w:rStyle w:val="Hyperlink"/>
                </w:rPr>
                <w:t xml:space="preserve"> EL</w:t>
              </w:r>
              <w:r w:rsidR="00C9636B" w:rsidRPr="00C9636B">
                <w:rPr>
                  <w:rStyle w:val="Hyperlink"/>
                </w:rPr>
                <w:t xml:space="preserve"> - 4.1</w:t>
              </w:r>
            </w:hyperlink>
            <w:r w:rsidR="004A60E5">
              <w:t xml:space="preserve"> IEDB recommended</w:t>
            </w:r>
          </w:p>
        </w:tc>
        <w:tc>
          <w:tcPr>
            <w:tcW w:w="3009" w:type="dxa"/>
          </w:tcPr>
          <w:p w14:paraId="09E3FB3F" w14:textId="66768B5D" w:rsidR="00C9636B" w:rsidRDefault="00C9636B" w:rsidP="00A05500">
            <w:pPr>
              <w:pStyle w:val="ListParagraph"/>
              <w:numPr>
                <w:ilvl w:val="0"/>
                <w:numId w:val="1"/>
              </w:numPr>
            </w:pPr>
            <w:r>
              <w:t xml:space="preserve">parameters: input </w:t>
            </w:r>
            <w:proofErr w:type="gramStart"/>
            <w:r>
              <w:t>*.</w:t>
            </w:r>
            <w:proofErr w:type="spellStart"/>
            <w:r>
              <w:t>fasta</w:t>
            </w:r>
            <w:proofErr w:type="spellEnd"/>
            <w:proofErr w:type="gramEnd"/>
            <w:r>
              <w:t>, peptide length, HLA alleles (</w:t>
            </w:r>
            <w:r w:rsidR="00A05500">
              <w:t>A, B, C, or HLA supertype</w:t>
            </w:r>
            <w:r>
              <w:t>), can set a threshold value to filter outputs</w:t>
            </w:r>
          </w:p>
          <w:p w14:paraId="77EC4B2E" w14:textId="77777777" w:rsidR="001C5A8B" w:rsidRDefault="00A05500" w:rsidP="001C5A8B">
            <w:pPr>
              <w:pStyle w:val="ListParagraph"/>
              <w:numPr>
                <w:ilvl w:val="0"/>
                <w:numId w:val="1"/>
              </w:numPr>
            </w:pPr>
            <w:r>
              <w:t>Affinity given as IC</w:t>
            </w:r>
            <w:r w:rsidRPr="00C9636B">
              <w:rPr>
                <w:vertAlign w:val="subscript"/>
              </w:rPr>
              <w:t>50</w:t>
            </w:r>
            <w:r>
              <w:t xml:space="preserve"> (in </w:t>
            </w:r>
            <w:proofErr w:type="spellStart"/>
            <w:r>
              <w:t>nM</w:t>
            </w:r>
            <w:proofErr w:type="spellEnd"/>
            <w:r>
              <w:t xml:space="preserve">) value for each 9mer, sequentially progressing the reading frame by 1AA. this is done for each user-determined HLA </w:t>
            </w:r>
            <w:proofErr w:type="gramStart"/>
            <w:r>
              <w:t>allele</w:t>
            </w:r>
            <w:proofErr w:type="gramEnd"/>
          </w:p>
          <w:p w14:paraId="16091A3C" w14:textId="3AD05E7D" w:rsidR="001C5A8B" w:rsidRDefault="001C5A8B" w:rsidP="001C5A8B">
            <w:pPr>
              <w:pStyle w:val="ListParagraph"/>
              <w:numPr>
                <w:ilvl w:val="0"/>
                <w:numId w:val="1"/>
              </w:numPr>
            </w:pPr>
            <w:r>
              <w:t>Training data</w:t>
            </w:r>
            <w:r w:rsidRPr="001C5A8B">
              <w:t xml:space="preserve">set had 85,217 entries in total, with ligand length ranging from 8 to 15 </w:t>
            </w:r>
            <w:r w:rsidRPr="001C5A8B">
              <w:lastRenderedPageBreak/>
              <w:t xml:space="preserve">aa. The ligands originated from 14,797 source </w:t>
            </w:r>
            <w:proofErr w:type="spellStart"/>
            <w:r w:rsidRPr="001C5A8B">
              <w:t>Ags</w:t>
            </w:r>
            <w:proofErr w:type="spellEnd"/>
            <w:r w:rsidRPr="001C5A8B">
              <w:t xml:space="preserve"> and were restricted by 55 unique HLA molecules</w:t>
            </w:r>
            <w:r>
              <w:fldChar w:fldCharType="begin"/>
            </w:r>
            <w:r>
              <w:instrText xml:space="preserve"> ADDIN ZOTERO_ITEM CSL_CITATION {"citationID":"AB2epMRj","properties":{"formattedCitation":"\\super 2\\nosupersub{}","plainCitation":"2","noteIndex":0},"citationItems":[{"id":1350,"uris":["http://zotero.org/users/local/VNX8NcXN/items/UEM26GBE"],"itemData":{"id":1350,"type":"article-journal","abstract":"Cytotoxic T cells are of central importance in the immune system’s response to disease. They recognize defective cells by binding to peptides presented on the cell surface by MHC class I molecules. Peptide binding to MHC molecules is the single most selective step in the Ag-presentation pathway. Therefore, in the quest for T cell epitopes, the prediction of peptide binding to MHC molecules has attracted widespread attention. In the past, predictors of peptide–MHC interactions have primarily been trained on binding affinity data. Recently, an increasing number of MHC-presented peptides identified by mass spectrometry have been reported containing information about peptide-processing steps in the presentation pathway and the length distribution of naturally presented peptides. In this article, we present NetMHCpan-4.0, a method trained on binding affinity and eluted ligand data leveraging the information from both data types. Large-scale benchmarking of the method demonstrates an increase in predictive performance compared with state-of-the-art methods when it comes to identification of naturally processed ligands, cancer neoantigens, and T cell epitopes.","container-title":"The Journal of Immunology","DOI":"10.4049/jimmunol.1700893","ISSN":"0022-1767","issue":"9","journalAbbreviation":"The Journal of Immunology","page":"3360-3368","source":"Silverchair","title":"NetMHCpan-4.0: Improved Peptide–MHC Class I Interaction Predictions Integrating Eluted Ligand and Peptide Binding Affinity Data","title-short":"NetMHCpan-4.0","volume":"199","author":[{"family":"Jurtz","given":"Vanessa"},{"family":"Paul","given":"Sinu"},{"family":"Andreatta","given":"Massimo"},{"family":"Marcatili","given":"Paolo"},{"family":"Peters","given":"Bjoern"},{"family":"Nielsen","given":"Morten"}],"issued":{"date-parts":[["2017",11,1]]}}}],"schema":"https://github.com/citation-style-language/schema/raw/master/csl-citation.json"} </w:instrText>
            </w:r>
            <w:r>
              <w:fldChar w:fldCharType="separate"/>
            </w:r>
            <w:r w:rsidRPr="001C5A8B">
              <w:rPr>
                <w:rFonts w:ascii="Calibri" w:hAnsi="Calibri" w:cs="Calibri"/>
                <w:kern w:val="0"/>
                <w:szCs w:val="24"/>
                <w:vertAlign w:val="superscript"/>
              </w:rPr>
              <w:t>2</w:t>
            </w:r>
            <w:r>
              <w:fldChar w:fldCharType="end"/>
            </w:r>
          </w:p>
        </w:tc>
      </w:tr>
      <w:tr w:rsidR="00D51BED" w14:paraId="1C76F3D5" w14:textId="77777777" w:rsidTr="00C45E46">
        <w:tc>
          <w:tcPr>
            <w:tcW w:w="3579" w:type="dxa"/>
            <w:vMerge/>
          </w:tcPr>
          <w:p w14:paraId="027288F9" w14:textId="77777777" w:rsidR="00D51BED" w:rsidRDefault="00D51BED" w:rsidP="00C45E46"/>
        </w:tc>
        <w:tc>
          <w:tcPr>
            <w:tcW w:w="2428" w:type="dxa"/>
          </w:tcPr>
          <w:p w14:paraId="7EFD755F" w14:textId="2D44E8AC" w:rsidR="00D51BED" w:rsidRDefault="00D51BED" w:rsidP="004A60E5">
            <w:proofErr w:type="spellStart"/>
            <w:r>
              <w:t>NetMHCpan</w:t>
            </w:r>
            <w:proofErr w:type="spellEnd"/>
            <w:r>
              <w:t xml:space="preserve"> BA 4.1</w:t>
            </w:r>
          </w:p>
        </w:tc>
        <w:tc>
          <w:tcPr>
            <w:tcW w:w="3009" w:type="dxa"/>
          </w:tcPr>
          <w:p w14:paraId="5C8CB134" w14:textId="190B42B5" w:rsidR="00D51BED" w:rsidRDefault="00D51BED" w:rsidP="00A05500">
            <w:pPr>
              <w:pStyle w:val="ListParagraph"/>
              <w:numPr>
                <w:ilvl w:val="0"/>
                <w:numId w:val="1"/>
              </w:numPr>
            </w:pPr>
            <w:r>
              <w:t>Trained using BA only, not MS</w:t>
            </w:r>
          </w:p>
        </w:tc>
      </w:tr>
      <w:tr w:rsidR="00C9636B" w14:paraId="683A2185" w14:textId="77777777" w:rsidTr="00C45E46">
        <w:tc>
          <w:tcPr>
            <w:tcW w:w="3579" w:type="dxa"/>
            <w:vMerge/>
          </w:tcPr>
          <w:p w14:paraId="6E360E93" w14:textId="77777777" w:rsidR="00C9636B" w:rsidRDefault="00C9636B" w:rsidP="00C45E46"/>
        </w:tc>
        <w:tc>
          <w:tcPr>
            <w:tcW w:w="2428" w:type="dxa"/>
          </w:tcPr>
          <w:p w14:paraId="2ADA0016" w14:textId="727B6374" w:rsidR="00C9636B" w:rsidRDefault="00000000" w:rsidP="00C45E46">
            <w:hyperlink r:id="rId12" w:history="1">
              <w:proofErr w:type="spellStart"/>
              <w:r w:rsidR="00C9636B" w:rsidRPr="00634D8C">
                <w:rPr>
                  <w:rStyle w:val="Hyperlink"/>
                </w:rPr>
                <w:t>ViPR</w:t>
              </w:r>
              <w:proofErr w:type="spellEnd"/>
            </w:hyperlink>
            <w:r w:rsidR="00C9636B">
              <w:t>: predicted/confirmed BCR/TCR epitopes. Both viruses and bacteria, continually maintained.</w:t>
            </w:r>
          </w:p>
        </w:tc>
        <w:tc>
          <w:tcPr>
            <w:tcW w:w="3009" w:type="dxa"/>
          </w:tcPr>
          <w:p w14:paraId="08420803" w14:textId="656128AE" w:rsidR="00C9636B" w:rsidRDefault="001C5A8B" w:rsidP="00C45E46">
            <w:pPr>
              <w:pStyle w:val="ListParagraph"/>
              <w:numPr>
                <w:ilvl w:val="0"/>
                <w:numId w:val="1"/>
              </w:numPr>
            </w:pPr>
            <w:r>
              <w:t>Could potentially also use IEDB data which is similarly labelled</w:t>
            </w:r>
          </w:p>
        </w:tc>
      </w:tr>
      <w:tr w:rsidR="00C45E46" w14:paraId="3879211A" w14:textId="77777777" w:rsidTr="00C45E46">
        <w:tc>
          <w:tcPr>
            <w:tcW w:w="3579" w:type="dxa"/>
          </w:tcPr>
          <w:p w14:paraId="1692FAB9" w14:textId="77777777" w:rsidR="00C45E46" w:rsidRDefault="00C45E46" w:rsidP="00C45E46">
            <w:r>
              <w:t xml:space="preserve">input into </w:t>
            </w:r>
            <w:r w:rsidRPr="00095C7A">
              <w:t>COBALT</w:t>
            </w:r>
            <w:r>
              <w:t xml:space="preserve"> (or other BLAST tool)</w:t>
            </w:r>
          </w:p>
        </w:tc>
        <w:tc>
          <w:tcPr>
            <w:tcW w:w="2428" w:type="dxa"/>
          </w:tcPr>
          <w:p w14:paraId="1FA9535E" w14:textId="77777777" w:rsidR="00C45E46" w:rsidRDefault="00C45E46" w:rsidP="00C45E46">
            <w:r>
              <w:t>Aligned sequences</w:t>
            </w:r>
          </w:p>
        </w:tc>
        <w:tc>
          <w:tcPr>
            <w:tcW w:w="3009" w:type="dxa"/>
          </w:tcPr>
          <w:p w14:paraId="3DEFED8D" w14:textId="77777777" w:rsidR="00C45E46" w:rsidRDefault="00C45E46" w:rsidP="00C45E46">
            <w:pPr>
              <w:pStyle w:val="ListParagraph"/>
              <w:numPr>
                <w:ilvl w:val="0"/>
                <w:numId w:val="1"/>
              </w:numPr>
            </w:pPr>
          </w:p>
        </w:tc>
      </w:tr>
      <w:tr w:rsidR="006E51F2" w14:paraId="218D942D" w14:textId="77777777" w:rsidTr="00467239">
        <w:tc>
          <w:tcPr>
            <w:tcW w:w="9016" w:type="dxa"/>
            <w:gridSpan w:val="3"/>
          </w:tcPr>
          <w:p w14:paraId="43D39B7C" w14:textId="77777777" w:rsidR="006E51F2" w:rsidRDefault="006E51F2" w:rsidP="006E51F2">
            <w:r>
              <w:t>Has entire process been done before?</w:t>
            </w:r>
          </w:p>
          <w:p w14:paraId="4C7E3A40" w14:textId="58A42C7C" w:rsidR="006E51F2" w:rsidRDefault="00000000" w:rsidP="006E51F2">
            <w:pPr>
              <w:pStyle w:val="ListParagraph"/>
              <w:numPr>
                <w:ilvl w:val="0"/>
                <w:numId w:val="1"/>
              </w:numPr>
            </w:pPr>
            <w:hyperlink r:id="rId13" w:history="1">
              <w:r w:rsidR="006E51F2" w:rsidRPr="00C7559D">
                <w:rPr>
                  <w:rStyle w:val="Hyperlink"/>
                </w:rPr>
                <w:t>https://www.ncbi.nlm.nih.gov/pmc/articles/PMC3808449/</w:t>
              </w:r>
            </w:hyperlink>
            <w:r w:rsidR="006E51F2">
              <w:t xml:space="preserve"> </w:t>
            </w:r>
          </w:p>
        </w:tc>
      </w:tr>
    </w:tbl>
    <w:p w14:paraId="7782D57B" w14:textId="77777777" w:rsidR="00C45E46" w:rsidRDefault="00C45E46"/>
    <w:p w14:paraId="59633EA4" w14:textId="4451BF23" w:rsidR="007E621C" w:rsidRDefault="00C45E46" w:rsidP="00C45E46">
      <w:pPr>
        <w:tabs>
          <w:tab w:val="left" w:pos="1893"/>
        </w:tabs>
        <w:rPr>
          <w:b/>
          <w:bCs/>
        </w:rPr>
      </w:pPr>
      <w:r>
        <w:rPr>
          <w:b/>
          <w:bCs/>
        </w:rPr>
        <w:tab/>
      </w:r>
    </w:p>
    <w:p w14:paraId="5D9D3332" w14:textId="77777777" w:rsidR="00C45E46" w:rsidRDefault="00C45E46" w:rsidP="00C45E46">
      <w:pPr>
        <w:tabs>
          <w:tab w:val="left" w:pos="1893"/>
        </w:tabs>
        <w:rPr>
          <w:b/>
          <w:bCs/>
        </w:rPr>
      </w:pPr>
    </w:p>
    <w:p w14:paraId="2E50781B" w14:textId="2E41B74A" w:rsidR="00F06BF7" w:rsidRDefault="00F06BF7">
      <w:pPr>
        <w:rPr>
          <w:b/>
          <w:bCs/>
        </w:rPr>
      </w:pPr>
      <w:r>
        <w:rPr>
          <w:b/>
          <w:bCs/>
        </w:rPr>
        <w:br w:type="page"/>
      </w:r>
    </w:p>
    <w:tbl>
      <w:tblPr>
        <w:tblStyle w:val="TableGrid"/>
        <w:tblpPr w:leftFromText="180" w:rightFromText="180" w:vertAnchor="page" w:horzAnchor="margin" w:tblpY="1681"/>
        <w:tblW w:w="0" w:type="auto"/>
        <w:tblLook w:val="04A0" w:firstRow="1" w:lastRow="0" w:firstColumn="1" w:lastColumn="0" w:noHBand="0" w:noVBand="1"/>
      </w:tblPr>
      <w:tblGrid>
        <w:gridCol w:w="3579"/>
        <w:gridCol w:w="2428"/>
        <w:gridCol w:w="3009"/>
      </w:tblGrid>
      <w:tr w:rsidR="00217A14" w14:paraId="44057238" w14:textId="77777777" w:rsidTr="00217A14">
        <w:tc>
          <w:tcPr>
            <w:tcW w:w="9016" w:type="dxa"/>
            <w:gridSpan w:val="3"/>
          </w:tcPr>
          <w:p w14:paraId="5D194A0F" w14:textId="77777777" w:rsidR="00217A14" w:rsidRDefault="00217A14" w:rsidP="00217A14">
            <w:pPr>
              <w:rPr>
                <w:b/>
                <w:bCs/>
              </w:rPr>
            </w:pPr>
            <w:r>
              <w:rPr>
                <w:b/>
                <w:bCs/>
              </w:rPr>
              <w:lastRenderedPageBreak/>
              <w:t>MHC II Pathway</w:t>
            </w:r>
          </w:p>
          <w:p w14:paraId="497BA7F6" w14:textId="49CCE092" w:rsidR="00217A14" w:rsidRDefault="00217A14" w:rsidP="00217A14">
            <w:pPr>
              <w:pStyle w:val="ListParagraph"/>
              <w:numPr>
                <w:ilvl w:val="0"/>
                <w:numId w:val="1"/>
              </w:numPr>
            </w:pPr>
            <w:r>
              <w:t>A</w:t>
            </w:r>
            <w:r w:rsidR="00972322">
              <w:t>ntigen-presenting cells</w:t>
            </w:r>
            <w:r>
              <w:t xml:space="preserve"> only</w:t>
            </w:r>
          </w:p>
          <w:p w14:paraId="27E7764A" w14:textId="7AA30E32" w:rsidR="00217A14" w:rsidRDefault="00217A14" w:rsidP="00217A14">
            <w:pPr>
              <w:pStyle w:val="ListParagraph"/>
              <w:numPr>
                <w:ilvl w:val="0"/>
                <w:numId w:val="1"/>
              </w:numPr>
            </w:pPr>
            <w:r>
              <w:t>13-25mers</w:t>
            </w:r>
            <w:r w:rsidR="00E76B27">
              <w:t xml:space="preserve"> (open </w:t>
            </w:r>
            <w:r w:rsidR="008F0047">
              <w:t xml:space="preserve">binding </w:t>
            </w:r>
            <w:proofErr w:type="gramStart"/>
            <w:r w:rsidR="00E76B27">
              <w:t>groove</w:t>
            </w:r>
            <w:r w:rsidR="00151BE9">
              <w:t xml:space="preserve"> .</w:t>
            </w:r>
            <w:proofErr w:type="gramEnd"/>
            <w:r w:rsidR="00151BE9">
              <w:t>: protein can slide and bind non-canonically, much more sensitive to AAs in oligomer core</w:t>
            </w:r>
            <w:r w:rsidR="007968B0">
              <w:t xml:space="preserve"> P1</w:t>
            </w:r>
            <w:r w:rsidR="000D0813">
              <w:t xml:space="preserve">, </w:t>
            </w:r>
            <w:r w:rsidR="007968B0">
              <w:t>4</w:t>
            </w:r>
            <w:r w:rsidR="000D0813">
              <w:t xml:space="preserve">, </w:t>
            </w:r>
            <w:r w:rsidR="007968B0">
              <w:t>6</w:t>
            </w:r>
            <w:r w:rsidR="000D0813">
              <w:t xml:space="preserve">, </w:t>
            </w:r>
            <w:r w:rsidR="007968B0">
              <w:t>9</w:t>
            </w:r>
            <w:r w:rsidR="00E76B27">
              <w:t>)</w:t>
            </w:r>
            <w:r>
              <w:t xml:space="preserve">, </w:t>
            </w:r>
            <w:r w:rsidR="009A7870">
              <w:t>extracellular/</w:t>
            </w:r>
            <w:r>
              <w:t>foreign peptides</w:t>
            </w:r>
            <w:r w:rsidR="0069045B">
              <w:t xml:space="preserve"> (surveys exterior)</w:t>
            </w:r>
            <w:r w:rsidR="00253318">
              <w:t xml:space="preserve">. More difficult to predict compared to MHC-I as binding more </w:t>
            </w:r>
            <w:proofErr w:type="gramStart"/>
            <w:r w:rsidR="00253318">
              <w:t>promiscuous</w:t>
            </w:r>
            <w:proofErr w:type="gramEnd"/>
          </w:p>
          <w:p w14:paraId="75B1BA43" w14:textId="568F7BCC" w:rsidR="00217A14" w:rsidRDefault="00217A14" w:rsidP="00217A14">
            <w:pPr>
              <w:pStyle w:val="ListParagraph"/>
              <w:numPr>
                <w:ilvl w:val="0"/>
                <w:numId w:val="1"/>
              </w:numPr>
            </w:pPr>
            <w:r>
              <w:t xml:space="preserve">Conjugation in the late </w:t>
            </w:r>
            <w:proofErr w:type="spellStart"/>
            <w:r>
              <w:t>endolysosome</w:t>
            </w:r>
            <w:proofErr w:type="spellEnd"/>
          </w:p>
          <w:p w14:paraId="687DFAA5" w14:textId="34DE6BA8" w:rsidR="00217A14" w:rsidRPr="00217A14" w:rsidRDefault="00217A14" w:rsidP="00217A14">
            <w:pPr>
              <w:pStyle w:val="ListParagraph"/>
              <w:numPr>
                <w:ilvl w:val="0"/>
                <w:numId w:val="1"/>
              </w:numPr>
            </w:pPr>
            <w:r>
              <w:t xml:space="preserve">HLA-DM transports high-affinity </w:t>
            </w:r>
            <w:proofErr w:type="spellStart"/>
            <w:r>
              <w:t>pMHC</w:t>
            </w:r>
            <w:proofErr w:type="spellEnd"/>
            <w:r>
              <w:t>-IIs to cell surface</w:t>
            </w:r>
          </w:p>
        </w:tc>
      </w:tr>
      <w:tr w:rsidR="00217A14" w14:paraId="7DFB863B" w14:textId="77777777" w:rsidTr="00217A14">
        <w:tc>
          <w:tcPr>
            <w:tcW w:w="3579" w:type="dxa"/>
          </w:tcPr>
          <w:p w14:paraId="1FFBA5DD" w14:textId="6039B319" w:rsidR="00217A14" w:rsidRPr="00F5234D" w:rsidRDefault="007F6EF4" w:rsidP="00217A14">
            <w:pPr>
              <w:rPr>
                <w:b/>
                <w:bCs/>
              </w:rPr>
            </w:pPr>
            <w:r>
              <w:rPr>
                <w:b/>
                <w:bCs/>
              </w:rPr>
              <w:t>Domain (Input)</w:t>
            </w:r>
          </w:p>
        </w:tc>
        <w:tc>
          <w:tcPr>
            <w:tcW w:w="2428" w:type="dxa"/>
          </w:tcPr>
          <w:p w14:paraId="1416C8C2" w14:textId="58753F01" w:rsidR="00217A14" w:rsidRPr="00F5234D" w:rsidRDefault="007F6EF4" w:rsidP="00217A14">
            <w:pPr>
              <w:rPr>
                <w:b/>
                <w:bCs/>
              </w:rPr>
            </w:pPr>
            <w:r>
              <w:rPr>
                <w:b/>
                <w:bCs/>
              </w:rPr>
              <w:t>Tool</w:t>
            </w:r>
            <w:r w:rsidR="00874E3B">
              <w:rPr>
                <w:b/>
                <w:bCs/>
              </w:rPr>
              <w:t>/Resource</w:t>
            </w:r>
          </w:p>
        </w:tc>
        <w:tc>
          <w:tcPr>
            <w:tcW w:w="3009" w:type="dxa"/>
          </w:tcPr>
          <w:p w14:paraId="49207A2A" w14:textId="77777777" w:rsidR="00217A14" w:rsidRPr="00F5234D" w:rsidRDefault="00217A14" w:rsidP="00217A14">
            <w:pPr>
              <w:rPr>
                <w:b/>
                <w:bCs/>
              </w:rPr>
            </w:pPr>
            <w:r w:rsidRPr="00F5234D">
              <w:rPr>
                <w:b/>
                <w:bCs/>
              </w:rPr>
              <w:t>Notes</w:t>
            </w:r>
          </w:p>
        </w:tc>
      </w:tr>
      <w:tr w:rsidR="00385369" w14:paraId="11301BED" w14:textId="77777777" w:rsidTr="00217A14">
        <w:tc>
          <w:tcPr>
            <w:tcW w:w="3579" w:type="dxa"/>
            <w:vMerge w:val="restart"/>
          </w:tcPr>
          <w:p w14:paraId="355971A2" w14:textId="363B8BEB" w:rsidR="00385369" w:rsidRDefault="00385369" w:rsidP="00385369">
            <w:r>
              <w:t>Pathogen proteomes (n/a)</w:t>
            </w:r>
          </w:p>
        </w:tc>
        <w:tc>
          <w:tcPr>
            <w:tcW w:w="2428" w:type="dxa"/>
          </w:tcPr>
          <w:p w14:paraId="30F4600C" w14:textId="5E0B724E" w:rsidR="00385369" w:rsidRDefault="00000000" w:rsidP="00385369">
            <w:hyperlink r:id="rId14" w:history="1">
              <w:proofErr w:type="spellStart"/>
              <w:r w:rsidR="00385369" w:rsidRPr="00634D8C">
                <w:rPr>
                  <w:rStyle w:val="Hyperlink"/>
                </w:rPr>
                <w:t>ViralZone</w:t>
              </w:r>
              <w:proofErr w:type="spellEnd"/>
            </w:hyperlink>
          </w:p>
        </w:tc>
        <w:tc>
          <w:tcPr>
            <w:tcW w:w="3009" w:type="dxa"/>
          </w:tcPr>
          <w:p w14:paraId="70B4279A" w14:textId="77777777" w:rsidR="00385369" w:rsidRDefault="00385369" w:rsidP="00385369">
            <w:pPr>
              <w:pStyle w:val="ListParagraph"/>
              <w:numPr>
                <w:ilvl w:val="0"/>
                <w:numId w:val="1"/>
              </w:numPr>
            </w:pPr>
            <w:r>
              <w:t xml:space="preserve">Manually curated, links to </w:t>
            </w:r>
            <w:proofErr w:type="spellStart"/>
            <w:r>
              <w:t>fasta</w:t>
            </w:r>
            <w:proofErr w:type="spellEnd"/>
            <w:r>
              <w:t xml:space="preserve"> files on </w:t>
            </w:r>
            <w:proofErr w:type="spellStart"/>
            <w:r>
              <w:t>Uniprot</w:t>
            </w:r>
            <w:proofErr w:type="spellEnd"/>
            <w:r>
              <w:t xml:space="preserve"> which are annotated using experimental data (~4/5 scores)</w:t>
            </w:r>
          </w:p>
          <w:p w14:paraId="348298E3" w14:textId="4A6032DC" w:rsidR="00385369" w:rsidRDefault="00385369" w:rsidP="00385369">
            <w:pPr>
              <w:pStyle w:val="ListParagraph"/>
              <w:numPr>
                <w:ilvl w:val="0"/>
                <w:numId w:val="1"/>
              </w:numPr>
            </w:pPr>
            <w:r>
              <w:t>129 common human viruses including adenovirus, rotavirus, coxsackie etc</w:t>
            </w:r>
          </w:p>
        </w:tc>
      </w:tr>
      <w:tr w:rsidR="00385369" w14:paraId="5BA6448F" w14:textId="77777777" w:rsidTr="00217A14">
        <w:tc>
          <w:tcPr>
            <w:tcW w:w="3579" w:type="dxa"/>
            <w:vMerge/>
          </w:tcPr>
          <w:p w14:paraId="04CB004E" w14:textId="77777777" w:rsidR="00385369" w:rsidRDefault="00385369" w:rsidP="00385369"/>
        </w:tc>
        <w:tc>
          <w:tcPr>
            <w:tcW w:w="2428" w:type="dxa"/>
          </w:tcPr>
          <w:p w14:paraId="7AD76708" w14:textId="00463984" w:rsidR="00385369" w:rsidRDefault="00385369" w:rsidP="00385369">
            <w:proofErr w:type="spellStart"/>
            <w:r>
              <w:t>RefSeq</w:t>
            </w:r>
            <w:proofErr w:type="spellEnd"/>
          </w:p>
        </w:tc>
        <w:tc>
          <w:tcPr>
            <w:tcW w:w="3009" w:type="dxa"/>
          </w:tcPr>
          <w:p w14:paraId="34988EAD" w14:textId="5E527E69" w:rsidR="00385369" w:rsidRDefault="00385369" w:rsidP="00385369">
            <w:pPr>
              <w:pStyle w:val="ListParagraph"/>
              <w:numPr>
                <w:ilvl w:val="0"/>
                <w:numId w:val="6"/>
              </w:numPr>
            </w:pPr>
            <w:r>
              <w:t>52M viral proteins, variable evidence (</w:t>
            </w:r>
            <w:proofErr w:type="spellStart"/>
            <w:proofErr w:type="gramStart"/>
            <w:r>
              <w:t>eg</w:t>
            </w:r>
            <w:proofErr w:type="spellEnd"/>
            <w:proofErr w:type="gramEnd"/>
            <w:r>
              <w:t xml:space="preserve"> some hypothetical, predicted from other </w:t>
            </w:r>
            <w:proofErr w:type="spellStart"/>
            <w:r>
              <w:t>baltimore</w:t>
            </w:r>
            <w:proofErr w:type="spellEnd"/>
            <w:r>
              <w:t xml:space="preserve"> groups)</w:t>
            </w:r>
          </w:p>
        </w:tc>
      </w:tr>
      <w:tr w:rsidR="00385369" w14:paraId="57F932C4" w14:textId="77777777" w:rsidTr="00217A14">
        <w:tc>
          <w:tcPr>
            <w:tcW w:w="3579" w:type="dxa"/>
            <w:vMerge/>
          </w:tcPr>
          <w:p w14:paraId="455DDEEB" w14:textId="77777777" w:rsidR="00385369" w:rsidRDefault="00385369" w:rsidP="00385369"/>
        </w:tc>
        <w:tc>
          <w:tcPr>
            <w:tcW w:w="2428" w:type="dxa"/>
          </w:tcPr>
          <w:p w14:paraId="3D3DC752" w14:textId="1DC85C49" w:rsidR="00385369" w:rsidRDefault="00385369" w:rsidP="00385369">
            <w:proofErr w:type="spellStart"/>
            <w:r>
              <w:t>Uniprot</w:t>
            </w:r>
            <w:proofErr w:type="spellEnd"/>
          </w:p>
        </w:tc>
        <w:tc>
          <w:tcPr>
            <w:tcW w:w="3009" w:type="dxa"/>
          </w:tcPr>
          <w:p w14:paraId="0614687D" w14:textId="2A8923B4" w:rsidR="00385369" w:rsidRDefault="00385369" w:rsidP="00385369">
            <w:pPr>
              <w:pStyle w:val="ListParagraph"/>
              <w:numPr>
                <w:ilvl w:val="0"/>
                <w:numId w:val="6"/>
              </w:numPr>
            </w:pPr>
            <w:r>
              <w:t>~110,000 viral proteins with evidence of existence at protein level</w:t>
            </w:r>
          </w:p>
        </w:tc>
      </w:tr>
      <w:tr w:rsidR="00217A14" w14:paraId="443B7D33" w14:textId="77777777" w:rsidTr="00217A14">
        <w:tc>
          <w:tcPr>
            <w:tcW w:w="3579" w:type="dxa"/>
            <w:shd w:val="clear" w:color="auto" w:fill="auto"/>
          </w:tcPr>
          <w:p w14:paraId="7DAC164E" w14:textId="31F79945" w:rsidR="00217A14" w:rsidRPr="00D9794D" w:rsidRDefault="00217A14" w:rsidP="00217A14">
            <w:proofErr w:type="spellStart"/>
            <w:r>
              <w:t>Endolysosome</w:t>
            </w:r>
            <w:proofErr w:type="spellEnd"/>
            <w:r>
              <w:t xml:space="preserve"> cleavage</w:t>
            </w:r>
            <w:r w:rsidR="00874E3B">
              <w:t xml:space="preserve"> (protein)</w:t>
            </w:r>
          </w:p>
        </w:tc>
        <w:tc>
          <w:tcPr>
            <w:tcW w:w="2428" w:type="dxa"/>
            <w:shd w:val="clear" w:color="auto" w:fill="auto"/>
          </w:tcPr>
          <w:p w14:paraId="3F301A55" w14:textId="33724EB7" w:rsidR="00217A14" w:rsidRPr="00D9794D" w:rsidRDefault="00007082" w:rsidP="00007082">
            <w:r>
              <w:t>Can use immuno-proteasome cleavage predictions as constitutive expression by all cells during inflammation</w:t>
            </w:r>
            <w:r w:rsidR="00BE19FF">
              <w:t xml:space="preserve"> under the control of IFN-gamma</w:t>
            </w:r>
            <w:r w:rsidR="005D01C9">
              <w:t xml:space="preserve"> [citation]</w:t>
            </w:r>
          </w:p>
        </w:tc>
        <w:tc>
          <w:tcPr>
            <w:tcW w:w="3009" w:type="dxa"/>
            <w:shd w:val="clear" w:color="auto" w:fill="auto"/>
          </w:tcPr>
          <w:p w14:paraId="336EFF0E" w14:textId="705EC2B9" w:rsidR="00217A14" w:rsidRPr="00D9794D" w:rsidRDefault="00217A14" w:rsidP="009D1643"/>
        </w:tc>
      </w:tr>
      <w:tr w:rsidR="009C4275" w14:paraId="08A8CD32" w14:textId="77777777" w:rsidTr="00217A14">
        <w:tc>
          <w:tcPr>
            <w:tcW w:w="3579" w:type="dxa"/>
            <w:vMerge w:val="restart"/>
          </w:tcPr>
          <w:p w14:paraId="393EE173" w14:textId="07D14663" w:rsidR="009C4275" w:rsidRDefault="009C4275" w:rsidP="00217A14">
            <w:r>
              <w:t>input into MHC class II molecule epitope binding prediction model/database (oligopeptides)</w:t>
            </w:r>
          </w:p>
        </w:tc>
        <w:tc>
          <w:tcPr>
            <w:tcW w:w="2428" w:type="dxa"/>
          </w:tcPr>
          <w:p w14:paraId="2F16706B" w14:textId="5498F7FF" w:rsidR="009C4275" w:rsidRDefault="00000000" w:rsidP="00151BE9">
            <w:hyperlink r:id="rId15" w:history="1">
              <w:proofErr w:type="spellStart"/>
              <w:r w:rsidR="009C4275" w:rsidRPr="006E1C53">
                <w:rPr>
                  <w:rStyle w:val="Hyperlink"/>
                </w:rPr>
                <w:t>NetMHCIIpan</w:t>
              </w:r>
              <w:proofErr w:type="spellEnd"/>
              <w:r w:rsidR="009C4275" w:rsidRPr="006E1C53">
                <w:rPr>
                  <w:rStyle w:val="Hyperlink"/>
                </w:rPr>
                <w:t xml:space="preserve"> 4.0</w:t>
              </w:r>
            </w:hyperlink>
          </w:p>
        </w:tc>
        <w:tc>
          <w:tcPr>
            <w:tcW w:w="3009" w:type="dxa"/>
          </w:tcPr>
          <w:p w14:paraId="77DAB612" w14:textId="77777777" w:rsidR="009C4275" w:rsidRDefault="009C4275" w:rsidP="00151BE9">
            <w:pPr>
              <w:pStyle w:val="ListParagraph"/>
              <w:numPr>
                <w:ilvl w:val="0"/>
                <w:numId w:val="1"/>
              </w:numPr>
            </w:pPr>
            <w:r>
              <w:t xml:space="preserve">parameters: input </w:t>
            </w:r>
            <w:proofErr w:type="gramStart"/>
            <w:r>
              <w:t>*.</w:t>
            </w:r>
            <w:proofErr w:type="spellStart"/>
            <w:r>
              <w:t>fasta</w:t>
            </w:r>
            <w:proofErr w:type="spellEnd"/>
            <w:proofErr w:type="gramEnd"/>
            <w:r>
              <w:t>, peptide length, HLA alleles (</w:t>
            </w:r>
            <w:r w:rsidRPr="007C5277">
              <w:t>25 HLA-DR alleles, 20 HLA-DQ, 9 HLA-DP</w:t>
            </w:r>
            <w:r>
              <w:t>), can set a threshold value to travel along ROC curve</w:t>
            </w:r>
          </w:p>
          <w:p w14:paraId="7F62B438" w14:textId="1C87BC10" w:rsidR="009C4275" w:rsidRDefault="009C4275" w:rsidP="00151BE9">
            <w:pPr>
              <w:pStyle w:val="ListParagraph"/>
              <w:numPr>
                <w:ilvl w:val="0"/>
                <w:numId w:val="1"/>
              </w:numPr>
            </w:pPr>
            <w:r>
              <w:t>affinity given as IC</w:t>
            </w:r>
            <w:r w:rsidRPr="00280BEF">
              <w:rPr>
                <w:vertAlign w:val="subscript"/>
              </w:rPr>
              <w:t>50</w:t>
            </w:r>
            <w:r>
              <w:t xml:space="preserve"> (in </w:t>
            </w:r>
            <w:proofErr w:type="spellStart"/>
            <w:r>
              <w:t>nM</w:t>
            </w:r>
            <w:proofErr w:type="spellEnd"/>
            <w:r>
              <w:t>) value for each 9mer, sequentially progressing the reading frame by 1AA. this is done for each user-determined HLA allele</w:t>
            </w:r>
          </w:p>
        </w:tc>
      </w:tr>
      <w:tr w:rsidR="009C4275" w14:paraId="045AD0CD" w14:textId="77777777" w:rsidTr="00217A14">
        <w:tc>
          <w:tcPr>
            <w:tcW w:w="3579" w:type="dxa"/>
            <w:vMerge/>
          </w:tcPr>
          <w:p w14:paraId="73C4D600" w14:textId="77777777" w:rsidR="009C4275" w:rsidRDefault="009C4275" w:rsidP="00217A14"/>
        </w:tc>
        <w:tc>
          <w:tcPr>
            <w:tcW w:w="2428" w:type="dxa"/>
          </w:tcPr>
          <w:p w14:paraId="6152B0F0" w14:textId="21D4088F" w:rsidR="009C4275" w:rsidRDefault="009C4275" w:rsidP="00151BE9">
            <w:r>
              <w:t>MixMHC2pred</w:t>
            </w:r>
            <w:r>
              <w:fldChar w:fldCharType="begin"/>
            </w:r>
            <w:r>
              <w:instrText xml:space="preserve"> ADDIN ZOTERO_ITEM CSL_CITATION {"citationID":"QjRFFZ4q","properties":{"formattedCitation":"\\super 2\\nosupersub{}","plainCitation":"2","noteIndex":0},"citationItems":[{"id":1350,"uris":["http://zotero.org/users/local/VNX8NcXN/items/UEM26GBE"],"itemData":{"id":1350,"type":"article-journal","abstract":"Cytotoxic T cells are of central importance in the immune system’s response to disease. They recognize defective cells by binding to peptides presented on the cell surface by MHC class I molecules. Peptide binding to MHC molecules is the single most selective step in the Ag-presentation pathway. Therefore, in the quest for T cell epitopes, the prediction of peptide binding to MHC molecules has attracted widespread attention. In the past, predictors of peptide–MHC interactions have primarily been trained on binding affinity data. Recently, an increasing number of MHC-presented peptides identified by mass spectrometry have been reported containing information about peptide-processing steps in the presentation pathway and the length distribution of naturally presented peptides. In this article, we present NetMHCpan-4.0, a method trained on binding affinity and eluted ligand data leveraging the information from both data types. Large-scale benchmarking of the method demonstrates an increase in predictive performance compared with state-of-the-art methods when it comes to identification of naturally processed ligands, cancer neoantigens, and T cell epitopes.","container-title":"The Journal of Immunology","DOI":"10.4049/jimmunol.1700893","ISSN":"0022-1767","issue":"9","journalAbbreviation":"The Journal of Immunology","page":"3360-3368","source":"Silverchair","title":"NetMHCpan-4.0: Improved Peptide–MHC Class I Interaction Predictions Integrating Eluted Ligand and Peptide Binding Affinity Data","title-short":"NetMHCpan-4.0","volume":"199","author":[{"family":"Jurtz","given":"Vanessa"},{"family":"Paul","given":"Sinu"},{"family":"Andreatta","given":"Massimo"},{"family":"Marcatili","given":"Paolo"},{"family":"Peters","given":"Bjoern"},{"family":"Nielsen","given":"Morten"}],"issued":{"date-parts":[["2017",11,1]]}}}],"schema":"https://github.com/citation-style-language/schema/raw/master/csl-citation.json"} </w:instrText>
            </w:r>
            <w:r>
              <w:fldChar w:fldCharType="separate"/>
            </w:r>
            <w:r w:rsidRPr="007968B0">
              <w:rPr>
                <w:rFonts w:ascii="Calibri" w:hAnsi="Calibri" w:cs="Calibri"/>
                <w:kern w:val="0"/>
                <w:szCs w:val="24"/>
                <w:vertAlign w:val="superscript"/>
              </w:rPr>
              <w:t>2</w:t>
            </w:r>
            <w:r>
              <w:fldChar w:fldCharType="end"/>
            </w:r>
          </w:p>
        </w:tc>
        <w:tc>
          <w:tcPr>
            <w:tcW w:w="3009" w:type="dxa"/>
          </w:tcPr>
          <w:p w14:paraId="57981019" w14:textId="77777777" w:rsidR="009C4275" w:rsidRDefault="009C4275" w:rsidP="00151BE9">
            <w:pPr>
              <w:pStyle w:val="ListParagraph"/>
              <w:numPr>
                <w:ilvl w:val="0"/>
                <w:numId w:val="1"/>
              </w:numPr>
            </w:pPr>
            <w:r w:rsidRPr="000D0813">
              <w:t xml:space="preserve">627,013 unique MHC-II ligands identified by mass </w:t>
            </w:r>
            <w:proofErr w:type="gramStart"/>
            <w:r w:rsidRPr="000D0813">
              <w:t>spectrometry</w:t>
            </w:r>
            <w:proofErr w:type="gramEnd"/>
          </w:p>
          <w:p w14:paraId="5A6B5636" w14:textId="77777777" w:rsidR="009C4275" w:rsidRDefault="009C4275" w:rsidP="00151BE9">
            <w:pPr>
              <w:pStyle w:val="ListParagraph"/>
              <w:numPr>
                <w:ilvl w:val="0"/>
                <w:numId w:val="1"/>
              </w:numPr>
            </w:pPr>
            <w:r>
              <w:t xml:space="preserve">Outperforms </w:t>
            </w:r>
            <w:proofErr w:type="spellStart"/>
            <w:r>
              <w:t>NetMHCIIpan</w:t>
            </w:r>
            <w:proofErr w:type="spellEnd"/>
            <w:r>
              <w:t xml:space="preserve"> overall (ROC AUC), especially when considering non-canonical binding of epitopes, which more closely match </w:t>
            </w:r>
            <w:proofErr w:type="spellStart"/>
            <w:r>
              <w:t>peptidomic</w:t>
            </w:r>
            <w:proofErr w:type="spellEnd"/>
            <w:r>
              <w:t xml:space="preserve"> </w:t>
            </w:r>
            <w:proofErr w:type="gramStart"/>
            <w:r>
              <w:t>data</w:t>
            </w:r>
            <w:proofErr w:type="gramEnd"/>
          </w:p>
          <w:p w14:paraId="3C5AD99B" w14:textId="2E417268" w:rsidR="009C4275" w:rsidRDefault="009C4275" w:rsidP="00151BE9">
            <w:pPr>
              <w:pStyle w:val="ListParagraph"/>
              <w:numPr>
                <w:ilvl w:val="0"/>
                <w:numId w:val="1"/>
              </w:numPr>
            </w:pPr>
            <w:proofErr w:type="spellStart"/>
            <w:r w:rsidRPr="00F72245">
              <w:t>Kullback-Leibler</w:t>
            </w:r>
            <w:proofErr w:type="spellEnd"/>
            <w:r w:rsidRPr="00F72245">
              <w:t xml:space="preserve"> divergence</w:t>
            </w:r>
            <w:r>
              <w:t xml:space="preserve"> (KLD) much higher for </w:t>
            </w:r>
            <w:proofErr w:type="spellStart"/>
            <w:r>
              <w:t>NetMHCIIpan</w:t>
            </w:r>
            <w:proofErr w:type="spellEnd"/>
            <w:r>
              <w:t xml:space="preserve"> vs MixMHC2pred against reference proteomics (in vitro) data </w:t>
            </w:r>
          </w:p>
        </w:tc>
      </w:tr>
      <w:tr w:rsidR="009C4275" w14:paraId="3E61FDCF" w14:textId="77777777" w:rsidTr="00217A14">
        <w:tc>
          <w:tcPr>
            <w:tcW w:w="3579" w:type="dxa"/>
            <w:vMerge/>
          </w:tcPr>
          <w:p w14:paraId="1C0E3372" w14:textId="77777777" w:rsidR="009C4275" w:rsidRDefault="009C4275" w:rsidP="00217A14"/>
        </w:tc>
        <w:tc>
          <w:tcPr>
            <w:tcW w:w="2428" w:type="dxa"/>
          </w:tcPr>
          <w:p w14:paraId="67D84C84" w14:textId="7C53BD19" w:rsidR="009C4275" w:rsidRDefault="009C4275" w:rsidP="00151BE9">
            <w:r>
              <w:t xml:space="preserve">others: </w:t>
            </w:r>
            <w:r w:rsidRPr="009C4275">
              <w:t>MARIA (major histocompatibility complex analysis with recurrent integrated architecture</w:t>
            </w:r>
            <w:r>
              <w:t xml:space="preserve">), </w:t>
            </w:r>
            <w:proofErr w:type="spellStart"/>
            <w:r>
              <w:t>MHCnuggets</w:t>
            </w:r>
            <w:proofErr w:type="spellEnd"/>
          </w:p>
        </w:tc>
        <w:tc>
          <w:tcPr>
            <w:tcW w:w="3009" w:type="dxa"/>
          </w:tcPr>
          <w:p w14:paraId="6FFC5551" w14:textId="77777777" w:rsidR="009C4275" w:rsidRPr="000D0813" w:rsidRDefault="009C4275" w:rsidP="009C4275"/>
        </w:tc>
      </w:tr>
      <w:tr w:rsidR="00217A14" w14:paraId="3090D614" w14:textId="77777777" w:rsidTr="00217A14">
        <w:tc>
          <w:tcPr>
            <w:tcW w:w="3579" w:type="dxa"/>
          </w:tcPr>
          <w:p w14:paraId="4ED4AC96" w14:textId="77777777" w:rsidR="00217A14" w:rsidRDefault="00217A14" w:rsidP="00217A14">
            <w:r>
              <w:t xml:space="preserve">input into </w:t>
            </w:r>
            <w:r w:rsidRPr="00095C7A">
              <w:t>COBALT</w:t>
            </w:r>
            <w:r>
              <w:t xml:space="preserve"> (or other BLAST tool)</w:t>
            </w:r>
          </w:p>
        </w:tc>
        <w:tc>
          <w:tcPr>
            <w:tcW w:w="2428" w:type="dxa"/>
          </w:tcPr>
          <w:p w14:paraId="4FEDE3E3" w14:textId="77777777" w:rsidR="00217A14" w:rsidRDefault="00217A14" w:rsidP="00217A14">
            <w:r>
              <w:t>Aligned sequences</w:t>
            </w:r>
          </w:p>
        </w:tc>
        <w:tc>
          <w:tcPr>
            <w:tcW w:w="3009" w:type="dxa"/>
          </w:tcPr>
          <w:p w14:paraId="744C5CCB" w14:textId="77777777" w:rsidR="00217A14" w:rsidRDefault="00217A14" w:rsidP="00217A14">
            <w:pPr>
              <w:pStyle w:val="ListParagraph"/>
              <w:numPr>
                <w:ilvl w:val="0"/>
                <w:numId w:val="1"/>
              </w:numPr>
            </w:pPr>
          </w:p>
        </w:tc>
      </w:tr>
    </w:tbl>
    <w:p w14:paraId="2A214CC7" w14:textId="77777777" w:rsidR="00D9794D" w:rsidRDefault="00D9794D">
      <w:pPr>
        <w:rPr>
          <w:b/>
          <w:bCs/>
        </w:rPr>
      </w:pPr>
    </w:p>
    <w:p w14:paraId="3EBFA9FB" w14:textId="4BE4931A" w:rsidR="00D9794D" w:rsidRPr="00D5560A" w:rsidRDefault="00281D73">
      <w:r>
        <w:t>S</w:t>
      </w:r>
      <w:r w:rsidR="000D0813" w:rsidRPr="00D5560A">
        <w:t>cenarios?</w:t>
      </w:r>
      <w:r w:rsidR="009A4AB5" w:rsidRPr="00D5560A">
        <w:t xml:space="preserve"> (</w:t>
      </w:r>
      <w:proofErr w:type="gramStart"/>
      <w:r w:rsidR="009A4AB5" w:rsidRPr="00D5560A">
        <w:t>not</w:t>
      </w:r>
      <w:proofErr w:type="gramEnd"/>
      <w:r w:rsidR="009A4AB5" w:rsidRPr="00D5560A">
        <w:t xml:space="preserve"> mutually exclusive)</w:t>
      </w:r>
    </w:p>
    <w:p w14:paraId="4CBB9B9A" w14:textId="2407B490" w:rsidR="007F6EF4" w:rsidRDefault="007F6EF4" w:rsidP="007F6EF4">
      <w:pPr>
        <w:pStyle w:val="ListParagraph"/>
        <w:numPr>
          <w:ilvl w:val="0"/>
          <w:numId w:val="1"/>
        </w:numPr>
      </w:pPr>
      <w:r>
        <w:t>Cell-mediated</w:t>
      </w:r>
    </w:p>
    <w:p w14:paraId="5F6C247E" w14:textId="72B3E5C2" w:rsidR="009A4AB5" w:rsidRDefault="009A4AB5" w:rsidP="009A4AB5">
      <w:pPr>
        <w:pStyle w:val="ListParagraph"/>
        <w:numPr>
          <w:ilvl w:val="1"/>
          <w:numId w:val="1"/>
        </w:numPr>
      </w:pPr>
      <w:r>
        <w:t>Neuronal MHC-I presentation of self-peptide (may</w:t>
      </w:r>
      <w:r w:rsidR="0065221B">
        <w:t>/</w:t>
      </w:r>
      <w:r>
        <w:t>not be a cell-surface protein)</w:t>
      </w:r>
    </w:p>
    <w:p w14:paraId="3371F8AB" w14:textId="4D540C00" w:rsidR="006833FC" w:rsidRDefault="006833FC" w:rsidP="006833FC">
      <w:pPr>
        <w:pStyle w:val="ListParagraph"/>
        <w:numPr>
          <w:ilvl w:val="2"/>
          <w:numId w:val="1"/>
        </w:numPr>
      </w:pPr>
      <w:r>
        <w:t xml:space="preserve">Leads to cytotoxicity due to an already autoreactive CD8+ cell </w:t>
      </w:r>
      <w:r w:rsidR="007F6EF4">
        <w:t xml:space="preserve">due to </w:t>
      </w:r>
      <w:r w:rsidR="00D5560A">
        <w:t xml:space="preserve">prior infection by </w:t>
      </w:r>
      <w:r w:rsidR="007F6EF4">
        <w:t xml:space="preserve">mimicking </w:t>
      </w:r>
      <w:proofErr w:type="gramStart"/>
      <w:r w:rsidR="007F6EF4">
        <w:t>pathogen</w:t>
      </w:r>
      <w:proofErr w:type="gramEnd"/>
    </w:p>
    <w:p w14:paraId="7C949718" w14:textId="3CA7CBA4" w:rsidR="006833FC" w:rsidRDefault="006833FC" w:rsidP="006833FC">
      <w:pPr>
        <w:pStyle w:val="ListParagraph"/>
        <w:numPr>
          <w:ilvl w:val="2"/>
          <w:numId w:val="1"/>
        </w:numPr>
      </w:pPr>
      <w:r>
        <w:t>Primes a CD8+ cell to become autoreactive, need</w:t>
      </w:r>
      <w:r w:rsidR="007F6EF4">
        <w:t>s</w:t>
      </w:r>
      <w:r>
        <w:t>:</w:t>
      </w:r>
    </w:p>
    <w:p w14:paraId="400F1C30" w14:textId="3C625300" w:rsidR="006833FC" w:rsidRDefault="006833FC" w:rsidP="006833FC">
      <w:pPr>
        <w:pStyle w:val="ListParagraph"/>
        <w:numPr>
          <w:ilvl w:val="3"/>
          <w:numId w:val="1"/>
        </w:numPr>
      </w:pPr>
      <w:r>
        <w:t>Sufficient antigen presentation, often only achieved by APCs</w:t>
      </w:r>
      <w:r w:rsidR="007F6EF4">
        <w:t>, or</w:t>
      </w:r>
    </w:p>
    <w:p w14:paraId="142E5BBF" w14:textId="17317CB0" w:rsidR="007F5F40" w:rsidRDefault="007F5F40" w:rsidP="006833FC">
      <w:pPr>
        <w:pStyle w:val="ListParagraph"/>
        <w:numPr>
          <w:ilvl w:val="3"/>
          <w:numId w:val="1"/>
        </w:numPr>
      </w:pPr>
      <w:r>
        <w:t xml:space="preserve">The necessary cytokines (?) in an inflammatory </w:t>
      </w:r>
      <w:r w:rsidR="007F6EF4">
        <w:t>milieu</w:t>
      </w:r>
      <w:r>
        <w:t xml:space="preserve"> to obviate CD4+ help</w:t>
      </w:r>
      <w:r w:rsidR="007F6EF4">
        <w:t>, or</w:t>
      </w:r>
    </w:p>
    <w:p w14:paraId="09756E86" w14:textId="5B59ADA3" w:rsidR="006833FC" w:rsidRDefault="006833FC" w:rsidP="006833FC">
      <w:pPr>
        <w:pStyle w:val="ListParagraph"/>
        <w:numPr>
          <w:ilvl w:val="3"/>
          <w:numId w:val="1"/>
        </w:numPr>
      </w:pPr>
      <w:r>
        <w:t>CD4+ help</w:t>
      </w:r>
      <w:r w:rsidR="0065221B">
        <w:t xml:space="preserve"> (requires antecedent MHC-II presentation)</w:t>
      </w:r>
    </w:p>
    <w:p w14:paraId="558EB9BB" w14:textId="33E65A9E" w:rsidR="007F6EF4" w:rsidRPr="007F6EF4" w:rsidRDefault="007F6EF4" w:rsidP="007F6EF4">
      <w:pPr>
        <w:pStyle w:val="ListParagraph"/>
        <w:numPr>
          <w:ilvl w:val="0"/>
          <w:numId w:val="1"/>
        </w:numPr>
      </w:pPr>
      <w:r>
        <w:t>Humoral</w:t>
      </w:r>
    </w:p>
    <w:tbl>
      <w:tblPr>
        <w:tblStyle w:val="TableGrid"/>
        <w:tblW w:w="0" w:type="auto"/>
        <w:tblLook w:val="04A0" w:firstRow="1" w:lastRow="0" w:firstColumn="1" w:lastColumn="0" w:noHBand="0" w:noVBand="1"/>
      </w:tblPr>
      <w:tblGrid>
        <w:gridCol w:w="1293"/>
        <w:gridCol w:w="2007"/>
        <w:gridCol w:w="1765"/>
        <w:gridCol w:w="1832"/>
        <w:gridCol w:w="2119"/>
      </w:tblGrid>
      <w:tr w:rsidR="006F3041" w14:paraId="7AAF0405" w14:textId="54812911" w:rsidTr="00B14550">
        <w:tc>
          <w:tcPr>
            <w:tcW w:w="9016" w:type="dxa"/>
            <w:gridSpan w:val="5"/>
          </w:tcPr>
          <w:p w14:paraId="7A115AAD" w14:textId="4AE1DB09" w:rsidR="006F3041" w:rsidRPr="00E52769" w:rsidRDefault="006F3041" w:rsidP="00DB5683">
            <w:pPr>
              <w:rPr>
                <w:b/>
                <w:bCs/>
              </w:rPr>
            </w:pPr>
            <w:r w:rsidRPr="00E52769">
              <w:rPr>
                <w:b/>
                <w:bCs/>
              </w:rPr>
              <w:t>Positive Control</w:t>
            </w:r>
            <w:r>
              <w:rPr>
                <w:b/>
                <w:bCs/>
              </w:rPr>
              <w:t>s</w:t>
            </w:r>
          </w:p>
        </w:tc>
      </w:tr>
      <w:tr w:rsidR="006F3041" w14:paraId="4C4E7875" w14:textId="06D0861A" w:rsidTr="006F3041">
        <w:tc>
          <w:tcPr>
            <w:tcW w:w="1293" w:type="dxa"/>
          </w:tcPr>
          <w:p w14:paraId="15908E9F" w14:textId="539C80DF" w:rsidR="006F3041" w:rsidRPr="00977BC2" w:rsidRDefault="006F3041" w:rsidP="00DB5683">
            <w:pPr>
              <w:rPr>
                <w:b/>
                <w:bCs/>
              </w:rPr>
            </w:pPr>
            <w:r w:rsidRPr="00977BC2">
              <w:rPr>
                <w:b/>
                <w:bCs/>
              </w:rPr>
              <w:t>Disease</w:t>
            </w:r>
          </w:p>
        </w:tc>
        <w:tc>
          <w:tcPr>
            <w:tcW w:w="1930" w:type="dxa"/>
          </w:tcPr>
          <w:p w14:paraId="65BC28A0" w14:textId="4233661D" w:rsidR="006F3041" w:rsidRPr="00977BC2" w:rsidRDefault="006F3041" w:rsidP="00DB5683">
            <w:pPr>
              <w:rPr>
                <w:b/>
                <w:bCs/>
              </w:rPr>
            </w:pPr>
            <w:r w:rsidRPr="00977BC2">
              <w:rPr>
                <w:b/>
                <w:bCs/>
              </w:rPr>
              <w:t xml:space="preserve">Infective </w:t>
            </w:r>
            <w:r>
              <w:rPr>
                <w:b/>
                <w:bCs/>
              </w:rPr>
              <w:t>agent</w:t>
            </w:r>
            <w:r w:rsidR="00B20849">
              <w:rPr>
                <w:b/>
                <w:bCs/>
              </w:rPr>
              <w:t xml:space="preserve"> &amp; protein</w:t>
            </w:r>
          </w:p>
        </w:tc>
        <w:tc>
          <w:tcPr>
            <w:tcW w:w="1931" w:type="dxa"/>
          </w:tcPr>
          <w:p w14:paraId="7E6F6B2C" w14:textId="52674422" w:rsidR="006F3041" w:rsidRPr="00977BC2" w:rsidRDefault="006F3041" w:rsidP="00DB5683">
            <w:pPr>
              <w:rPr>
                <w:b/>
                <w:bCs/>
              </w:rPr>
            </w:pPr>
            <w:r w:rsidRPr="00977BC2">
              <w:rPr>
                <w:b/>
                <w:bCs/>
              </w:rPr>
              <w:t>HLA</w:t>
            </w:r>
            <w:r w:rsidR="0053002B">
              <w:rPr>
                <w:b/>
                <w:bCs/>
              </w:rPr>
              <w:t xml:space="preserve"> class II</w:t>
            </w:r>
            <w:r w:rsidRPr="00977BC2">
              <w:rPr>
                <w:b/>
                <w:bCs/>
              </w:rPr>
              <w:t xml:space="preserve"> association</w:t>
            </w:r>
            <w:r w:rsidR="0053002B">
              <w:rPr>
                <w:b/>
                <w:bCs/>
              </w:rPr>
              <w:t>s</w:t>
            </w:r>
          </w:p>
        </w:tc>
        <w:tc>
          <w:tcPr>
            <w:tcW w:w="1931" w:type="dxa"/>
          </w:tcPr>
          <w:p w14:paraId="344814B0" w14:textId="70D4467C" w:rsidR="006F3041" w:rsidRPr="00977BC2" w:rsidRDefault="006F3041" w:rsidP="00DB5683">
            <w:pPr>
              <w:rPr>
                <w:b/>
                <w:bCs/>
              </w:rPr>
            </w:pPr>
            <w:proofErr w:type="spellStart"/>
            <w:r w:rsidRPr="00977BC2">
              <w:rPr>
                <w:b/>
                <w:bCs/>
              </w:rPr>
              <w:t xml:space="preserve">Self </w:t>
            </w:r>
            <w:r>
              <w:rPr>
                <w:b/>
                <w:bCs/>
              </w:rPr>
              <w:t>protein</w:t>
            </w:r>
            <w:proofErr w:type="spellEnd"/>
          </w:p>
        </w:tc>
        <w:tc>
          <w:tcPr>
            <w:tcW w:w="1931" w:type="dxa"/>
          </w:tcPr>
          <w:p w14:paraId="08B5529D" w14:textId="241CFBDE" w:rsidR="006F3041" w:rsidRPr="00977BC2" w:rsidRDefault="006F3041" w:rsidP="00DB5683">
            <w:pPr>
              <w:rPr>
                <w:b/>
                <w:bCs/>
              </w:rPr>
            </w:pPr>
            <w:r>
              <w:rPr>
                <w:b/>
                <w:bCs/>
              </w:rPr>
              <w:t>Common sequence (if known)</w:t>
            </w:r>
          </w:p>
        </w:tc>
      </w:tr>
      <w:tr w:rsidR="002B4B10" w14:paraId="7260F514" w14:textId="2F2F093C" w:rsidTr="006F3041">
        <w:tc>
          <w:tcPr>
            <w:tcW w:w="1293" w:type="dxa"/>
            <w:vMerge w:val="restart"/>
          </w:tcPr>
          <w:p w14:paraId="273A33A5" w14:textId="642ADE0F" w:rsidR="002B4B10" w:rsidRPr="00977BC2" w:rsidRDefault="002B4B10" w:rsidP="00DB5683">
            <w:pPr>
              <w:rPr>
                <w:b/>
                <w:bCs/>
              </w:rPr>
            </w:pPr>
            <w:r w:rsidRPr="00977BC2">
              <w:rPr>
                <w:b/>
                <w:bCs/>
              </w:rPr>
              <w:t>T1DM</w:t>
            </w:r>
          </w:p>
        </w:tc>
        <w:tc>
          <w:tcPr>
            <w:tcW w:w="1930" w:type="dxa"/>
          </w:tcPr>
          <w:p w14:paraId="0B2F60F5" w14:textId="3DB7A756" w:rsidR="002B4B10" w:rsidRDefault="002B4B10" w:rsidP="00DB5683">
            <w:r>
              <w:t xml:space="preserve">Coxsackie B4 P2C </w:t>
            </w:r>
            <w:proofErr w:type="spellStart"/>
            <w:r>
              <w:t>nonstructural</w:t>
            </w:r>
            <w:proofErr w:type="spellEnd"/>
            <w:r>
              <w:t xml:space="preserve"> protein (PEVKEK AA sequence)</w:t>
            </w:r>
            <w:r>
              <w:fldChar w:fldCharType="begin"/>
            </w:r>
            <w:r>
              <w:instrText xml:space="preserve"> ADDIN ZOTERO_ITEM CSL_CITATION {"citationID":"hSo4MKcM","properties":{"formattedCitation":"\\super 3\\nosupersub{}","plainCitation":"3","noteIndex":0},"citationItems":[{"id":1324,"uris":["http://zotero.org/users/local/VNX8NcXN/items/LFN7LZBK"],"itemData":{"id":1324,"type":"article-journal","abstract":"Type 1 diabetes is characterized by T cell-mediated autoimmune destruction of pancreatic β cells. Several studies have suggested an association between Coxsackie enterovirus seroconversion and onset of disease. However, a direct link between β cell viral infection and islet inflammation has not been established. We analyzed pancreatic tissue from six type 1 diabetic and 26 control organ donors. Immunohistochemical, electron microscopy, whole-genome ex vivo nucleotide sequencing, cell culture, and immunological studies demonstrated Coxsackie B4 enterovirus in specimens from three of the six diabetic patients. Infection was specific of β cells, which showed nondestructive islet inflammation mediated mainly by natural killer cells. Islets from enterovirus-positive samples displayed reduced insulin secretion in response to glucose and other secretagogues. In addition, virus extracted from positive islets was able to infect β cells from human islets of nondiabetic donors, causing viral inclusions and signs of pyknosis. None of the control organ donors showed signs of viral infection. These studies provide direct evidence that enterovirus can infect β cells in patients with type 1 diabetes and that infection is associated with inflammation and functional impairment.","container-title":"Proceedings of the National Academy of Sciences","DOI":"10.1073/pnas.0700442104","issue":"12","note":"publisher: Proceedings of the National Academy of Sciences","page":"5115-5120","source":"pnas.org (Atypon)","title":"Coxsackie B4 virus infection of β cells and natural killer cell insulitis in recent-onset type 1 diabetic patients","volume":"104","author":[{"family":"Dotta","given":"Francesco"},{"family":"Censini","given":"Stefano"},{"family":"Halteren","given":"Astrid G. S.","non-dropping-particle":"van"},{"family":"Marselli","given":"Lorella"},{"family":"Masini","given":"Matilde"},{"family":"Dionisi","given":"Sabrina"},{"family":"Mosca","given":"Franco"},{"family":"Boggi","given":"Ugo"},{"family":"Muda","given":"Andrea Onetti"},{"family":"Prato","given":"Stefano Del"},{"family":"Elliott","given":"John F."},{"family":"Covacci","given":"Antonello"},{"family":"Rappuoli","given":"Rino"},{"family":"Roep","given":"Bart O."},{"family":"Marchetti","given":"Piero"}],"issued":{"date-parts":[["2007",3,20]]}}}],"schema":"https://github.com/citation-style-language/schema/raw/master/csl-citation.json"} </w:instrText>
            </w:r>
            <w:r>
              <w:fldChar w:fldCharType="separate"/>
            </w:r>
            <w:r w:rsidRPr="001C5A8B">
              <w:rPr>
                <w:rFonts w:ascii="Calibri" w:hAnsi="Calibri" w:cs="Calibri"/>
                <w:kern w:val="0"/>
                <w:szCs w:val="24"/>
                <w:vertAlign w:val="superscript"/>
              </w:rPr>
              <w:t>3</w:t>
            </w:r>
            <w:r>
              <w:fldChar w:fldCharType="end"/>
            </w:r>
          </w:p>
        </w:tc>
        <w:tc>
          <w:tcPr>
            <w:tcW w:w="1931" w:type="dxa"/>
            <w:vMerge w:val="restart"/>
          </w:tcPr>
          <w:p w14:paraId="3C619D3F" w14:textId="0338DB54" w:rsidR="002B4B10" w:rsidRDefault="002B4B10" w:rsidP="00DB5683">
            <w:r>
              <w:t>(</w:t>
            </w:r>
            <w:proofErr w:type="gramStart"/>
            <w:r>
              <w:t>in</w:t>
            </w:r>
            <w:proofErr w:type="gramEnd"/>
            <w:r>
              <w:t xml:space="preserve"> format </w:t>
            </w:r>
            <w:r w:rsidRPr="006067B1">
              <w:t>DRB1</w:t>
            </w:r>
            <w:r>
              <w:t>–</w:t>
            </w:r>
            <w:r w:rsidRPr="006067B1">
              <w:t>DQA1</w:t>
            </w:r>
            <w:r>
              <w:t>–</w:t>
            </w:r>
            <w:r w:rsidRPr="006067B1">
              <w:t>DQB1</w:t>
            </w:r>
            <w:r>
              <w:t xml:space="preserve">) </w:t>
            </w:r>
            <w:r w:rsidRPr="006067B1">
              <w:rPr>
                <w:b/>
                <w:bCs/>
              </w:rPr>
              <w:t>Risk</w:t>
            </w:r>
            <w:r>
              <w:t xml:space="preserve">: </w:t>
            </w:r>
            <w:r w:rsidRPr="006067B1">
              <w:t>04:05</w:t>
            </w:r>
            <w:r>
              <w:t>-</w:t>
            </w:r>
            <w:r w:rsidRPr="006067B1">
              <w:t>03:01</w:t>
            </w:r>
            <w:r>
              <w:t>-</w:t>
            </w:r>
            <w:r w:rsidRPr="006067B1">
              <w:t>03:02</w:t>
            </w:r>
            <w:r>
              <w:t xml:space="preserve">, </w:t>
            </w:r>
            <w:r w:rsidRPr="006067B1">
              <w:t>04:01</w:t>
            </w:r>
            <w:r>
              <w:t>-</w:t>
            </w:r>
            <w:r w:rsidRPr="006067B1">
              <w:t>03:01</w:t>
            </w:r>
            <w:r>
              <w:t>-</w:t>
            </w:r>
            <w:r w:rsidRPr="006067B1">
              <w:t>03:02</w:t>
            </w:r>
            <w:r>
              <w:t xml:space="preserve">, </w:t>
            </w:r>
            <w:r w:rsidRPr="006067B1">
              <w:t>03:01</w:t>
            </w:r>
            <w:r>
              <w:t>-</w:t>
            </w:r>
            <w:r w:rsidRPr="006067B1">
              <w:lastRenderedPageBreak/>
              <w:t>05:01</w:t>
            </w:r>
            <w:r>
              <w:t>-</w:t>
            </w:r>
            <w:r w:rsidRPr="006067B1">
              <w:t>02:01</w:t>
            </w:r>
            <w:r>
              <w:t xml:space="preserve">, </w:t>
            </w:r>
            <w:r w:rsidRPr="006067B1">
              <w:t>04:02</w:t>
            </w:r>
            <w:r>
              <w:t>-</w:t>
            </w:r>
            <w:r w:rsidRPr="006067B1">
              <w:t>03:01</w:t>
            </w:r>
            <w:r>
              <w:t>-</w:t>
            </w:r>
            <w:r w:rsidRPr="006067B1">
              <w:t>03:02</w:t>
            </w:r>
            <w:r w:rsidR="00B105FC">
              <w:t xml:space="preserve">. For fine-mapping see ref. </w:t>
            </w:r>
            <w:r w:rsidR="00B105FC">
              <w:fldChar w:fldCharType="begin"/>
            </w:r>
            <w:r w:rsidR="00B105FC">
              <w:instrText xml:space="preserve"> ADDIN ZOTERO_ITEM CSL_CITATION {"citationID":"VlqVjD4v","properties":{"formattedCitation":"\\super 4\\nosupersub{}","plainCitation":"4","noteIndex":0},"citationItems":[{"id":1362,"uris":["http://zotero.org/users/local/VNX8NcXN/items/UYMGYUSI"],"itemData":{"id":1362,"type":"article-journal","abstract":"Soumya Raychaudhuri and colleagues present a detailed analysis of the association between the HLA region and type 1 diabetes risk. They find that variants at three amino acid positions in HLA-DQβ1 and HLA-DRβ1 account for a large fraction of the association signal, acting through a combination of additive and interaction effects.","container-title":"Nature Genetics","DOI":"10.1038/ng.3353","ISSN":"1546-1718","issue":"8","journalAbbreviation":"Nat Genet","language":"en","license":"2015 Springer Nature America, Inc.","note":"number: 8\npublisher: Nature Publishing Group","page":"898-905","source":"www.nature.com","title":"Additive and interaction effects at three amino acid positions in HLA-DQ and HLA-DR molecules drive type 1 diabetes risk","volume":"47","author":[{"family":"Hu","given":"Xinli"},{"family":"Deutsch","given":"Aaron J."},{"family":"Lenz","given":"Tobias L."},{"family":"Onengut-Gumuscu","given":"Suna"},{"family":"Han","given":"Buhm"},{"family":"Chen","given":"Wei-Min"},{"family":"Howson","given":"Joanna M. M."},{"family":"Todd","given":"John A."},{"family":"Bakker","given":"Paul I. W.","non-dropping-particle":"de"},{"family":"Rich","given":"Stephen S."},{"family":"Raychaudhuri","given":"Soumya"}],"issued":{"date-parts":[["2015",8]]}}}],"schema":"https://github.com/citation-style-language/schema/raw/master/csl-citation.json"} </w:instrText>
            </w:r>
            <w:r w:rsidR="00B105FC">
              <w:fldChar w:fldCharType="separate"/>
            </w:r>
            <w:r w:rsidR="00B105FC" w:rsidRPr="00B105FC">
              <w:rPr>
                <w:rFonts w:ascii="Calibri" w:hAnsi="Calibri" w:cs="Calibri"/>
                <w:kern w:val="0"/>
                <w:szCs w:val="24"/>
                <w:vertAlign w:val="superscript"/>
              </w:rPr>
              <w:t>4</w:t>
            </w:r>
            <w:r w:rsidR="00B105FC">
              <w:fldChar w:fldCharType="end"/>
            </w:r>
            <w:r w:rsidR="00B105FC">
              <w:t xml:space="preserve"> implicating DQB1 (incl. </w:t>
            </w:r>
            <w:r w:rsidR="00B105FC" w:rsidRPr="00AA08DC">
              <w:t>02:01, 02:02, 03:02, 03:04, 03:05</w:t>
            </w:r>
            <w:r w:rsidR="00B105FC">
              <w:t xml:space="preserve">) &amp; DRB1 (incl. </w:t>
            </w:r>
            <w:r w:rsidR="00B105FC" w:rsidRPr="00AA08DC">
              <w:t>04:01, 04:09</w:t>
            </w:r>
            <w:r w:rsidR="00B105FC">
              <w:t xml:space="preserve">) alleles. Binding to DRB1*03:01 observed in ref. </w:t>
            </w:r>
            <w:r w:rsidR="00B105FC">
              <w:fldChar w:fldCharType="begin"/>
            </w:r>
            <w:r w:rsidR="00B105FC">
              <w:instrText xml:space="preserve"> ADDIN ZOTERO_ITEM CSL_CITATION {"citationID":"yvW7khVg","properties":{"formattedCitation":"\\super 5\\nosupersub{}","plainCitation":"5","noteIndex":0},"citationItems":[{"id":1358,"uris":["http://zotero.org/users/local/VNX8NcXN/items/BDHQU7CF"],"itemData":{"id":1358,"type":"article-journal","abstract":"It has been proposed that molecular mimicry between protein 2C (p2C) of coxsackie virus B4 and the autoantigen glutamic acid decarboxylase (GAD65) plays a role in the pathogenesis of insulin-dependent diabetes mellitus (IDDM). In this study we show that the amino acid sequence of p2C which shares homology with a sequence in GAD65 (PEVKEK), is highly conserved in coxsackie virus B4 isolates as well as in different viruses of the subgroup of coxsackie B-like enteroviruses. These are the most prevalent enteroviruses and therefore exposure to the mimicry motif will be a frequent event throughout life. Presentation of the homologous peptides by HLA molecules is essential for T-cell reactivity. Therefore, we tested whether the PEVKEK motif can bind to the IDDM-associated HLA-DR1, -DR3 and -DR4 molecules. Synthetic peptides with sequences derived from p2C and GAD65 did bind to HLA-DR3 but not to HLA-DR1 or -DR4. Replacement of amino acids within the motif showed that the PEVKEK motif binds specifically to HLA-DR3. Moreover, both p2C and GAD65 peptides bind in the same position within the peptide binding groove of the DR3 molecule which is an essential requirement for T-cell cross-reactivity. The results support molecular mimicry between p2C of coxsackie B-like enteroviruses and GAD65. However, this molecular mimicry may be limited to the HLA-DR3 positive subpopulation of IDDM patients. [Diabetologia (1998) 41: 40–46]","container-title":"Diabetologia","DOI":"10.1007/s001250050864","ISSN":"1432-0428","issue":"1","journalAbbreviation":"Diabetologia","language":"en","page":"40-46","source":"Springer Link","title":"Molecular mimicry in diabetes mellitus: the homologous domain  in coxsackie B virus protein 2C and islet autoantigen GAD65  is highly conserved in the coxsackie B-like enteroviruses and binds to the diabetes associated HLA-DR3 molecule","title-short":"Molecular mimicry in diabetes mellitus","volume":"41","author":[{"family":"Vreugdenhil","given":"G. R."},{"family":"Geluk","given":"A."},{"family":"Ottenhoff","given":"T. H. M."},{"family":"Melchers","given":"W. J. G."},{"family":"Roep","given":"B. O."},{"family":"Galama","given":"J. M. D."}],"issued":{"date-parts":[["1998",1,1]]}}}],"schema":"https://github.com/citation-style-language/schema/raw/master/csl-citation.json"} </w:instrText>
            </w:r>
            <w:r w:rsidR="00B105FC">
              <w:fldChar w:fldCharType="separate"/>
            </w:r>
            <w:r w:rsidR="00B105FC" w:rsidRPr="00B105FC">
              <w:rPr>
                <w:rFonts w:ascii="Calibri" w:hAnsi="Calibri" w:cs="Calibri"/>
                <w:kern w:val="0"/>
                <w:szCs w:val="24"/>
                <w:vertAlign w:val="superscript"/>
              </w:rPr>
              <w:t>5</w:t>
            </w:r>
            <w:r w:rsidR="00B105FC">
              <w:fldChar w:fldCharType="end"/>
            </w:r>
            <w:r w:rsidR="00B105FC">
              <w:t>.</w:t>
            </w:r>
          </w:p>
          <w:p w14:paraId="5F3F6009" w14:textId="77777777" w:rsidR="002B4B10" w:rsidRDefault="002B4B10" w:rsidP="00DB5683">
            <w:r w:rsidRPr="006067B1">
              <w:rPr>
                <w:b/>
                <w:bCs/>
              </w:rPr>
              <w:t>Protective</w:t>
            </w:r>
            <w:r>
              <w:t xml:space="preserve">: </w:t>
            </w:r>
          </w:p>
          <w:p w14:paraId="7665582D" w14:textId="77777777" w:rsidR="002B4B10" w:rsidRDefault="002B4B10" w:rsidP="00DB5683">
            <w:r w:rsidRPr="006067B1">
              <w:t>13:03</w:t>
            </w:r>
            <w:r>
              <w:t>-</w:t>
            </w:r>
            <w:r w:rsidRPr="006067B1">
              <w:t>05:01</w:t>
            </w:r>
            <w:r>
              <w:t>-</w:t>
            </w:r>
            <w:r w:rsidRPr="006067B1">
              <w:t>03:01</w:t>
            </w:r>
            <w:r>
              <w:t xml:space="preserve">, </w:t>
            </w:r>
            <w:r w:rsidRPr="006067B1">
              <w:t>11:04</w:t>
            </w:r>
            <w:r>
              <w:t>-</w:t>
            </w:r>
            <w:r w:rsidRPr="006067B1">
              <w:t>05:01</w:t>
            </w:r>
            <w:r>
              <w:t>-</w:t>
            </w:r>
            <w:r w:rsidRPr="006067B1">
              <w:t>03:01</w:t>
            </w:r>
            <w:r>
              <w:t xml:space="preserve">, </w:t>
            </w:r>
            <w:r w:rsidRPr="00381123">
              <w:t>15:01</w:t>
            </w:r>
            <w:r>
              <w:t>-</w:t>
            </w:r>
            <w:r w:rsidRPr="00381123">
              <w:t>01:02</w:t>
            </w:r>
            <w:r>
              <w:t>-</w:t>
            </w:r>
            <w:r w:rsidRPr="00381123">
              <w:t>06:02</w:t>
            </w:r>
            <w:r>
              <w:t>,</w:t>
            </w:r>
          </w:p>
          <w:p w14:paraId="1FD3A260" w14:textId="77777777" w:rsidR="002B4B10" w:rsidRDefault="002B4B10" w:rsidP="00DB5683">
            <w:r w:rsidRPr="00381123">
              <w:t>07:01</w:t>
            </w:r>
            <w:r>
              <w:t>-</w:t>
            </w:r>
            <w:r w:rsidRPr="00381123">
              <w:t>02:01</w:t>
            </w:r>
            <w:r>
              <w:t>-</w:t>
            </w:r>
            <w:r w:rsidRPr="00381123">
              <w:t>03:03</w:t>
            </w:r>
            <w:r>
              <w:t>,</w:t>
            </w:r>
          </w:p>
          <w:p w14:paraId="2A9B54A0" w14:textId="1E6AC1EC" w:rsidR="002B4B10" w:rsidRDefault="002B4B10" w:rsidP="00DB5683">
            <w:r w:rsidRPr="00381123">
              <w:t>14:01</w:t>
            </w:r>
            <w:r>
              <w:t>-</w:t>
            </w:r>
            <w:r w:rsidRPr="00381123">
              <w:t>01:01</w:t>
            </w:r>
            <w:r>
              <w:t>-</w:t>
            </w:r>
            <w:r w:rsidRPr="00381123">
              <w:t>05:03</w:t>
            </w:r>
            <w:r>
              <w:t xml:space="preserve"> see ref. </w:t>
            </w:r>
            <w:r>
              <w:fldChar w:fldCharType="begin"/>
            </w:r>
            <w:r w:rsidR="00B105FC">
              <w:instrText xml:space="preserve"> ADDIN ZOTERO_ITEM CSL_CITATION {"citationID":"V4MtP6B7","properties":{"formattedCitation":"\\super 6\\nosupersub{}","plainCitation":"6","noteIndex":0},"citationItems":[{"id":1321,"uris":["http://zotero.org/users/local/VNX8NcXN/items/JGK26SRW"],"itemData":{"id":1321,"type":"article-journal","abstract":"Type 1 diabetes (T1D) is one of the most widely studied complex genetic disorders, and the genes in HLA are reported to account for approximately 40% to 50% of the familial aggregation of T1D. The major genetic determinants of this disease are polymorphisms of class II HLA genes encoding DQ and DR. The DR-DQ haplotypes conferring the highest risk are DRB1*03:01-DQA1*05:01-DQB1*02:01 (abbreviated “DR3”) and DRB1*04:01/02/04/05/08-DQA1*03:01-DQB1*03:02/04 (or DQB1*02; abbreviated “DR4”). The risk is much higher for the heterozygote formed by these two haplotypes (OR = 16.59; 95% CI, 13.7–20.1) than for either of the homozygotes (DR3/DR3, OR = 6.32; 95% CI, 5.12–7.80; DR4/DR4, OR = 5.68; 95% CI, 3.91). In addition, some haplotypes confer strong protection from disease, such as DRB1*15:01-DQA1*01:02-DQB1*06:02 (abbreviated “DR2”; OR = 0.03; 95% CI, 0.01–0.07). After adjusting for the genetic correlation with DR and DQ, significant associations can be seen for HLA class II DPB1 alleles, in particular, DPB1*04:02, DPB1*03:01, and DPB1*02:02. Outside of the class II region, the strongest susceptibility is conferred by allele B*39:06 (OR =10.31; 95% CI, 4.21–25.1) and other HLA-B alleles. In addition, several loci in the class III region are reported to be associated with T1D, as are some loci telomeric to class I. Not surprisingly, current approaches for the prediction of T1D in screening studies take advantage of genotyping HLA-DR and HLA-DQ loci, which is then combined with family history and screening for autoantibodies directed against islet-cell antigens. Inclusion of additional moderate HLA risk haplotypes may help identify the majority of children with T1D before the onset of the disease.","container-title":"Current diabetes reports","DOI":"10.1007/s11892-011-0223-x","ISSN":"1534-4827","issue":"6","journalAbbreviation":"Curr Diab Rep","note":"PMID: 21912932\nPMCID: PMC3233362","page":"533-542","source":"PubMed Central","title":"Genetics of the HLA Region in the Prediction of Type 1 Diabetes","volume":"11","author":[{"family":"Noble","given":"Janelle A."},{"family":"Valdes","given":"Ana M."}],"issued":{"date-parts":[["2011",12]]}}}],"schema":"https://github.com/citation-style-language/schema/raw/master/csl-citation.json"} </w:instrText>
            </w:r>
            <w:r>
              <w:fldChar w:fldCharType="separate"/>
            </w:r>
            <w:r w:rsidR="00B105FC" w:rsidRPr="00B105FC">
              <w:rPr>
                <w:rFonts w:ascii="Calibri" w:hAnsi="Calibri" w:cs="Calibri"/>
                <w:kern w:val="0"/>
                <w:szCs w:val="24"/>
                <w:vertAlign w:val="superscript"/>
              </w:rPr>
              <w:t>6</w:t>
            </w:r>
            <w:r>
              <w:fldChar w:fldCharType="end"/>
            </w:r>
            <w:r>
              <w:t xml:space="preserve">, </w:t>
            </w:r>
            <w:r>
              <w:fldChar w:fldCharType="begin"/>
            </w:r>
            <w:r w:rsidR="00B105FC">
              <w:instrText xml:space="preserve"> ADDIN ZOTERO_ITEM CSL_CITATION {"citationID":"kXjPiDF6","properties":{"formattedCitation":"\\super 7\\nosupersub{}","plainCitation":"7","noteIndex":0},"citationItems":[{"id":1360,"uris":["http://zotero.org/users/local/VNX8NcXN/items/ZLYR45D9"],"itemData":{"id":1360,"type":"article-journal","abstract":"OBJECTIVE—The Type 1 Diabetes Genetics Consortium has collected type 1 diabetic families worldwide for genetic analysis. The major genetic determinants of type 1 diabetes are alleles at the HLA-DRB1 and DQB1 loci, with both susceptible and protective DR-DQ haplotypes present in all human populations. The aim of this study is to estimate the risk conferred by specific DR-DQ haplotypes and genotypes.RESEARCH DESIGN AND METHODS:—Six hundred and seven Caucasian families and 38 Asian families were typed at high resolution for the DRB1, DQA1, and DQB1 loci. The association analysis was performed by comparing the frequency of DR-DQ haplotypes among the chromosomes transmitted to an affected child with the frequency of chromosomes not transmitted to any affected child.RESULTS—A number of susceptible, neutral, and protective DR-DQ haplotypes have been identified, and a statistically significant hierarchy of type 1 diabetes risk has been established. The most susceptible haplotypes are the DRB1*0301-DQA1*0501-DQB1*0201 (odds ratio [OR] 3.64) and the DRB1*0405-DQA1*0301-DQB1*0302, DRB1*0401-DQA1*0301-DQB*0302, and DRB1*0402-DQA1*0301-DQB1*0302 haplotypes (ORs 11.37, 8.39, and 3.63), followed by the DRB1*0404-DQA1*0301-DQB1*0302 (OR 1.59) and the DRB1*0801-DQB1*0401-DQB1*0402 (OR 1.25) haplotypes. The most protective haplotypes are DRB1*1501-DQA1*0102-DQB1*0602 (OR 0.03), DRB1*1401-DQA1*0101-DQB1*0503 (OR 0.02), and DRB1*0701-DQA1*0201-DQB1*0303 (OR 0.02).CONCLUSIONS—Specific combinations of alleles at the DRB1, DQA1, and DQB1 loci determine the extent of haplotypic risk. The comparison of closely related DR-DQ haplotype pairs with different type 1 diabetes risks allowed identification of specific amino acid positions critical in determining disease susceptibility. These data also indicate that the risk associated with specific HLA haplotypes can be influenced by the genotype context and that the trans-complementing heterodimer encoded by DQA1*0501 and DQB1*0302 confers very high risk.","container-title":"Diabetes","DOI":"10.2337/db07-1331","ISSN":"0012-1797","issue":"4","journalAbbreviation":"Diabetes","page":"1084-1092","source":"Silverchair","title":"HLA DR-DQ Haplotypes and Genotypes and Type 1 Diabetes Risk: Analysis of the Type 1 Diabetes Genetics Consortium Families","title-short":"HLA DR-DQ Haplotypes and Genotypes and Type 1 Diabetes Risk","volume":"57","author":[{"family":"Erlich","given":"Henry"},{"family":"Valdes","given":"Ana Maria"},{"family":"Noble","given":"Janelle"},{"family":"Carlson","given":"Joyce A."},{"family":"Varney","given":"Mike"},{"family":"Concannon","given":"Pat"},{"family":"Mychaleckyj","given":"Josyf C."},{"family":"Todd","given":"John A."},{"family":"Bonella","given":"Persia"},{"family":"Fear","given":"Anna Lisa"},{"family":"Lavant","given":"Eva"},{"family":"Louey","given":"Anthony"},{"family":"Moonsamy","given":"Priscilla"},{"literal":"for the Type 1 Diabetes Genetics Consortium"}],"issued":{"date-parts":[["2008",4,1]]}}}],"schema":"https://github.com/citation-style-language/schema/raw/master/csl-citation.json"} </w:instrText>
            </w:r>
            <w:r>
              <w:fldChar w:fldCharType="separate"/>
            </w:r>
            <w:r w:rsidR="00B105FC" w:rsidRPr="00B105FC">
              <w:rPr>
                <w:rFonts w:ascii="Calibri" w:hAnsi="Calibri" w:cs="Calibri"/>
                <w:kern w:val="0"/>
                <w:szCs w:val="24"/>
                <w:vertAlign w:val="superscript"/>
              </w:rPr>
              <w:t>7</w:t>
            </w:r>
            <w:r>
              <w:fldChar w:fldCharType="end"/>
            </w:r>
            <w:r>
              <w:t xml:space="preserve">. </w:t>
            </w:r>
          </w:p>
          <w:p w14:paraId="7EDC1648" w14:textId="72ABC929" w:rsidR="002B4B10" w:rsidRDefault="002B4B10" w:rsidP="00DB5683"/>
        </w:tc>
        <w:tc>
          <w:tcPr>
            <w:tcW w:w="1931" w:type="dxa"/>
          </w:tcPr>
          <w:p w14:paraId="7B226A9D" w14:textId="67A1B122" w:rsidR="002B4B10" w:rsidRDefault="002B4B10" w:rsidP="00DB5683">
            <w:r>
              <w:lastRenderedPageBreak/>
              <w:t>PEVKEK/PEVKTK sequences (GAD</w:t>
            </w:r>
            <w:r>
              <w:rPr>
                <w:vertAlign w:val="subscript"/>
              </w:rPr>
              <w:t xml:space="preserve">65/67 </w:t>
            </w:r>
            <w:r>
              <w:t>respectively)</w:t>
            </w:r>
            <w:r>
              <w:fldChar w:fldCharType="begin"/>
            </w:r>
            <w:r>
              <w:instrText xml:space="preserve"> ADDIN ZOTERO_ITEM CSL_CITATION {"citationID":"B28FUdB5","properties":{"formattedCitation":"\\super 8\\nosupersub{}","plainCitation":"8","noteIndex":0},"citationItems":[{"id":1318,"uris":["http://zotero.org/users/local/VNX8NcXN/items/3V46LY77"],"itemData":{"id":1318,"type":"article-journal","abstract":"Insulin-dependent diabetes mellitus (IDDM) is thought to result from the autoimmune destruction of the insulin-producing beta cells of the pancreas. Years before IDDM symptoms appear, we can detect autoantibodies to one or both forms of glutamate decarboxylase (GAD65 and GAD67), synthesized from their respective cDNAs in a bacterial expression system. Individual IDDM sera show distinctive profiles of epitope recognition, suggesting different humoral immune responses. Although the level of GAD autoantibodies generally decline after IDDM onset, patients with IDDM-associated neuropathies have high levels of antibodies to GAD, years after the appearance of clinical IDDM. We note a striking sequence similarity between the two GADs and Coxsackievirus, a virus that has been associated with IDDM both in humans and in experimental animals. This similarity suggests that molecular mimicry may play a role in the pathogenesis of IDDM.","container-title":"Journal of Clinical Investigation","ISSN":"0021-9738","issue":"1","journalAbbreviation":"J Clin Invest","note":"PMID: 1370298\nPMCID: PMC442846","page":"283-292","source":"PubMed Central","title":"Autoimmunity to two forms of glutamate decarboxylase in insulin-dependent diabetes mellitus.","volume":"89","author":[{"family":"Kaufman","given":"D L"},{"family":"Erlander","given":"M G"},{"family":"Clare-Salzler","given":"M"},{"family":"Atkinson","given":"M A"},{"family":"Maclaren","given":"N K"},{"family":"Tobin","given":"A J"}],"issued":{"date-parts":[["1992",1]]}}}],"schema":"https://github.com/citation-style-language/schema/raw/master/csl-citation.json"} </w:instrText>
            </w:r>
            <w:r>
              <w:fldChar w:fldCharType="separate"/>
            </w:r>
            <w:r w:rsidRPr="00252AA7">
              <w:rPr>
                <w:rFonts w:ascii="Calibri" w:hAnsi="Calibri" w:cs="Calibri"/>
                <w:kern w:val="0"/>
                <w:szCs w:val="24"/>
                <w:vertAlign w:val="superscript"/>
              </w:rPr>
              <w:t>8</w:t>
            </w:r>
            <w:r>
              <w:fldChar w:fldCharType="end"/>
            </w:r>
          </w:p>
        </w:tc>
        <w:tc>
          <w:tcPr>
            <w:tcW w:w="1931" w:type="dxa"/>
          </w:tcPr>
          <w:p w14:paraId="3A81FF1D" w14:textId="205CF948" w:rsidR="002B4B10" w:rsidRDefault="002B4B10" w:rsidP="00DB5683">
            <w:r>
              <w:t>PEVKXK</w:t>
            </w:r>
          </w:p>
        </w:tc>
      </w:tr>
      <w:tr w:rsidR="002B4B10" w14:paraId="65D81166" w14:textId="77777777" w:rsidTr="006F3041">
        <w:tc>
          <w:tcPr>
            <w:tcW w:w="1293" w:type="dxa"/>
            <w:vMerge/>
          </w:tcPr>
          <w:p w14:paraId="6F395F6B" w14:textId="77777777" w:rsidR="002B4B10" w:rsidRPr="00977BC2" w:rsidRDefault="002B4B10" w:rsidP="00DB5683">
            <w:pPr>
              <w:rPr>
                <w:b/>
                <w:bCs/>
              </w:rPr>
            </w:pPr>
          </w:p>
        </w:tc>
        <w:tc>
          <w:tcPr>
            <w:tcW w:w="1930" w:type="dxa"/>
          </w:tcPr>
          <w:p w14:paraId="070E7BAB" w14:textId="3D58E3B8" w:rsidR="002B4B10" w:rsidRDefault="002B4B10" w:rsidP="00DB5683">
            <w:r>
              <w:t xml:space="preserve">Enteroviruses, conserved VP1 </w:t>
            </w:r>
            <w:r>
              <w:lastRenderedPageBreak/>
              <w:t>protein (ALTAV sequence)</w:t>
            </w:r>
            <w:r>
              <w:fldChar w:fldCharType="begin"/>
            </w:r>
            <w:r>
              <w:instrText xml:space="preserve"> ADDIN ZOTERO_ITEM CSL_CITATION {"citationID":"6qgbCc31","properties":{"formattedCitation":"\\super 9\\nosupersub{}","plainCitation":"9","noteIndex":0},"citationItems":[{"id":1366,"uris":["http://zotero.org/users/local/VNX8NcXN/items/YCQQFHRC"],"itemData":{"id":1366,"type":"article-journal","abstract":"Insulin-dependent (type 1) diabetes is characterized by progressive destruction of insulin-producing β cells probably by autoreactive T lymphocytes. Viral infections, especially those caused by coxsackieviruses, are postulated to play a role in the pathogenesis of the disease in humans. One mechanism by which viral infections could initiate or accelerate diabetogenic processes is “molecular mimicry,” induction of antiviral immune responses cross-reacting with epitopes in the β-cell autoantigens. Tyrosine phosphatases (IA-2, IAR) represent a major target autoantigen in type 1 diabetes. Both humoral and cellular immune responses are directed to the carboxy-terminal (C-terminal) part of the protein. This region has a 5-amino acid sequence identity, followed by five amino acid similarity with the conservative motif in the VP1-protein of enteroviruses (PALTAVETGA/HT), which is a highly immunogenic B- and T-cell epitope in enterovirus infection-induced immune responses. This observation prompted us to investigate potential humoral cross-reactions between immune responses induced by tyrosine phosphatases and enteroviruses. The reactivities of various peptide- and virus-induced rabbit antisera clearly demonstrated that cross-reactions do exist, and in both directions. Using epitope mapping, we were able to show that several diabetes-linked epitopes in IA-2 were also recognized by CBV-4-induced antisera. Immunization of female NOD-mice with formalin-inactivated purified strain of coxsackievirus B4 (CBV-4-E2) induced an immune response that recognized the IA-2/IAR diabetogenic peptide. The results obtained with human paired sera, collected during enterovirus infection, indicated that enterovirus infection in humans may also occasionally induce a humoral response that cross-reacts with IA-2/IAR. J. Med. Virol. 66:340-350, 2002. © 2002 Wiley-Liss, Inc.","container-title":"Journal of Medical Virology","DOI":"10.1002/jmv.2151","ISSN":"1096-9071","issue":"3","language":"en","license":"Copyright © 2002 Wiley-Liss, Inc.","note":"_eprint: https://onlinelibrary.wiley.com/doi/pdf/10.1002/jmv.2151","page":"340-350","source":"Wiley Online Library","title":"Enterovirus infection can induce immune responses that cross-react with β-cell autoantigen tyrosine phosphatase IA-2/IAR","volume":"66","author":[{"family":"Härkönen","given":"T."},{"family":"Lankinen","given":"H."},{"family":"Davydova","given":"B."},{"family":"Hovi","given":"T."},{"family":"Roivainen","given":"M."}],"issued":{"date-parts":[["2002"]]}}}],"schema":"https://github.com/citation-style-language/schema/raw/master/csl-citation.json"} </w:instrText>
            </w:r>
            <w:r>
              <w:fldChar w:fldCharType="separate"/>
            </w:r>
            <w:r w:rsidRPr="00360D8E">
              <w:rPr>
                <w:rFonts w:ascii="Calibri" w:hAnsi="Calibri" w:cs="Calibri"/>
                <w:kern w:val="0"/>
                <w:szCs w:val="24"/>
                <w:vertAlign w:val="superscript"/>
              </w:rPr>
              <w:t>9</w:t>
            </w:r>
            <w:r>
              <w:fldChar w:fldCharType="end"/>
            </w:r>
          </w:p>
        </w:tc>
        <w:tc>
          <w:tcPr>
            <w:tcW w:w="1931" w:type="dxa"/>
            <w:vMerge/>
          </w:tcPr>
          <w:p w14:paraId="51AB02E5" w14:textId="2081F0A6" w:rsidR="002B4B10" w:rsidRDefault="002B4B10" w:rsidP="00DB5683"/>
        </w:tc>
        <w:tc>
          <w:tcPr>
            <w:tcW w:w="1931" w:type="dxa"/>
          </w:tcPr>
          <w:p w14:paraId="289AF8BD" w14:textId="7A8FD9AA" w:rsidR="002B4B10" w:rsidRDefault="002B4B10" w:rsidP="00DB5683">
            <w:r w:rsidRPr="00360D8E">
              <w:t xml:space="preserve">Receptor-type tyrosine-protein </w:t>
            </w:r>
            <w:r w:rsidRPr="00360D8E">
              <w:lastRenderedPageBreak/>
              <w:t>phosphatase-like N</w:t>
            </w:r>
            <w:r>
              <w:fldChar w:fldCharType="begin"/>
            </w:r>
            <w:r>
              <w:instrText xml:space="preserve"> ADDIN ZOTERO_ITEM CSL_CITATION {"citationID":"s2aiDBdp","properties":{"formattedCitation":"\\super 9\\nosupersub{}","plainCitation":"9","noteIndex":0},"citationItems":[{"id":1366,"uris":["http://zotero.org/users/local/VNX8NcXN/items/YCQQFHRC"],"itemData":{"id":1366,"type":"article-journal","abstract":"Insulin-dependent (type 1) diabetes is characterized by progressive destruction of insulin-producing β cells probably by autoreactive T lymphocytes. Viral infections, especially those caused by coxsackieviruses, are postulated to play a role in the pathogenesis of the disease in humans. One mechanism by which viral infections could initiate or accelerate diabetogenic processes is “molecular mimicry,” induction of antiviral immune responses cross-reacting with epitopes in the β-cell autoantigens. Tyrosine phosphatases (IA-2, IAR) represent a major target autoantigen in type 1 diabetes. Both humoral and cellular immune responses are directed to the carboxy-terminal (C-terminal) part of the protein. This region has a 5-amino acid sequence identity, followed by five amino acid similarity with the conservative motif in the VP1-protein of enteroviruses (PALTAVETGA/HT), which is a highly immunogenic B- and T-cell epitope in enterovirus infection-induced immune responses. This observation prompted us to investigate potential humoral cross-reactions between immune responses induced by tyrosine phosphatases and enteroviruses. The reactivities of various peptide- and virus-induced rabbit antisera clearly demonstrated that cross-reactions do exist, and in both directions. Using epitope mapping, we were able to show that several diabetes-linked epitopes in IA-2 were also recognized by CBV-4-induced antisera. Immunization of female NOD-mice with formalin-inactivated purified strain of coxsackievirus B4 (CBV-4-E2) induced an immune response that recognized the IA-2/IAR diabetogenic peptide. The results obtained with human paired sera, collected during enterovirus infection, indicated that enterovirus infection in humans may also occasionally induce a humoral response that cross-reacts with IA-2/IAR. J. Med. Virol. 66:340-350, 2002. © 2002 Wiley-Liss, Inc.","container-title":"Journal of Medical Virology","DOI":"10.1002/jmv.2151","ISSN":"1096-9071","issue":"3","language":"en","license":"Copyright © 2002 Wiley-Liss, Inc.","note":"_eprint: https://onlinelibrary.wiley.com/doi/pdf/10.1002/jmv.2151","page":"340-350","source":"Wiley Online Library","title":"Enterovirus infection can induce immune responses that cross-react with β-cell autoantigen tyrosine phosphatase IA-2/IAR","volume":"66","author":[{"family":"Härkönen","given":"T."},{"family":"Lankinen","given":"H."},{"family":"Davydova","given":"B."},{"family":"Hovi","given":"T."},{"family":"Roivainen","given":"M."}],"issued":{"date-parts":[["2002"]]}}}],"schema":"https://github.com/citation-style-language/schema/raw/master/csl-citation.json"} </w:instrText>
            </w:r>
            <w:r>
              <w:fldChar w:fldCharType="separate"/>
            </w:r>
            <w:r w:rsidRPr="00360D8E">
              <w:rPr>
                <w:rFonts w:ascii="Calibri" w:hAnsi="Calibri" w:cs="Calibri"/>
                <w:kern w:val="0"/>
                <w:szCs w:val="24"/>
                <w:vertAlign w:val="superscript"/>
              </w:rPr>
              <w:t>9</w:t>
            </w:r>
            <w:r>
              <w:fldChar w:fldCharType="end"/>
            </w:r>
          </w:p>
        </w:tc>
        <w:tc>
          <w:tcPr>
            <w:tcW w:w="1931" w:type="dxa"/>
          </w:tcPr>
          <w:p w14:paraId="5C453390" w14:textId="20D54305" w:rsidR="002B4B10" w:rsidRDefault="002B4B10" w:rsidP="00DB5683">
            <w:r>
              <w:lastRenderedPageBreak/>
              <w:t>ALTAV</w:t>
            </w:r>
          </w:p>
        </w:tc>
      </w:tr>
      <w:tr w:rsidR="002B4B10" w14:paraId="00F9B79A" w14:textId="77777777" w:rsidTr="00360D8E">
        <w:tc>
          <w:tcPr>
            <w:tcW w:w="1293" w:type="dxa"/>
            <w:vMerge/>
          </w:tcPr>
          <w:p w14:paraId="47EBA349" w14:textId="77777777" w:rsidR="002B4B10" w:rsidRPr="00977BC2" w:rsidRDefault="002B4B10" w:rsidP="00DB5683">
            <w:pPr>
              <w:rPr>
                <w:b/>
                <w:bCs/>
              </w:rPr>
            </w:pPr>
          </w:p>
        </w:tc>
        <w:tc>
          <w:tcPr>
            <w:tcW w:w="1930" w:type="dxa"/>
          </w:tcPr>
          <w:p w14:paraId="35E3FA9E" w14:textId="125AA4C9" w:rsidR="002B4B10" w:rsidRDefault="002B4B10" w:rsidP="00DB5683">
            <w:r>
              <w:t>R</w:t>
            </w:r>
            <w:r w:rsidRPr="00360D8E">
              <w:t>otavirus VP7 (serotype G3, human strain P)</w:t>
            </w:r>
          </w:p>
        </w:tc>
        <w:tc>
          <w:tcPr>
            <w:tcW w:w="1931" w:type="dxa"/>
            <w:vMerge/>
          </w:tcPr>
          <w:p w14:paraId="061243BD" w14:textId="6A357978" w:rsidR="002B4B10" w:rsidRDefault="002B4B10" w:rsidP="00DB5683"/>
        </w:tc>
        <w:tc>
          <w:tcPr>
            <w:tcW w:w="1931" w:type="dxa"/>
          </w:tcPr>
          <w:p w14:paraId="05BD4FF4" w14:textId="098D7D98" w:rsidR="002B4B10" w:rsidRPr="00360D8E" w:rsidRDefault="002B4B10" w:rsidP="00DB5683">
            <w:r w:rsidRPr="00360D8E">
              <w:t>tyrosine phosphatase-like insulinoma Ag 2 (IA2)</w:t>
            </w:r>
            <w:r>
              <w:t>, GAD</w:t>
            </w:r>
            <w:r w:rsidRPr="00360D8E">
              <w:rPr>
                <w:vertAlign w:val="subscript"/>
              </w:rPr>
              <w:t>65</w:t>
            </w:r>
            <w:r>
              <w:rPr>
                <w:vertAlign w:val="subscript"/>
              </w:rPr>
              <w:fldChar w:fldCharType="begin"/>
            </w:r>
            <w:r>
              <w:rPr>
                <w:vertAlign w:val="subscript"/>
              </w:rPr>
              <w:instrText xml:space="preserve"> ADDIN ZOTERO_ITEM CSL_CITATION {"citationID":"sN2RDbOx","properties":{"formattedCitation":"\\super 10\\nosupersub{}","plainCitation":"10","noteIndex":0},"citationItems":[{"id":1367,"uris":["http://zotero.org/users/local/VNX8NcXN/items/CN74NILS"],"itemData":{"id":1367,"type":"article-journal","abstract":"In type 1 diabetes, insulin-producing β cells in the islets of the pancreas are destroyed by autoreactive T cells. Rotavirus (RV) has been implicated in the pathogenesis of type 1 diabetes. Peptides in VP7, a major immunogenic protein of RV, have high sequence similarity to T cell epitope peptides in the islet autoantigens tyrosine phosphatase-like insulinoma Ag 2 (IA2) and glutamic acid decarboxylase 65 (GAD65). We aimed to educe evidence for the hypothesis that molecular mimicry with RV promotes autoimmunity to islet autoantigens. Peptides in RV and their sequence-similar counterparts in IA2 and GAD65 were assayed for binding to HLA molecules associated with type 1 diabetes and for the ability to elicit T cell proliferative responses in HLA-typed individuals. T cells expanded or cloned to epitopes in IA2 or RV were then tested for cross-reactivity with these epitopes. Peptides in RV-VP7, similar to T cell epitopes in IA2 and GAD65, bound strongly to HLA-DRB1*04 molecules that confer susceptibility to type 1 diabetes and were also T cell epitopes in humans at risk for type 1 diabetes. The proliferative responses of T cells to the similar peptides in RV and islet autoantigens were significantly correlated. T cells expanded to the IA2 epitope could be restimulated to express IFN-γ by the similar peptide in RV-VP7, and T cell clones generated to this RV-VP7 peptide cross-reacted with the IA2 epitope. Our findings are consistent with the hypothesis that molecular mimicry with RV could promote autoimmunity to islet Ags.","container-title":"The Journal of Immunology","DOI":"10.4049/jimmunol.0900709","ISSN":"0022-1767","issue":"4","journalAbbreviation":"The Journal of Immunology","page":"2204-2210","source":"Silverchair","title":"Evidence for Molecular Mimicry between Human T Cell Epitopes in Rotavirus and Pancreatic Islet Autoantigens","volume":"184","author":[{"family":"Honeyman","given":"Margo C."},{"family":"Stone","given":"Natalie L."},{"family":"Falk","given":"Ben A."},{"family":"Nepom","given":"Gerald"},{"family":"Harrison","given":"Leonard C."}],"issued":{"date-parts":[["2010",1,18]]}}}],"schema":"https://github.com/citation-style-language/schema/raw/master/csl-citation.json"} </w:instrText>
            </w:r>
            <w:r>
              <w:rPr>
                <w:vertAlign w:val="subscript"/>
              </w:rPr>
              <w:fldChar w:fldCharType="separate"/>
            </w:r>
            <w:r w:rsidRPr="004667B4">
              <w:rPr>
                <w:rFonts w:ascii="Calibri" w:hAnsi="Calibri" w:cs="Calibri"/>
                <w:kern w:val="0"/>
                <w:szCs w:val="24"/>
                <w:vertAlign w:val="superscript"/>
              </w:rPr>
              <w:t>10</w:t>
            </w:r>
            <w:r>
              <w:rPr>
                <w:vertAlign w:val="subscript"/>
              </w:rPr>
              <w:fldChar w:fldCharType="end"/>
            </w:r>
          </w:p>
        </w:tc>
        <w:tc>
          <w:tcPr>
            <w:tcW w:w="1931" w:type="dxa"/>
          </w:tcPr>
          <w:p w14:paraId="4AB0F026" w14:textId="42D28560" w:rsidR="002B4B10" w:rsidRPr="00360D8E" w:rsidRDefault="002B4B10" w:rsidP="00360D8E">
            <w:r>
              <w:t xml:space="preserve">Longest contiguous sequence is 3aa but region of similarity aa16-49, see ref. </w:t>
            </w:r>
            <w:r>
              <w:fldChar w:fldCharType="begin"/>
            </w:r>
            <w:r>
              <w:instrText xml:space="preserve"> ADDIN ZOTERO_ITEM CSL_CITATION {"citationID":"2VZ6tZZ4","properties":{"formattedCitation":"\\super 10\\nosupersub{}","plainCitation":"10","noteIndex":0},"citationItems":[{"id":1367,"uris":["http://zotero.org/users/local/VNX8NcXN/items/CN74NILS"],"itemData":{"id":1367,"type":"article-journal","abstract":"In type 1 diabetes, insulin-producing β cells in the islets of the pancreas are destroyed by autoreactive T cells. Rotavirus (RV) has been implicated in the pathogenesis of type 1 diabetes. Peptides in VP7, a major immunogenic protein of RV, have high sequence similarity to T cell epitope peptides in the islet autoantigens tyrosine phosphatase-like insulinoma Ag 2 (IA2) and glutamic acid decarboxylase 65 (GAD65). We aimed to educe evidence for the hypothesis that molecular mimicry with RV promotes autoimmunity to islet autoantigens. Peptides in RV and their sequence-similar counterparts in IA2 and GAD65 were assayed for binding to HLA molecules associated with type 1 diabetes and for the ability to elicit T cell proliferative responses in HLA-typed individuals. T cells expanded or cloned to epitopes in IA2 or RV were then tested for cross-reactivity with these epitopes. Peptides in RV-VP7, similar to T cell epitopes in IA2 and GAD65, bound strongly to HLA-DRB1*04 molecules that confer susceptibility to type 1 diabetes and were also T cell epitopes in humans at risk for type 1 diabetes. The proliferative responses of T cells to the similar peptides in RV and islet autoantigens were significantly correlated. T cells expanded to the IA2 epitope could be restimulated to express IFN-γ by the similar peptide in RV-VP7, and T cell clones generated to this RV-VP7 peptide cross-reacted with the IA2 epitope. Our findings are consistent with the hypothesis that molecular mimicry with RV could promote autoimmunity to islet Ags.","container-title":"The Journal of Immunology","DOI":"10.4049/jimmunol.0900709","ISSN":"0022-1767","issue":"4","journalAbbreviation":"The Journal of Immunology","page":"2204-2210","source":"Silverchair","title":"Evidence for Molecular Mimicry between Human T Cell Epitopes in Rotavirus and Pancreatic Islet Autoantigens","volume":"184","author":[{"family":"Honeyman","given":"Margo C."},{"family":"Stone","given":"Natalie L."},{"family":"Falk","given":"Ben A."},{"family":"Nepom","given":"Gerald"},{"family":"Harrison","given":"Leonard C."}],"issued":{"date-parts":[["2010",1,18]]}}}],"schema":"https://github.com/citation-style-language/schema/raw/master/csl-citation.json"} </w:instrText>
            </w:r>
            <w:r>
              <w:fldChar w:fldCharType="separate"/>
            </w:r>
            <w:r w:rsidRPr="00360D8E">
              <w:rPr>
                <w:rFonts w:ascii="Calibri" w:hAnsi="Calibri" w:cs="Calibri"/>
                <w:kern w:val="0"/>
                <w:szCs w:val="24"/>
                <w:vertAlign w:val="superscript"/>
              </w:rPr>
              <w:t>10</w:t>
            </w:r>
            <w:r>
              <w:fldChar w:fldCharType="end"/>
            </w:r>
          </w:p>
        </w:tc>
      </w:tr>
      <w:tr w:rsidR="001F4EAD" w14:paraId="0A9EF5A8" w14:textId="2824DDD8" w:rsidTr="006F3041">
        <w:tc>
          <w:tcPr>
            <w:tcW w:w="1293" w:type="dxa"/>
            <w:vMerge w:val="restart"/>
          </w:tcPr>
          <w:p w14:paraId="4A8735C7" w14:textId="27874632" w:rsidR="001F4EAD" w:rsidRPr="00977BC2" w:rsidRDefault="001F4EAD" w:rsidP="00DB5683">
            <w:pPr>
              <w:rPr>
                <w:b/>
                <w:bCs/>
              </w:rPr>
            </w:pPr>
            <w:r w:rsidRPr="00977BC2">
              <w:rPr>
                <w:b/>
                <w:bCs/>
              </w:rPr>
              <w:t>MS</w:t>
            </w:r>
          </w:p>
        </w:tc>
        <w:tc>
          <w:tcPr>
            <w:tcW w:w="1930" w:type="dxa"/>
          </w:tcPr>
          <w:p w14:paraId="4026E198" w14:textId="2BB6F64A" w:rsidR="001F4EAD" w:rsidRDefault="001F4EAD" w:rsidP="00DB5683">
            <w:r>
              <w:t>EBV nuclear antigen 1 (EBNA1)</w:t>
            </w:r>
            <w:r>
              <w:fldChar w:fldCharType="begin"/>
            </w:r>
            <w:r>
              <w:instrText xml:space="preserve"> ADDIN ZOTERO_ITEM CSL_CITATION {"citationID":"Wm8q4qvz","properties":{"formattedCitation":"\\super 11\\nosupersub{}","plainCitation":"11","noteIndex":0},"citationItems":[{"id":1334,"uris":["http://zotero.org/users/local/VNX8NcXN/items/QEGMN7M5"],"itemData":{"id":1334,"type":"article-journal","abstract":"Epstein–Barr virus (EBV) is a ubiquitous human lymphotropic herpesvirus with a well-established causal role in several cancers. Recent studies have provided compelling epidemiological and mechanistic evidence for a causal role of EBV in multiple sclerosis (MS). MS is the most prevalent chronic inflammatory and neurodegenerative disease of the central nervous system and is thought to be triggered in genetically predisposed individuals by an infectious agent, with EBV as the lead candidate. How a ubiquitous virus that typically leads to benign latent infections can promote cancer and autoimmune disease in at-risk populations is not fully understood. Here we review the evidence that EBV is a causal agent for MS and how various risk factors may affect EBV infection and immune control. We focus on EBV contributing to MS through reprogramming of latently infected B lymphocytes and the chronic presentation of viral antigens as a potential source of autoreactivity through molecular mimicry. We consider how knowledge of EBV-associated cancers may be instructive for understanding the role of EBV in MS and discuss the potential for therapies that target EBV to treat MS.","container-title":"Nature Reviews Microbiology","DOI":"10.1038/s41579-022-00770-5","ISSN":"1740-1534","issue":"1","journalAbbreviation":"Nat Rev Microbiol","language":"en","license":"2022 Springer Nature Limited","note":"number: 1\npublisher: Nature Publishing Group","page":"51-64","source":"www.nature.com","title":"Epstein–Barr virus and multiple sclerosis","volume":"21","author":[{"family":"Soldan","given":"Samantha S."},{"family":"Lieberman","given":"Paul M."}],"issued":{"date-parts":[["2023",1]]}}}],"schema":"https://github.com/citation-style-language/schema/raw/master/csl-citation.json"} </w:instrText>
            </w:r>
            <w:r>
              <w:fldChar w:fldCharType="separate"/>
            </w:r>
            <w:r w:rsidRPr="00360D8E">
              <w:rPr>
                <w:rFonts w:ascii="Calibri" w:hAnsi="Calibri" w:cs="Calibri"/>
                <w:kern w:val="0"/>
                <w:szCs w:val="24"/>
                <w:vertAlign w:val="superscript"/>
              </w:rPr>
              <w:t>11</w:t>
            </w:r>
            <w:r>
              <w:fldChar w:fldCharType="end"/>
            </w:r>
          </w:p>
        </w:tc>
        <w:tc>
          <w:tcPr>
            <w:tcW w:w="1931" w:type="dxa"/>
            <w:vMerge w:val="restart"/>
          </w:tcPr>
          <w:p w14:paraId="224ADFB1" w14:textId="77777777" w:rsidR="001F4EAD" w:rsidRDefault="00620F93" w:rsidP="00DB5683">
            <w:r w:rsidRPr="00620F93">
              <w:rPr>
                <w:b/>
                <w:bCs/>
              </w:rPr>
              <w:t>Risk:</w:t>
            </w:r>
            <w:r>
              <w:t xml:space="preserve"> </w:t>
            </w:r>
            <w:r w:rsidR="001F4EAD" w:rsidRPr="00F26BEC">
              <w:t>HLA-DRB1*15</w:t>
            </w:r>
            <w:r w:rsidR="001F4EAD">
              <w:t>:</w:t>
            </w:r>
            <w:r w:rsidR="001F4EAD" w:rsidRPr="00F26BEC">
              <w:t>01</w:t>
            </w:r>
            <w:r w:rsidR="001F4EAD">
              <w:t xml:space="preserve"> (primary risk allele)</w:t>
            </w:r>
            <w:r w:rsidR="001F4EAD">
              <w:fldChar w:fldCharType="begin"/>
            </w:r>
            <w:r w:rsidR="001F4EAD">
              <w:instrText xml:space="preserve"> ADDIN ZOTERO_ITEM CSL_CITATION {"citationID":"rOLHySXN","properties":{"formattedCitation":"\\super 12\\nosupersub{}","plainCitation":"12","noteIndex":0},"citationItems":[{"id":1333,"uris":["http://zotero.org/users/local/VNX8NcXN/items/XPXP9NE8"],"itemData":{"id":1333,"type":"article-journal","container-title":"Multiple Sclerosis Journal","DOI":"10.1177/135245859700300606","ISSN":"1352-4585","issue":"6","journalAbbreviation":"Mult Scler","language":"en","note":"publisher: SAGE Publications Ltd STM","page":"388-389","source":"SAGE Journals","title":"Multiple sclerosis and viruses","volume":"3","author":[{"family":"Cook","given":"SD"}],"issued":{"date-parts":[["1997",12,1]]}}}],"schema":"https://github.com/citation-style-language/schema/raw/master/csl-citation.json"} </w:instrText>
            </w:r>
            <w:r w:rsidR="001F4EAD">
              <w:fldChar w:fldCharType="separate"/>
            </w:r>
            <w:r w:rsidR="001F4EAD" w:rsidRPr="00360D8E">
              <w:rPr>
                <w:rFonts w:ascii="Calibri" w:hAnsi="Calibri" w:cs="Calibri"/>
                <w:kern w:val="0"/>
                <w:szCs w:val="24"/>
                <w:vertAlign w:val="superscript"/>
              </w:rPr>
              <w:t>12</w:t>
            </w:r>
            <w:r w:rsidR="001F4EAD">
              <w:fldChar w:fldCharType="end"/>
            </w:r>
            <w:r w:rsidR="001F4EAD">
              <w:t>, supported by fine mapping</w:t>
            </w:r>
            <w:r w:rsidR="001F4EAD">
              <w:fldChar w:fldCharType="begin"/>
            </w:r>
            <w:r w:rsidR="001F4EAD">
              <w:instrText xml:space="preserve"> ADDIN ZOTERO_ITEM CSL_CITATION {"citationID":"wlcbRQVR","properties":{"formattedCitation":"\\super 13\\nosupersub{}","plainCitation":"13","noteIndex":0},"citationItems":[{"id":1364,"uris":["http://zotero.org/users/local/VNX8NcXN/items/HJUKHWZQ"],"itemData":{"id":1364,"type":"article-journal","abstract":"The major histocompatibility complex (MHC) region is strongly associated with multiple sclerosis (MS) susceptibility. HLA-DRB1*15:01 has the strongest effect, and several other alleles have been reported at different levels of validation. Using SNP data from genome-wide studies, we imputed and tested classical alleles and amino acid polymorphisms in 8 classical human leukocyte antigen (HLA) genes in 5,091 cases and 9,595 controls. We identified 11 statistically independent effects overall: 6 HLA-DRB1 and one DPB1 alleles in class II, one HLA-A and two B alleles in class I, and one signal in a region spanning from MICB to LST1. This genomic segment does not contain any HLA class I or II genes and provides robust evidence for the involvement of a non-HLA risk allele within the MHC. Interestingly, this region contains the TNF gene, the cognate ligand of the well-validated TNFRSF1A MS susceptibility gene. The classical HLA effects can be explained to some extent by polymorphic amino acid positions in the peptide-binding grooves. This study dissects the independent effects in the MHC, a critical region for MS susceptibility that harbors multiple risk alleles.","container-title":"PLOS Genetics","DOI":"10.1371/journal.pgen.1003926","ISSN":"1553-7404","issue":"11","journalAbbreviation":"PLOS Genetics","language":"en","note":"publisher: Public Library of Science","page":"e1003926","source":"PLoS Journals","title":"Fine-Mapping the Genetic Association of the Major Histocompatibility Complex in Multiple Sclerosis: HLA and Non-HLA Effects","title-short":"Fine-Mapping the Genetic Association of the Major Histocompatibility Complex in Multiple Sclerosis","volume":"9","author":[{"family":"Patsopoulos","given":"Nikolaos A."},{"family":"Barcellos","given":"Lisa F."},{"family":"Hintzen","given":"Rogier Q."},{"family":"Schaefer","given":"Catherine"},{"family":"Duijn","given":"Cornelia M.","dropping-particle":"van"},{"family":"Noble","given":"Janelle A."},{"family":"Raj","given":"Towfique"},{"family":"IMSGC","given":""},{"family":"ANZgene","given":""},{"family":"Gourraud","given":"Pierre-Antoine"},{"family":"Stranger","given":"Barbara E."},{"family":"Oksenberg","given":"Jorge"},{"family":"Olsson","given":"Tomas"},{"family":"Taylor","given":"Bruce V."},{"family":"Sawcer","given":"Stephen"},{"family":"Hafler","given":"David A."},{"family":"Carrington","given":"Mary"},{"family":"Jager","given":"Philip L. De"},{"family":"Bakker","given":"Paul I. W.","dropping-particle":"de"}],"issued":{"date-parts":[["2013",11,21]]}}}],"schema":"https://github.com/citation-style-language/schema/raw/master/csl-citation.json"} </w:instrText>
            </w:r>
            <w:r w:rsidR="001F4EAD">
              <w:fldChar w:fldCharType="separate"/>
            </w:r>
            <w:r w:rsidR="001F4EAD" w:rsidRPr="00360D8E">
              <w:rPr>
                <w:rFonts w:ascii="Calibri" w:hAnsi="Calibri" w:cs="Calibri"/>
                <w:kern w:val="0"/>
                <w:szCs w:val="24"/>
                <w:vertAlign w:val="superscript"/>
              </w:rPr>
              <w:t>13</w:t>
            </w:r>
            <w:r w:rsidR="001F4EAD">
              <w:fldChar w:fldCharType="end"/>
            </w:r>
            <w:r w:rsidR="001F4EAD">
              <w:t xml:space="preserve"> which also implicates </w:t>
            </w:r>
            <w:r w:rsidR="001F4EAD" w:rsidRPr="00A40ACC">
              <w:t>*03:01, *13:03, *04:04, *04:01, and *14:01</w:t>
            </w:r>
            <w:r>
              <w:t xml:space="preserve">. </w:t>
            </w:r>
          </w:p>
          <w:p w14:paraId="2EA96268" w14:textId="20AB4EE8" w:rsidR="00620F93" w:rsidRDefault="00620F93" w:rsidP="00DB5683">
            <w:r>
              <w:t xml:space="preserve">Protective: </w:t>
            </w:r>
            <w:r w:rsidRPr="00620F93">
              <w:t>DRB1*01</w:t>
            </w:r>
            <w:r>
              <w:t xml:space="preserve"> (01:01),</w:t>
            </w:r>
            <w:r w:rsidRPr="00620F93">
              <w:t xml:space="preserve"> DRB1*11</w:t>
            </w:r>
            <w:r>
              <w:fldChar w:fldCharType="begin"/>
            </w:r>
            <w:r>
              <w:instrText xml:space="preserve"> ADDIN ZOTERO_ITEM CSL_CITATION {"citationID":"JoQ8p4Dl","properties":{"formattedCitation":"\\super 14\\nosupersub{}","plainCitation":"14","noteIndex":0},"citationItems":[{"id":1387,"uris":["http://zotero.org/users/local/VNX8NcXN/items/MMHYRM7V"],"itemData":{"id":1387,"type":"article-journal","abstract":"Risk of the development of multiple sclerosis (MS) is known to be increased in individuals bearing distinct class II human leukocyte antigen (HLA) variants, whereas some of them may have a protective effect. Here we analyzed distribution of a highly polymorphous HLA-DRB1 locus in more than one thousand relapsing-remitting MS patients and healthy individuals of Russian ethnicity. Carriage of HLA-DRB1*15 and HLA-DRB1*03 alleles was associated with MS risk, whereas carriage of HLA-DRB1*01 and HLA-DRB1*11 was found to be protective. Analysis of genotypes revealed the compensatory effect of risk and resistance alleles in trans. We have identified previously unknown MBP153−161 peptide located at the C-terminus of MBP protein and MBP90−98 peptide that bound to recombinant HLA-DRB1*01:01 protein with affinity comparable to that of classical antigenic peptide 306-318 from the hemagglutinin (HA) of the influenza virus demonstrating the ability of HLA-DRB1*01:01 to present newly identified MBP153−161 and MBP90−98 peptides. Measurements of kinetic parameters of MBP and HA peptides binding to HLA-DRB1*01:01 catalyzed by HLA-DM revealed a significantly lower rate of CLIP exchange for MBP153−161 and MBP90−98 peptides as opposed to HA peptide. Analysis of the binding of chimeric MBP-HA peptides demonstrated that the observed difference between MBP153−161, MBP90−98, and HA peptide epitopes is caused by the lack of anchor residues in the C-terminal part of the MBP peptides resulting in a moderate occupation of P6/7 and P9 pockets of HLA-DRB1*01:01 by MBP153−161 and MBP90−98 peptides in contrast to HA308−316 peptide. This leads to the P1 and P4 docking failure and rapid peptide dissociation and release of empty HLA-DM–HLA-DR complex. We would like to propose that protective properties of the HLA-DRB1*01 allele could be directly linked to the ability of HLA-DRB1*01:01 to kinetically discriminate between antigenic exogenous peptides and endogenous MBP derived peptides.","container-title":"Frontiers in Immunology","ISSN":"1664-3224","source":"Frontiers","title":"Protective Allele for Multiple Sclerosis HLA-DRB1*01:01 Provides Kinetic Discrimination of Myelin and Exogenous Antigenic Peptides","title-short":"Protective Allele for Multiple Sclerosis HLA-DRB1*01","URL":"https://www.frontiersin.org/articles/10.3389/fimmu.2019.03088","volume":"10","author":[{"family":"Mamedov","given":"Azad"},{"family":"Vorobyeva","given":"Nadezhda"},{"family":"Filimonova","given":"Ioanna"},{"family":"Zakharova","given":"Maria"},{"family":"Kiselev","given":"Ivan"},{"family":"Bashinskaya","given":"Vitalina"},{"family":"Baulina","given":"Natalia"},{"family":"Boyko","given":"Alexey"},{"family":"Favorov","given":"Alexander"},{"family":"Kulakova","given":"Olga"},{"family":"Ziganshin","given":"Rustam"},{"family":"Smirnov","given":"Ivan"},{"family":"Poroshina","given":"Alina"},{"family":"Shilovskiy","given":"Igor"},{"family":"Khaitov","given":"Musa"},{"family":"Sykulev","given":"Yuri"},{"family":"Favorova","given":"Olga"},{"family":"Vlassov","given":"Valentin"},{"family":"Gabibov","given":"Alexander"},{"family":"Belogurov","given":"Alexey"}],"accessed":{"date-parts":[["2023",6,26]]},"issued":{"date-parts":[["2020"]]}}}],"schema":"https://github.com/citation-style-language/schema/raw/master/csl-citation.json"} </w:instrText>
            </w:r>
            <w:r>
              <w:fldChar w:fldCharType="separate"/>
            </w:r>
            <w:r w:rsidRPr="00620F93">
              <w:rPr>
                <w:rFonts w:ascii="Calibri" w:hAnsi="Calibri" w:cs="Calibri"/>
                <w:kern w:val="0"/>
                <w:szCs w:val="24"/>
                <w:vertAlign w:val="superscript"/>
              </w:rPr>
              <w:t>14</w:t>
            </w:r>
            <w:r>
              <w:fldChar w:fldCharType="end"/>
            </w:r>
          </w:p>
        </w:tc>
        <w:tc>
          <w:tcPr>
            <w:tcW w:w="1931" w:type="dxa"/>
          </w:tcPr>
          <w:p w14:paraId="7765774E" w14:textId="0CB31029" w:rsidR="001F4EAD" w:rsidRDefault="001F4EAD" w:rsidP="00DB5683">
            <w:r>
              <w:t xml:space="preserve">Myelin basic protein (MBP), </w:t>
            </w:r>
            <w:r w:rsidRPr="00346AC7">
              <w:t>anoctamin 2</w:t>
            </w:r>
            <w:r>
              <w:t xml:space="preserve"> (ANO2)</w:t>
            </w:r>
            <w:r w:rsidRPr="00346AC7">
              <w:t>, α-crystallin B chain (CRYAB)</w:t>
            </w:r>
            <w:r>
              <w:t>,</w:t>
            </w:r>
            <w:r w:rsidRPr="00346AC7">
              <w:t xml:space="preserve"> </w:t>
            </w:r>
            <w:r w:rsidRPr="00316342">
              <w:t>β-</w:t>
            </w:r>
            <w:r>
              <w:t>synuclein (</w:t>
            </w:r>
            <w:r w:rsidRPr="00316342">
              <w:t>β-SYN</w:t>
            </w:r>
            <w:r>
              <w:t xml:space="preserve">), </w:t>
            </w:r>
            <w:r w:rsidRPr="00346AC7">
              <w:t>glial cell adhesion molecule</w:t>
            </w:r>
            <w:r>
              <w:t xml:space="preserve"> (GCAM) (great review</w:t>
            </w:r>
            <w:r>
              <w:fldChar w:fldCharType="begin"/>
            </w:r>
            <w:r>
              <w:instrText xml:space="preserve"> ADDIN ZOTERO_ITEM CSL_CITATION {"citationID":"LehAUHBx","properties":{"formattedCitation":"\\super 11\\nosupersub{}","plainCitation":"11","noteIndex":0},"citationItems":[{"id":1334,"uris":["http://zotero.org/users/local/VNX8NcXN/items/QEGMN7M5"],"itemData":{"id":1334,"type":"article-journal","abstract":"Epstein–Barr virus (EBV) is a ubiquitous human lymphotropic herpesvirus with a well-established causal role in several cancers. Recent studies have provided compelling epidemiological and mechanistic evidence for a causal role of EBV in multiple sclerosis (MS). MS is the most prevalent chronic inflammatory and neurodegenerative disease of the central nervous system and is thought to be triggered in genetically predisposed individuals by an infectious agent, with EBV as the lead candidate. How a ubiquitous virus that typically leads to benign latent infections can promote cancer and autoimmune disease in at-risk populations is not fully understood. Here we review the evidence that EBV is a causal agent for MS and how various risk factors may affect EBV infection and immune control. We focus on EBV contributing to MS through reprogramming of latently infected B lymphocytes and the chronic presentation of viral antigens as a potential source of autoreactivity through molecular mimicry. We consider how knowledge of EBV-associated cancers may be instructive for understanding the role of EBV in MS and discuss the potential for therapies that target EBV to treat MS.","container-title":"Nature Reviews Microbiology","DOI":"10.1038/s41579-022-00770-5","ISSN":"1740-1534","issue":"1","journalAbbreviation":"Nat Rev Microbiol","language":"en","license":"2022 Springer Nature Limited","note":"number: 1\npublisher: Nature Publishing Group","page":"51-64","source":"www.nature.com","title":"Epstein–Barr virus and multiple sclerosis","volume":"21","author":[{"family":"Soldan","given":"Samantha S."},{"family":"Lieberman","given":"Paul M."}],"issued":{"date-parts":[["2023",1]]}}}],"schema":"https://github.com/citation-style-language/schema/raw/master/csl-citation.json"} </w:instrText>
            </w:r>
            <w:r>
              <w:fldChar w:fldCharType="separate"/>
            </w:r>
            <w:r w:rsidRPr="00360D8E">
              <w:rPr>
                <w:rFonts w:ascii="Calibri" w:hAnsi="Calibri" w:cs="Calibri"/>
                <w:kern w:val="0"/>
                <w:szCs w:val="24"/>
                <w:vertAlign w:val="superscript"/>
              </w:rPr>
              <w:t>11</w:t>
            </w:r>
            <w:r>
              <w:fldChar w:fldCharType="end"/>
            </w:r>
            <w:r>
              <w:t xml:space="preserve">) </w:t>
            </w:r>
          </w:p>
        </w:tc>
        <w:tc>
          <w:tcPr>
            <w:tcW w:w="1931" w:type="dxa"/>
          </w:tcPr>
          <w:p w14:paraId="295F66EF" w14:textId="77777777" w:rsidR="001F4EAD" w:rsidRDefault="001F4EAD" w:rsidP="00DB5683"/>
        </w:tc>
      </w:tr>
      <w:tr w:rsidR="001F4EAD" w14:paraId="06E8BAE2" w14:textId="77777777" w:rsidTr="006F3041">
        <w:tc>
          <w:tcPr>
            <w:tcW w:w="1293" w:type="dxa"/>
            <w:vMerge/>
          </w:tcPr>
          <w:p w14:paraId="3D900561" w14:textId="77777777" w:rsidR="001F4EAD" w:rsidRPr="00977BC2" w:rsidRDefault="001F4EAD" w:rsidP="00DB5683">
            <w:pPr>
              <w:rPr>
                <w:b/>
                <w:bCs/>
              </w:rPr>
            </w:pPr>
          </w:p>
        </w:tc>
        <w:tc>
          <w:tcPr>
            <w:tcW w:w="1930" w:type="dxa"/>
          </w:tcPr>
          <w:p w14:paraId="592B3C2B" w14:textId="599953EC" w:rsidR="001F4EAD" w:rsidRDefault="001F4EAD" w:rsidP="00DB5683">
            <w:r>
              <w:t>EBNA1 aa</w:t>
            </w:r>
            <w:r w:rsidRPr="002B4B10">
              <w:t>386</w:t>
            </w:r>
            <w:r>
              <w:t>-</w:t>
            </w:r>
            <w:r w:rsidRPr="002B4B10">
              <w:t>405</w:t>
            </w:r>
          </w:p>
        </w:tc>
        <w:tc>
          <w:tcPr>
            <w:tcW w:w="1931" w:type="dxa"/>
            <w:vMerge/>
          </w:tcPr>
          <w:p w14:paraId="6AB026F8" w14:textId="5D5AC85D" w:rsidR="001F4EAD" w:rsidRPr="00F26BEC" w:rsidRDefault="001F4EAD" w:rsidP="00DB5683"/>
        </w:tc>
        <w:tc>
          <w:tcPr>
            <w:tcW w:w="1931" w:type="dxa"/>
          </w:tcPr>
          <w:p w14:paraId="02D3E0C6" w14:textId="62E8C0F7" w:rsidR="001F4EAD" w:rsidRDefault="001F4EAD" w:rsidP="00DB5683">
            <w:r w:rsidRPr="00346AC7">
              <w:t>glial cell adhesion molecule</w:t>
            </w:r>
            <w:r>
              <w:t xml:space="preserve"> (</w:t>
            </w:r>
            <w:proofErr w:type="spellStart"/>
            <w:r w:rsidRPr="001107D4">
              <w:t>GlialCAM</w:t>
            </w:r>
            <w:proofErr w:type="spellEnd"/>
            <w:r>
              <w:t>) aa</w:t>
            </w:r>
            <w:r w:rsidRPr="001107D4">
              <w:t>370</w:t>
            </w:r>
            <w:r>
              <w:t>-</w:t>
            </w:r>
            <w:r w:rsidRPr="001107D4">
              <w:t>389</w:t>
            </w:r>
          </w:p>
        </w:tc>
        <w:tc>
          <w:tcPr>
            <w:tcW w:w="1931" w:type="dxa"/>
          </w:tcPr>
          <w:p w14:paraId="1562B5E4" w14:textId="08005039" w:rsidR="001F4EAD" w:rsidRDefault="001F4EAD" w:rsidP="00DB5683">
            <w:r>
              <w:t>PPRXP (see fig. 3 and results subsection ‘</w:t>
            </w:r>
            <w:proofErr w:type="spellStart"/>
            <w:r w:rsidRPr="001107D4">
              <w:t>GlialCAM</w:t>
            </w:r>
            <w:proofErr w:type="spellEnd"/>
            <w:r w:rsidRPr="001107D4">
              <w:t xml:space="preserve"> phosphorylation enables mimicry</w:t>
            </w:r>
            <w:r>
              <w:t xml:space="preserve">’ in ref. </w:t>
            </w:r>
            <w:r>
              <w:fldChar w:fldCharType="begin"/>
            </w:r>
            <w:r w:rsidR="00620F93">
              <w:instrText xml:space="preserve"> ADDIN ZOTERO_ITEM CSL_CITATION {"citationID":"IzjEwnJO","properties":{"formattedCitation":"\\super 15\\nosupersub{}","plainCitation":"15","noteIndex":0},"citationItems":[{"id":1371,"uris":["http://zotero.org/users/local/VNX8NcXN/items/YIN4ALLT"],"itemData":{"id":1371,"type":"article-journal","abstract":"Multiple sclerosis (MS) is a heterogenous autoimmune disease in which autoreactive lymphocytes attack the myelin sheath of the central nervous system. B lymphocytes in the cerebrospinal fluid (CSF) of patients with MS contribute to inflammation and secrete oligoclonal immunoglobulins1,2. Epstein–Barr virus (EBV) infection has been epidemiologically linked to MS, but its pathological role remains unclear3. Here we demonstrate high-affinity molecular mimicry between the EBV transcription factor EBV nuclear antigen 1 (EBNA1) and the central nervous system protein glial cell adhesion molecule (GlialCAM) and provide structural and in vivo functional evidence for its relevance. A cross-reactive CSF-derived antibody was initially identified by single-cell sequencing of the paired-chain B cell repertoire of MS blood and CSF, followed by protein microarray-based testing of recombinantly expressed CSF-derived antibodies against MS-associated viruses. Sequence analysis, affinity measurements and the crystal structure of the EBNA1–peptide epitope in complex with the autoreactive Fab fragment enabled tracking of the development of the naive EBNA1-restricted antibody to a mature EBNA1–GlialCAM cross-reactive antibody. Molecular mimicry is facilitated by a post-translational modification of GlialCAM. EBNA1 immunization exacerbates disease in a mouse model of MS, and anti-EBNA1 and anti-GlialCAM antibodies are prevalent in patients with MS. Our results provide a mechanistic link for the association between MS and EBV and could guide the development of new MS therapies.","container-title":"Nature","DOI":"10.1038/s41586-022-04432-7","ISSN":"1476-4687","issue":"7900","language":"en","license":"2022 This is a U.S. government work and not under copyright protection in the U.S.; foreign copyright protection may apply","note":"number: 7900\npublisher: Nature Publishing Group","page":"321-327","source":"www.nature.com","title":"Clonally expanded B cells in multiple sclerosis bind EBV EBNA1 and GlialCAM","volume":"603","author":[{"family":"Lanz","given":"Tobias V."},{"family":"Brewer","given":"R. Camille"},{"family":"Ho","given":"Peggy P."},{"family":"Moon","given":"Jae-Seung"},{"family":"Jude","given":"Kevin M."},{"family":"Fernandez","given":"Daniel"},{"family":"Fernandes","given":"Ricardo A."},{"family":"Gomez","given":"Alejandro M."},{"family":"Nadj","given":"Gabriel-Stefan"},{"family":"Bartley","given":"Christopher M."},{"family":"Schubert","given":"Ryan D."},{"family":"Hawes","given":"Isobel A."},{"family":"Vazquez","given":"Sara E."},{"family":"Iyer","given":"Manasi"},{"family":"Zuchero","given":"J. Bradley"},{"family":"Teegen","given":"Bianca"},{"family":"Dunn","given":"Jeffrey E."},{"family":"Lock","given":"Christopher B."},{"family":"Kipp","given":"Lucas B."},{"family":"Cotham","given":"Victoria C."},{"family":"Ueberheide","given":"Beatrix M."},{"family":"Aftab","given":"Blake T."},{"family":"Anderson","given":"Mark S."},{"family":"DeRisi","given":"Joseph L."},{"family":"Wilson","given":"Michael R."},{"family":"Bashford-Rogers","given":"Rachael J. M."},{"family":"Platten","given":"Michael"},{"family":"Garcia","given":"K. Christopher"},{"family":"Steinman","given":"Lawrence"},{"family":"Robinson","given":"William H."}],"issued":{"date-parts":[["2022",3]]}}}],"schema":"https://github.com/citation-style-language/schema/raw/master/csl-citation.json"} </w:instrText>
            </w:r>
            <w:r>
              <w:fldChar w:fldCharType="separate"/>
            </w:r>
            <w:r w:rsidR="00620F93" w:rsidRPr="00620F93">
              <w:rPr>
                <w:rFonts w:ascii="Calibri" w:hAnsi="Calibri" w:cs="Calibri"/>
                <w:kern w:val="0"/>
                <w:szCs w:val="24"/>
                <w:vertAlign w:val="superscript"/>
              </w:rPr>
              <w:t>15</w:t>
            </w:r>
            <w:r>
              <w:fldChar w:fldCharType="end"/>
            </w:r>
            <w:r>
              <w:t>)</w:t>
            </w:r>
          </w:p>
        </w:tc>
      </w:tr>
      <w:tr w:rsidR="001F4EAD" w14:paraId="7BBCD8D4" w14:textId="77777777" w:rsidTr="006F3041">
        <w:tc>
          <w:tcPr>
            <w:tcW w:w="1293" w:type="dxa"/>
            <w:vMerge/>
          </w:tcPr>
          <w:p w14:paraId="5B10BDE4" w14:textId="77777777" w:rsidR="001F4EAD" w:rsidRPr="00977BC2" w:rsidRDefault="001F4EAD" w:rsidP="00DB5683">
            <w:pPr>
              <w:rPr>
                <w:b/>
                <w:bCs/>
              </w:rPr>
            </w:pPr>
          </w:p>
        </w:tc>
        <w:tc>
          <w:tcPr>
            <w:tcW w:w="1930" w:type="dxa"/>
          </w:tcPr>
          <w:p w14:paraId="2C51BB61" w14:textId="4DD8CE7F" w:rsidR="001F4EAD" w:rsidRDefault="001F4EAD" w:rsidP="00DB5683">
            <w:r>
              <w:t>EBNA1 aa411-426</w:t>
            </w:r>
          </w:p>
        </w:tc>
        <w:tc>
          <w:tcPr>
            <w:tcW w:w="1931" w:type="dxa"/>
            <w:vMerge/>
          </w:tcPr>
          <w:p w14:paraId="568E5320" w14:textId="77777777" w:rsidR="001F4EAD" w:rsidRPr="00F26BEC" w:rsidRDefault="001F4EAD" w:rsidP="00DB5683"/>
        </w:tc>
        <w:tc>
          <w:tcPr>
            <w:tcW w:w="1931" w:type="dxa"/>
          </w:tcPr>
          <w:p w14:paraId="2D17D921" w14:textId="68265108" w:rsidR="001F4EAD" w:rsidRPr="00346AC7" w:rsidRDefault="001F4EAD" w:rsidP="00DB5683">
            <w:r>
              <w:t>Myelin basic protein (MBP) aa85-99</w:t>
            </w:r>
            <w:r>
              <w:fldChar w:fldCharType="begin"/>
            </w:r>
            <w:r w:rsidR="00620F93">
              <w:instrText xml:space="preserve"> ADDIN ZOTERO_ITEM CSL_CITATION {"citationID":"bxNHFFXZ","properties":{"formattedCitation":"\\super 16,17\\nosupersub{}","plainCitation":"16,17","noteIndex":0},"citationItems":[{"id":1374,"uris":["http://zotero.org/users/local/VNX8NcXN/items/83ANA6LF"],"itemData":{"id":1374,"type":"article-journal","abstract":"Structural similarity between viral T cell epitopes and self-peptides could lead to the induction of an autoaggressive T cell response. Based on the structural requirements for both MHC class II binding and TCR recognition of an immunodominant myelin basic protein (MBP) peptide, criteria for a data base search were developed in which the degeneracy of amino acid side chains required for MHC class II binding and the conservation of those required for T cell activation were considered. A panel of 129 peptides that matched the molecular mimicry motif was tested on seven MBPspecific T cell clones from multiple sclerosis patients. Seven viral and one bacterial peptide efficiently activated three of these clones. Only one peptide could have been identified as a molecular mimic by sequence alignment. The observation that a single T cell receptor can recognize quite distinct but structurally related peptides from multiple pathogens has important implications for understanding the pathogenesis of autoimmunity.","container-title":"Cell","DOI":"10.1016/0092-8674(95)90348-8","ISSN":"00928674","issue":"5","journalAbbreviation":"Cell","language":"en","page":"695-705","source":"DOI.org (Crossref)","title":"Molecular mimicry in T cell-mediated autoimmunity: Viral peptides activate human T cell clones specific for myelin basic protein","title-short":"Molecular mimicry in T cell-mediated autoimmunity","volume":"80","author":[{"family":"Wucherpfennig","given":"Kai W"},{"family":"Strominger","given":"Jack L"}],"issued":{"date-parts":[["1995",3]]}}},{"id":1378,"uris":["http://zotero.org/users/local/VNX8NcXN/items/ZETFHXNJ"],"itemData":{"id":1378,"type":"article-journal","abstract":"Symptomatic primary Epstein-Barr virus (EBV) infection and elevated humoral immune responses to EBV are associated with an increased risk of developing multiple sclerosis (MS). We explored mechanisms leading to this change in EBV-specific immunity in untreated patients with MS and healthy virus carriers matched for MS-associated HLA alleles. MS patients showed selective increase of T cell responses to the EBV nuclear antigen 1 (EBNA1), the most consistently recognized EBV-derived CD4+ T cell antigen in healthy virus carriers, but not to other EBV-encoded proteins. In contrast, influenza and human cytomegalovirus–specific immune control was unchanged in MS. The enhanced response to EBNA1 was mediated by an expanded reservoir of EBNA1-specific central memory CD4+ T helper 1 (Th1) precursors and Th1 (but not Th17) polarized effector memory cells. In addition, EBNA1-specific T cells recognized myelin antigens more frequently than other autoantigens that are not associated with MS. Myelin cross-reactive T cells produced IFN-γ, but differed from EBNA1-monospecific cells in their capability to produce interleukin-2, indicative of a polyfunctional phenotype as found in controlled chronic viral infections. Our data support the concept that clonally expanded EBNA1-specific CD4+ T cells potentially contribute to the development of MS by cross-recognition of myelin antigens.","container-title":"Journal of Experimental Medicine","DOI":"10.1084/jem.20072397","ISSN":"0022-1007","issue":"8","journalAbbreviation":"Journal of Experimental Medicine","page":"1763-1773","source":"Silverchair","title":"EBNA1-specific T cells from patients with multiple sclerosis cross react with myelin antigens and co-produce IFN-γ and IL-2","volume":"205","author":[{"family":"Lünemann","given":"Jan D."},{"family":"Jelčić","given":"Ilijas"},{"family":"Roberts","given":"Susanne"},{"family":"Lutterotti","given":"Andreas"},{"family":"Tackenberg","given":"Björn"},{"family":"Martin","given":"Roland"},{"family":"Münz","given":"Christian"}],"issued":{"date-parts":[["2008",7,28]]}}}],"schema":"https://github.com/citation-style-language/schema/raw/master/csl-citation.json"} </w:instrText>
            </w:r>
            <w:r>
              <w:fldChar w:fldCharType="separate"/>
            </w:r>
            <w:r w:rsidR="00620F93" w:rsidRPr="00620F93">
              <w:rPr>
                <w:rFonts w:ascii="Calibri" w:hAnsi="Calibri" w:cs="Calibri"/>
                <w:kern w:val="0"/>
                <w:szCs w:val="24"/>
                <w:vertAlign w:val="superscript"/>
              </w:rPr>
              <w:t>16,17</w:t>
            </w:r>
            <w:r>
              <w:fldChar w:fldCharType="end"/>
            </w:r>
          </w:p>
        </w:tc>
        <w:tc>
          <w:tcPr>
            <w:tcW w:w="1931" w:type="dxa"/>
          </w:tcPr>
          <w:p w14:paraId="06F18D0D" w14:textId="385EC4B4" w:rsidR="001F4EAD" w:rsidRDefault="001F4EAD" w:rsidP="00DB5683"/>
        </w:tc>
      </w:tr>
      <w:tr w:rsidR="001F4EAD" w14:paraId="1F90E699" w14:textId="77777777" w:rsidTr="006F3041">
        <w:tc>
          <w:tcPr>
            <w:tcW w:w="1293" w:type="dxa"/>
            <w:vMerge/>
          </w:tcPr>
          <w:p w14:paraId="43C3F685" w14:textId="77777777" w:rsidR="001F4EAD" w:rsidRPr="00977BC2" w:rsidRDefault="001F4EAD" w:rsidP="00DB5683">
            <w:pPr>
              <w:rPr>
                <w:b/>
                <w:bCs/>
              </w:rPr>
            </w:pPr>
          </w:p>
        </w:tc>
        <w:tc>
          <w:tcPr>
            <w:tcW w:w="1930" w:type="dxa"/>
          </w:tcPr>
          <w:p w14:paraId="4FD52328" w14:textId="4ABE088C" w:rsidR="001F4EAD" w:rsidRDefault="001F4EAD" w:rsidP="00DB5683">
            <w:r>
              <w:t>EBNA</w:t>
            </w:r>
            <w:r w:rsidR="0072532A">
              <w:t>1</w:t>
            </w:r>
            <w:r>
              <w:t xml:space="preserve"> aa431-440</w:t>
            </w:r>
          </w:p>
        </w:tc>
        <w:tc>
          <w:tcPr>
            <w:tcW w:w="1931" w:type="dxa"/>
            <w:vMerge/>
          </w:tcPr>
          <w:p w14:paraId="3EB2A360" w14:textId="77777777" w:rsidR="001F4EAD" w:rsidRPr="00F26BEC" w:rsidRDefault="001F4EAD" w:rsidP="00DB5683"/>
        </w:tc>
        <w:tc>
          <w:tcPr>
            <w:tcW w:w="1931" w:type="dxa"/>
          </w:tcPr>
          <w:p w14:paraId="66327EA7" w14:textId="209C2CD1" w:rsidR="001F4EAD" w:rsidRDefault="001F4EAD" w:rsidP="00DB5683">
            <w:r w:rsidRPr="00346AC7">
              <w:t>anoctamin 2</w:t>
            </w:r>
            <w:r>
              <w:t xml:space="preserve"> (ANO2) aa140-149</w:t>
            </w:r>
          </w:p>
        </w:tc>
        <w:tc>
          <w:tcPr>
            <w:tcW w:w="1931" w:type="dxa"/>
          </w:tcPr>
          <w:p w14:paraId="3A31B245" w14:textId="5C92AED1" w:rsidR="001F4EAD" w:rsidRDefault="001F4EAD" w:rsidP="00DB5683">
            <w:r>
              <w:t xml:space="preserve">PGXIEXGP (see fig. 2 ref. </w:t>
            </w:r>
            <w:r>
              <w:fldChar w:fldCharType="begin"/>
            </w:r>
            <w:r w:rsidR="00620F93">
              <w:instrText xml:space="preserve"> ADDIN ZOTERO_ITEM CSL_CITATION {"citationID":"lCgGKllT","properties":{"formattedCitation":"\\super 18\\nosupersub{}","plainCitation":"18","noteIndex":0},"citationItems":[{"id":1381,"uris":["http://zotero.org/users/local/VNX8NcXN/items/Z4V9BWJZ"],"itemData":{"id":1381,"type":"article-journal","abstract":"Multiple sclerosis (MS) is a chronic inflammatory, likely autoimmune disease of the central nervous system with a combination of genetic and environmental risk factors, among which Epstein-Barr virus (EBV) infection is a strong suspect. We have previously identified increased autoantibody levels toward the chloride-channel protein Anoctamin 2 (ANO2) in MS. Here, IgG antibody reactivity toward ANO2 and EBV nuclear antigen 1 (EBNA1) was measured using bead-based multiplex serology in plasma samples from 8,746 MS cases and 7,228 controls. We detected increased anti-ANO2 antibody levels in MS (P = 3.5 × 10−36) with 14.6% of cases and 7.8% of controls being ANO2 seropositive (odds ratio [OR] = 1.6; 95% confidence intervals [95%CI]: 1.5 to 1.8). The MS risk increase in ANO2-seropositive individuals was dramatic when also exposed to 3 known risk factors for MS: HLA-DRB1*15:01 carriage, absence of HLA-A*02:01, and high anti-EBNA1 antibody levels (OR = 24.9; 95%CI: 17.9 to 34.8). Reciprocal blocking experiments with ANO2 and EBNA1 peptides demonstrated antibody cross-reactivity, mapping to ANO2 [aa 140 to 149] and EBNA1 [aa 431 to 440]. HLA gene region was associated with anti-ANO2 antibody levels and HLA-DRB1*04:01 haplotype was negatively associated with ANO2 seropositivity (OR = 0.6; 95%CI: 0.5 to 0.7). Anti-ANO2 antibody levels were not increased in patients from 3 other inflammatory disease cohorts. The HLA influence and the fact that specific IgG production usually needs T cell help provides indirect evidence for a T cell ANO2 autoreactivity in MS. We propose a hypothesis where immune reactivity toward EBNA1 through molecular mimicry with ANO2 contributes to the etiopathogenesis of MS.","container-title":"Proceedings of the National Academy of Sciences","DOI":"10.1073/pnas.1902623116","issue":"34","note":"publisher: Proceedings of the National Academy of Sciences","page":"16955-16960","source":"pnas.org (Atypon)","title":"Molecular mimicry between Anoctamin 2 and Epstein-Barr virus nuclear antigen 1 associates with multiple sclerosis risk","volume":"116","author":[{"family":"Tengvall","given":"Katarina"},{"family":"Huang","given":"Jesse"},{"family":"Hellström","given":"Cecilia"},{"family":"Kammer","given":"Patrick"},{"family":"Biström","given":"Martin"},{"family":"Ayoglu","given":"Burcu"},{"family":"Lima Bomfim","given":"Izaura"},{"family":"Stridh","given":"Pernilla"},{"family":"Butt","given":"Julia"},{"family":"Brenner","given":"Nicole"},{"family":"Michel","given":"Angelika"},{"family":"Lundberg","given":"Karin"},{"family":"Padyukov","given":"Leonid"},{"family":"Lundberg","given":"Ingrid E."},{"family":"Svenungsson","given":"Elisabet"},{"family":"Ernberg","given":"Ingemar"},{"family":"Olafsson","given":"Sigurgeir"},{"family":"Dilthey","given":"Alexander T."},{"family":"Hillert","given":"Jan"},{"family":"Alfredsson","given":"Lars"},{"family":"Sundström","given":"Peter"},{"family":"Nilsson","given":"Peter"},{"family":"Waterboer","given":"Tim"},{"family":"Olsson","given":"Tomas"},{"family":"Kockum","given":"Ingrid"}],"issued":{"date-parts":[["2019",8,20]]}}}],"schema":"https://github.com/citation-style-language/schema/raw/master/csl-citation.json"} </w:instrText>
            </w:r>
            <w:r>
              <w:fldChar w:fldCharType="separate"/>
            </w:r>
            <w:r w:rsidR="00620F93" w:rsidRPr="00620F93">
              <w:rPr>
                <w:rFonts w:ascii="Calibri" w:hAnsi="Calibri" w:cs="Calibri"/>
                <w:kern w:val="0"/>
                <w:szCs w:val="24"/>
                <w:vertAlign w:val="superscript"/>
              </w:rPr>
              <w:t>18</w:t>
            </w:r>
            <w:r>
              <w:fldChar w:fldCharType="end"/>
            </w:r>
            <w:r>
              <w:t>)</w:t>
            </w:r>
          </w:p>
        </w:tc>
      </w:tr>
      <w:tr w:rsidR="001F4EAD" w14:paraId="55A30CC6" w14:textId="77777777" w:rsidTr="006F3041">
        <w:tc>
          <w:tcPr>
            <w:tcW w:w="1293" w:type="dxa"/>
            <w:vMerge/>
          </w:tcPr>
          <w:p w14:paraId="4EA3A2A8" w14:textId="77777777" w:rsidR="001F4EAD" w:rsidRPr="00977BC2" w:rsidRDefault="001F4EAD" w:rsidP="00DB5683">
            <w:pPr>
              <w:rPr>
                <w:b/>
                <w:bCs/>
              </w:rPr>
            </w:pPr>
          </w:p>
        </w:tc>
        <w:tc>
          <w:tcPr>
            <w:tcW w:w="1930" w:type="dxa"/>
          </w:tcPr>
          <w:p w14:paraId="76A3F253" w14:textId="3D6E33D7" w:rsidR="001F4EAD" w:rsidRDefault="001F4EAD" w:rsidP="00DB5683">
            <w:r>
              <w:t>EBNA1 aa392-411</w:t>
            </w:r>
          </w:p>
        </w:tc>
        <w:tc>
          <w:tcPr>
            <w:tcW w:w="1931" w:type="dxa"/>
            <w:vMerge/>
          </w:tcPr>
          <w:p w14:paraId="0A945E8E" w14:textId="77777777" w:rsidR="001F4EAD" w:rsidRPr="00F26BEC" w:rsidRDefault="001F4EAD" w:rsidP="00DB5683"/>
        </w:tc>
        <w:tc>
          <w:tcPr>
            <w:tcW w:w="1931" w:type="dxa"/>
          </w:tcPr>
          <w:p w14:paraId="78FC1F8F" w14:textId="6266A909" w:rsidR="001F4EAD" w:rsidRPr="00346AC7" w:rsidRDefault="001F4EAD" w:rsidP="00DB5683">
            <w:r w:rsidRPr="00346AC7">
              <w:t>α-crystallin B chain (CRYAB)</w:t>
            </w:r>
            <w:r>
              <w:fldChar w:fldCharType="begin"/>
            </w:r>
            <w:r w:rsidR="00620F93">
              <w:instrText xml:space="preserve"> ADDIN ZOTERO_ITEM CSL_CITATION {"citationID":"z5g90Xu2","properties":{"formattedCitation":"\\super 19\\nosupersub{}","plainCitation":"19","noteIndex":0},"citationItems":[{"id":1384,"uris":["http://zotero.org/users/local/VNX8NcXN/items/TCL696H3"],"itemData":{"id":1384,"type":"article-journal","abstract":"&lt;p&gt;Intrathecal immunoglobulin G (IgG) synthesis and oligoclonal IgG bands in cerebrospinal fluid (CSF) are hallmarks of multiple sclerosis (MS), but the antigen specificities remain enigmatic. Our study is the first investigating the autoantibody repertoire in paired serum and CSF samples from patients with relapsing-remitting MS (RRMS), primary progressive MS (PPMS), and other neurological diseases by the use of high-density peptide microarrays. Protein sequences of 45 presumed MS autoantigens (&lt;i&gt;e.g.&lt;/i&gt; MOG, MBP, and MAG) were represented on the microarrays by overlapping 15mer peptides. IgG reactivities were screened against a total of 3991 peptides, including also selected viral epitopes. The measured antibody reactivities were highly individual but correlated for matched serum and CSF samples. We found 54 peptides to be recognized significantly more often by serum or CSF antibodies from MS patients compared with controls (&lt;i&gt;p&lt;/i&gt; values &lt;0.05). The results for RRMS and PPMS clearly overlapped. However, PPMS patients presented a broader peptide-antibody signature. The highest signals were detected for a peptide mapping to a region of the Epstein-Barr virus protein EBNA1 (amino acids 392–411), which is homologous to the N-terminal part of human crystallin alpha-B. Our data confirmed several known MS-associated antigens and epitopes, and they delivered additional potential linear epitopes, which await further validation. The peripheral and intrathecal humoral immune response in MS is polyspecific and includes antibodies that are also found in serum of patients with other diseases. Further studies are required to assess the pathogenic relevance of autoreactive and anti-EBNA1 antibodies as well as their combinatorial value as biomarkers for MS.&lt;/p&gt;","container-title":"Molecular &amp; Cellular Proteomics","DOI":"10.1074/mcp.M115.051664","ISSN":"1535-9476, 1535-9484","issue":"4","journalAbbreviation":"Molecular &amp; Cellular Proteomics","language":"English","note":"publisher: Elsevier\nPMID: 26831522","page":"1360-1380","source":"www.mcponline.org","title":"High-Density Peptide Microarray Analysis of IgG Autoantibody Reactivities in Serum and Cerebrospinal Fluid of Multiple Sclerosis Patients *","volume":"15","author":[{"family":"Hecker","given":"Michael"},{"family":"Fitzner","given":"Brit"},{"family":"Wendt","given":"Matthias"},{"family":"Lorenz","given":"Peter"},{"family":"Flechtner","given":"Kristin"},{"family":"Steinbeck","given":"Felix"},{"family":"Schröder","given":"Ina"},{"family":"Thiesen","given":"Hans-Jürgen"},{"family":"Zettl","given":"Uwe Klaus"}],"issued":{"date-parts":[["2016",4,1]]}}}],"schema":"https://github.com/citation-style-language/schema/raw/master/csl-citation.json"} </w:instrText>
            </w:r>
            <w:r>
              <w:fldChar w:fldCharType="separate"/>
            </w:r>
            <w:r w:rsidR="00620F93" w:rsidRPr="00620F93">
              <w:rPr>
                <w:rFonts w:ascii="Calibri" w:hAnsi="Calibri" w:cs="Calibri"/>
                <w:kern w:val="0"/>
                <w:szCs w:val="24"/>
                <w:vertAlign w:val="superscript"/>
              </w:rPr>
              <w:t>19</w:t>
            </w:r>
            <w:r>
              <w:fldChar w:fldCharType="end"/>
            </w:r>
          </w:p>
        </w:tc>
        <w:tc>
          <w:tcPr>
            <w:tcW w:w="1931" w:type="dxa"/>
          </w:tcPr>
          <w:p w14:paraId="7B53B711" w14:textId="77777777" w:rsidR="001F4EAD" w:rsidRDefault="001F4EAD" w:rsidP="00DB5683"/>
        </w:tc>
      </w:tr>
      <w:tr w:rsidR="006F3041" w14:paraId="6E67D023" w14:textId="4BFCB2E5" w:rsidTr="006F3041">
        <w:tc>
          <w:tcPr>
            <w:tcW w:w="1293" w:type="dxa"/>
            <w:vMerge w:val="restart"/>
          </w:tcPr>
          <w:p w14:paraId="24280364" w14:textId="2B5CCA28" w:rsidR="006F3041" w:rsidRPr="00977BC2" w:rsidRDefault="006F3041" w:rsidP="00DB5683">
            <w:pPr>
              <w:rPr>
                <w:b/>
                <w:bCs/>
              </w:rPr>
            </w:pPr>
            <w:r w:rsidRPr="00977BC2">
              <w:rPr>
                <w:b/>
                <w:bCs/>
              </w:rPr>
              <w:lastRenderedPageBreak/>
              <w:t>Coeliac Disease</w:t>
            </w:r>
          </w:p>
        </w:tc>
        <w:tc>
          <w:tcPr>
            <w:tcW w:w="1930" w:type="dxa"/>
          </w:tcPr>
          <w:p w14:paraId="2E16C6A8" w14:textId="49B052B6" w:rsidR="006F3041" w:rsidRDefault="006F3041" w:rsidP="00DB5683">
            <w:r>
              <w:t xml:space="preserve">Gliadin three-way mimicry </w:t>
            </w:r>
            <w:r w:rsidRPr="007E5BAC">
              <w:t xml:space="preserve">(adenovirus type 12, HCV, Campylobacter </w:t>
            </w:r>
            <w:proofErr w:type="spellStart"/>
            <w:r w:rsidRPr="007E5BAC">
              <w:t>jejuni</w:t>
            </w:r>
            <w:proofErr w:type="spellEnd"/>
            <w:r w:rsidRPr="007E5BAC">
              <w:t>, Giardia lamblia, enterovirus, rotavirus all implicated)</w:t>
            </w:r>
            <w:r>
              <w:fldChar w:fldCharType="begin"/>
            </w:r>
            <w:r w:rsidR="00620F93">
              <w:instrText xml:space="preserve"> ADDIN ZOTERO_ITEM CSL_CITATION {"citationID":"AlxqwOSz","properties":{"formattedCitation":"\\super 20\\nosupersub{}","plainCitation":"20","noteIndex":0},"citationItems":[{"id":1339,"uris":["http://zotero.org/users/local/VNX8NcXN/items/RAPGKZIR"],"itemData":{"id":1339,"type":"article-journal","abstract":"Gluten-related disorders (GRDs) are a group of diseases that involve the activation of the immune system triggered by the ingestion of gluten, with a worldwide prevalence of 5%. Among them, Celiac disease (CeD) is a T-cell-mediated autoimmune disease causing a plethora of symptoms from diarrhea and malabsorption to lymphoma. Even though GRDs have been intensively studied, the environmental triggers promoting the diverse reactions to gluten proteins in susceptible individuals remain elusive. It has been proposed that pathogens could act as disease-causing environmental triggers of CeD by molecular mimicry mechanisms. Additionally, it could also be possible that unrecognized molecular, structural, and physical parallels between gluten and pathogens have a relevant role. Herein, we report sequence, structural and physical similarities of the two most relevant gluten peptides, the 33-mer and p31-43 gliadin peptides, with bacterial pathogens using bioinformatics going beyond the molecular mimicry hypothesis. First, a stringent BLASTp search using the two gliadin peptides identified high sequence similarity regions within pathogen-derived proteins, e.g., extracellular proteins from Streptococcus pneumoniae and Granulicatella sp. Second, molecular dynamics calculations of an updated α-2-gliadin model revealed close spatial localization and solvent-exposure of the 33-mer and p31-43 peptide, which was compared with the pathogen-related proteins by homology models and localization predictors. We found putative functions of the identified pathogen-derived sequence by identifying T-cell epitopes and SH3/WW-binding domains. Finally, shape and size parallels between the pathogens and the superstructures of gliadin peptides gave rise to novel hypotheses about activation of innate immunity and dysbiosis. Based on our structural findings and the similarities with the bacterial pathogens, evidence emerges that these pathologically relevant gluten-derived peptides could behave as non-replicating pathogens opening new research questions in the interface of innate immunity, microbiome, and food research.","container-title":"International Journal of Molecular Sciences","DOI":"10.3390/ijms22179278","ISSN":"1422-0067","issue":"17","journalAbbreviation":"Int J Mol Sci","note":"PMID: 34502187\nPMCID: PMC8430993","page":"9278","source":"PubMed Central","title":"Molecular and Structural Parallels between Gluten Pathogenic Peptides and Bacterial-Derived Proteins by Bioinformatics Analysis","volume":"22","author":[{"family":"Vazquez","given":"Diego S."},{"family":"Schilbert","given":"Hanna M."},{"family":"Dodero","given":"Veronica I."}],"issued":{"date-parts":[["2021",8,27]]}}}],"schema":"https://github.com/citation-style-language/schema/raw/master/csl-citation.json"} </w:instrText>
            </w:r>
            <w:r>
              <w:fldChar w:fldCharType="separate"/>
            </w:r>
            <w:r w:rsidR="00620F93" w:rsidRPr="00620F93">
              <w:rPr>
                <w:rFonts w:ascii="Calibri" w:hAnsi="Calibri" w:cs="Calibri"/>
                <w:kern w:val="0"/>
                <w:szCs w:val="24"/>
                <w:vertAlign w:val="superscript"/>
              </w:rPr>
              <w:t>20</w:t>
            </w:r>
            <w:r>
              <w:fldChar w:fldCharType="end"/>
            </w:r>
            <w:r>
              <w:t xml:space="preserve"> </w:t>
            </w:r>
          </w:p>
        </w:tc>
        <w:tc>
          <w:tcPr>
            <w:tcW w:w="1931" w:type="dxa"/>
          </w:tcPr>
          <w:p w14:paraId="3ACFDEC4" w14:textId="469BE896" w:rsidR="006F3041" w:rsidRDefault="006F3041" w:rsidP="00DB5683">
            <w:r>
              <w:t>DQ2.5, DQ2, DQ8</w:t>
            </w:r>
            <w:r>
              <w:fldChar w:fldCharType="begin"/>
            </w:r>
            <w:r w:rsidR="00620F93">
              <w:instrText xml:space="preserve"> ADDIN ZOTERO_ITEM CSL_CITATION {"citationID":"Alx344LK","properties":{"formattedCitation":"\\super 21\\nosupersub{}","plainCitation":"21","noteIndex":0},"citationItems":[{"id":1336,"uris":["http://zotero.org/users/local/VNX8NcXN/items/94AR4RBU"],"itemData":{"id":1336,"type":"article-journal","abstract":"Celiac disease is a chronic immune-mediated enteropathy triggered by exposure to dietary gluten in genetically predisposed individuals. Many genes involved in the pathogenesis have been identified and a crucial role is known to be played by the Human Leukocyte Antigen (HLA) system. The main determinants for genetic susceptibility are HLA-DQA1 and HLA-DQB1 genes encoding for HLA-DQ2 and HLA-DQ8 molecules, carried by almost all patients affected. However, since HLA-DQ2 and HLA-DQ8 heterodimers explain almost 40% of the disease heritability, HLA typing should not be applied in diagnosis, but exclusively to clarify uncertain diagnoses, considering its negative predictive value. (www.actabiomedica.it)","container-title":"Acta Bio Medica : Atenei Parmensis","DOI":"10.23750/abm.v89i9-S.7953","ISSN":"0392-4203","issue":"Suppl 9","journalAbbreviation":"Acta Biomed","note":"PMID: 30561391\nPMCID: PMC6502200","page":"17-21","source":"PubMed Central","title":"Genetic susceptibilty and celiac disease: what role do HLA haplotypes play?","title-short":"Genetic susceptibilty and celiac disease","volume":"89","author":[{"family":"Martina","given":"Sciurti"},{"family":"Fabiola","given":"Fornaroli"},{"family":"Federica","given":"Gaiani"},{"family":"Chiara","given":"Bonaguri"},{"family":"Gioacchino","given":"Leandro"},{"family":"Francesco","given":"Di Mario"},{"family":"Gian","given":"Luigi","dropping-particle":"de’Angelis"}],"issued":{"date-parts":[["2018"]]}}}],"schema":"https://github.com/citation-style-language/schema/raw/master/csl-citation.json"} </w:instrText>
            </w:r>
            <w:r>
              <w:fldChar w:fldCharType="separate"/>
            </w:r>
            <w:r w:rsidR="00620F93" w:rsidRPr="00620F93">
              <w:rPr>
                <w:rFonts w:ascii="Calibri" w:hAnsi="Calibri" w:cs="Calibri"/>
                <w:kern w:val="0"/>
                <w:szCs w:val="24"/>
                <w:vertAlign w:val="superscript"/>
              </w:rPr>
              <w:t>21</w:t>
            </w:r>
            <w:r>
              <w:fldChar w:fldCharType="end"/>
            </w:r>
          </w:p>
        </w:tc>
        <w:tc>
          <w:tcPr>
            <w:tcW w:w="1931" w:type="dxa"/>
          </w:tcPr>
          <w:p w14:paraId="05216D39" w14:textId="7D4098EE" w:rsidR="006F3041" w:rsidRDefault="006F3041" w:rsidP="00DB5683">
            <w:r>
              <w:t xml:space="preserve">type 2 </w:t>
            </w:r>
            <w:proofErr w:type="spellStart"/>
            <w:r w:rsidRPr="007E5BAC">
              <w:t>tTG</w:t>
            </w:r>
            <w:proofErr w:type="spellEnd"/>
            <w:r w:rsidRPr="007E5BAC">
              <w:t xml:space="preserve"> (EC 2.3.2.13) </w:t>
            </w:r>
            <w:r>
              <w:t xml:space="preserve">(8 isoenzymes named based on location), </w:t>
            </w:r>
            <w:r w:rsidRPr="007E5BAC">
              <w:t xml:space="preserve">the </w:t>
            </w:r>
            <w:proofErr w:type="gramStart"/>
            <w:r w:rsidRPr="007E5BAC">
              <w:t>type</w:t>
            </w:r>
            <w:proofErr w:type="gramEnd"/>
            <w:r w:rsidRPr="007E5BAC">
              <w:t xml:space="preserve"> present in the skin, which is the target of autoantibodies in dermatitis herpetiformis </w:t>
            </w:r>
            <w:r>
              <w:t>=</w:t>
            </w:r>
            <w:r w:rsidRPr="007E5BAC">
              <w:t xml:space="preserve"> type 3 </w:t>
            </w:r>
            <w:proofErr w:type="spellStart"/>
            <w:r w:rsidRPr="007E5BAC">
              <w:t>tTG</w:t>
            </w:r>
            <w:proofErr w:type="spellEnd"/>
            <w:r w:rsidRPr="007E5BAC">
              <w:t xml:space="preserve">; type 6 </w:t>
            </w:r>
            <w:proofErr w:type="spellStart"/>
            <w:r w:rsidRPr="007E5BAC">
              <w:t>tTG</w:t>
            </w:r>
            <w:proofErr w:type="spellEnd"/>
            <w:r w:rsidRPr="007E5BAC">
              <w:t>, which has been identified as the target of autoantibodies in patients with diseases of the central nervous system (e.g., ataxia).</w:t>
            </w:r>
            <w:r>
              <w:t xml:space="preserve"> </w:t>
            </w:r>
            <w:r w:rsidRPr="007E5BAC">
              <w:t xml:space="preserve">Elio </w:t>
            </w:r>
            <w:proofErr w:type="spellStart"/>
            <w:r w:rsidRPr="007E5BAC">
              <w:t>Tonutti</w:t>
            </w:r>
            <w:proofErr w:type="spellEnd"/>
            <w:r w:rsidRPr="007E5BAC">
              <w:t xml:space="preserve">, Nicola </w:t>
            </w:r>
            <w:proofErr w:type="spellStart"/>
            <w:r w:rsidRPr="007E5BAC">
              <w:t>Bizzaro</w:t>
            </w:r>
            <w:proofErr w:type="spellEnd"/>
            <w:r w:rsidRPr="007E5BAC">
              <w:t>, in Autoantibodies (Third Edition), 2014</w:t>
            </w:r>
          </w:p>
        </w:tc>
        <w:tc>
          <w:tcPr>
            <w:tcW w:w="1931" w:type="dxa"/>
          </w:tcPr>
          <w:p w14:paraId="3867CD63" w14:textId="77777777" w:rsidR="006F3041" w:rsidRDefault="006F3041" w:rsidP="00DB5683"/>
        </w:tc>
      </w:tr>
      <w:tr w:rsidR="006F3041" w14:paraId="70CB7E17" w14:textId="013F32C6" w:rsidTr="006F3041">
        <w:tc>
          <w:tcPr>
            <w:tcW w:w="1293" w:type="dxa"/>
            <w:vMerge/>
          </w:tcPr>
          <w:p w14:paraId="7AD97187" w14:textId="77777777" w:rsidR="006F3041" w:rsidRPr="00977BC2" w:rsidRDefault="006F3041" w:rsidP="00DB5683">
            <w:pPr>
              <w:rPr>
                <w:b/>
                <w:bCs/>
              </w:rPr>
            </w:pPr>
          </w:p>
        </w:tc>
        <w:tc>
          <w:tcPr>
            <w:tcW w:w="3861" w:type="dxa"/>
            <w:gridSpan w:val="2"/>
          </w:tcPr>
          <w:p w14:paraId="514C2244" w14:textId="0C5F2014" w:rsidR="006F3041" w:rsidRDefault="006F3041" w:rsidP="00DB5683">
            <w:r>
              <w:t>Interesting hypothesis (gliadin fundamental to complex formation potentiating TH activation of autoreactive BL</w:t>
            </w:r>
            <w:r>
              <w:fldChar w:fldCharType="begin"/>
            </w:r>
            <w:r w:rsidR="00620F93">
              <w:instrText xml:space="preserve"> ADDIN ZOTERO_ITEM CSL_CITATION {"citationID":"stwqSX40","properties":{"formattedCitation":"\\super 22\\nosupersub{}","plainCitation":"22","noteIndex":0},"citationItems":[{"id":1342,"uris":["http://zotero.org/users/local/VNX8NcXN/items/4N92PNQD"],"itemData":{"id":1342,"type":"article-journal","abstract":"Endomysial antibodies are a hallmark of coeliac disease. The existence of autoantibodies whose titres fluctuate with ingestion of gliadin is enigmatic. Gliadin seems to drive this antibody secretion as endomysial antibodies are produced in biopsy samples cultured with a peptic/tryptic digest of gliadin.1 The phenomenon of endomysial antibodies has been explained by molecular mimicry between gliadin and the endomysial antigen, or unmasking of cryptic epitopes in the endomysial antigen upon exposure to gliadin.1 ,2Recently, Dieterich and colleagues identified tissue transglutaminase (tTG) as the antigen for endomysial antibodies.3 Their data indicate that tTG forms complexes with gliadin, and they hypothesise that neoepitopes in the complex between gliadin and tTG initiate an immune response that is finally directed against gliadin and tTG.3 ,4 Based on the observation that tTG and gliadin form complexes, we would like to propose an alternative mechanism for the production of antibodies to tTG.\n\nThe prevailing view of B cell tolerance states that tolerance to soluble self-antigens, in …","container-title":"Gut","DOI":"10.1136/gut.41.6.851","ISSN":"0017-5749, 1468-3288","issue":"6","language":"en","license":"British Society of Gastroenterology","note":"publisher: BMJ Publishing Group\nsection: OCCASIONAL VIEWPOINT\nPMID: 9462222","page":"851-852","source":"gut.bmj.com","title":"Autoantibodies in coeliac disease: tissue transglutaminase—guilt by association?","title-short":"Autoantibodies in coeliac disease","volume":"41","author":[{"family":"Sollid","given":"L. M."},{"family":"Molberg","given":"Ø"},{"family":"McADAM","given":"S."},{"family":"Lundin","given":"K. E. A."}],"issued":{"date-parts":[["1997",12,1]]}}}],"schema":"https://github.com/citation-style-language/schema/raw/master/csl-citation.json"} </w:instrText>
            </w:r>
            <w:r>
              <w:fldChar w:fldCharType="separate"/>
            </w:r>
            <w:r w:rsidR="00620F93" w:rsidRPr="00620F93">
              <w:rPr>
                <w:rFonts w:ascii="Calibri" w:hAnsi="Calibri" w:cs="Calibri"/>
                <w:kern w:val="0"/>
                <w:szCs w:val="24"/>
                <w:vertAlign w:val="superscript"/>
              </w:rPr>
              <w:t>22</w:t>
            </w:r>
            <w:r>
              <w:fldChar w:fldCharType="end"/>
            </w:r>
            <w:r>
              <w:t>)</w:t>
            </w:r>
          </w:p>
        </w:tc>
        <w:tc>
          <w:tcPr>
            <w:tcW w:w="3862" w:type="dxa"/>
            <w:gridSpan w:val="2"/>
          </w:tcPr>
          <w:p w14:paraId="708B874E" w14:textId="77777777" w:rsidR="006F3041" w:rsidRDefault="006F3041" w:rsidP="00DB5683"/>
        </w:tc>
      </w:tr>
      <w:tr w:rsidR="006F3041" w14:paraId="632B6D4C" w14:textId="33D2B014" w:rsidTr="006F3041">
        <w:tc>
          <w:tcPr>
            <w:tcW w:w="1293" w:type="dxa"/>
          </w:tcPr>
          <w:p w14:paraId="609C8D30" w14:textId="04B54F7C" w:rsidR="006F3041" w:rsidRPr="00977BC2" w:rsidRDefault="006F3041" w:rsidP="00DB5683">
            <w:pPr>
              <w:rPr>
                <w:b/>
                <w:bCs/>
              </w:rPr>
            </w:pPr>
            <w:r w:rsidRPr="00977BC2">
              <w:rPr>
                <w:b/>
                <w:bCs/>
              </w:rPr>
              <w:t>Narcolepsy</w:t>
            </w:r>
            <w:r>
              <w:rPr>
                <w:b/>
                <w:bCs/>
              </w:rPr>
              <w:t>-cataplexy (Narcolepsy type 1)</w:t>
            </w:r>
          </w:p>
        </w:tc>
        <w:tc>
          <w:tcPr>
            <w:tcW w:w="1930" w:type="dxa"/>
          </w:tcPr>
          <w:p w14:paraId="70E14BEB" w14:textId="0A2B5BDB" w:rsidR="006F3041" w:rsidRDefault="006F3041" w:rsidP="00DB5683">
            <w:r>
              <w:t>Influenza A/H1N1 AS03 adjuvant</w:t>
            </w:r>
            <w:r w:rsidR="00EC19B3">
              <w:t>ed vaccine</w:t>
            </w:r>
            <w:r>
              <w:fldChar w:fldCharType="begin"/>
            </w:r>
            <w:r w:rsidR="00620F93">
              <w:instrText xml:space="preserve"> ADDIN ZOTERO_ITEM CSL_CITATION {"citationID":"vVuUMbhJ","properties":{"formattedCitation":"\\super 23\\nosupersub{}","plainCitation":"23","noteIndex":0},"citationItems":[{"id":1326,"uris":["http://zotero.org/users/local/VNX8NcXN/items/5KHILDZY"],"itemData":{"id":1326,"type":"article-journal","abstract":"The vaccination against influenza A-H1N1 applied during the pandemic of 2009 demonstrated a positive association with the appearance of narcolepsy and/or concomitant cataplexy. Narcolepsy is a hypersomnia that affects greatly quality life of people that suffer from it. The present manuscript is an updated literature review regarding scientific evidence in this field. Reviewed scientific literature shows a positive relation between A-H1N1 vaccine and appearance of narcolepsy cases, however, etiopathogenic aspects are still unknown, so more studies are necessary, especially in the current moment, were some authors estipulate that a vaccine against SARS COVID-19 could cause similar effects that is crucial to minimize them.","container-title":"Vacunas (English Edition)","DOI":"10.1016/j.vacune.2021.05.004","ISSN":"2445-1460","issue":"2","note":"PMID: null\nPMCID: PMC8192301","page":"119-124","source":"PubMed Central","title":"Adjuvanted AH1N1 influenza vaccine precipitating the appearance of narcolepsy","volume":"22","author":[{"family":"Boquete Castro","given":"A."},{"family":"Cortés Mejía","given":"J.M."}],"issued":{"date-parts":[["2021"]]}}}],"schema":"https://github.com/citation-style-language/schema/raw/master/csl-citation.json"} </w:instrText>
            </w:r>
            <w:r>
              <w:fldChar w:fldCharType="separate"/>
            </w:r>
            <w:r w:rsidR="00620F93" w:rsidRPr="00620F93">
              <w:rPr>
                <w:rFonts w:ascii="Calibri" w:hAnsi="Calibri" w:cs="Calibri"/>
                <w:kern w:val="0"/>
                <w:szCs w:val="24"/>
                <w:vertAlign w:val="superscript"/>
              </w:rPr>
              <w:t>23</w:t>
            </w:r>
            <w:r>
              <w:fldChar w:fldCharType="end"/>
            </w:r>
            <w:r>
              <w:t xml:space="preserve"> (Pandemrix)</w:t>
            </w:r>
            <w:r w:rsidR="00B168C3">
              <w:t xml:space="preserve">, specifically peptides within the </w:t>
            </w:r>
            <w:r w:rsidR="00B168C3" w:rsidRPr="00B168C3">
              <w:t>A/California/7/2009 H1N1</w:t>
            </w:r>
            <w:r w:rsidR="001344F1">
              <w:t xml:space="preserve"> (</w:t>
            </w:r>
            <w:r w:rsidR="001344F1" w:rsidRPr="001344F1">
              <w:t>A/H1N1pdm09</w:t>
            </w:r>
            <w:r w:rsidR="001344F1">
              <w:t>)</w:t>
            </w:r>
            <w:r w:rsidR="00B168C3" w:rsidRPr="00B168C3">
              <w:t xml:space="preserve"> virus antigen</w:t>
            </w:r>
            <w:r w:rsidR="00EC19B3">
              <w:t xml:space="preserve">: </w:t>
            </w:r>
            <w:r w:rsidR="00EC19B3" w:rsidRPr="00EC19B3">
              <w:t>haemagglutinin (HA)</w:t>
            </w:r>
            <w:r w:rsidR="000B4CBD">
              <w:t xml:space="preserve"> aa</w:t>
            </w:r>
            <w:r w:rsidR="000B4CBD" w:rsidRPr="000B4CBD">
              <w:t>275-287</w:t>
            </w:r>
            <w:r w:rsidR="00EC19B3" w:rsidRPr="00EC19B3">
              <w:t>/neuraminidase (NA)</w:t>
            </w:r>
            <w:r w:rsidR="00EC19B3">
              <w:fldChar w:fldCharType="begin"/>
            </w:r>
            <w:r w:rsidR="00EC19B3">
              <w:instrText xml:space="preserve"> ADDIN ZOTERO_ITEM CSL_CITATION {"citationID":"WWyHjbki","properties":{"formattedCitation":"\\super 24\\nosupersub{}","plainCitation":"24","noteIndex":0},"citationItems":[{"id":1389,"uris":["http://zotero.org/users/local/VNX8NcXN/items/C28RUBF6"],"itemData":{"id":1389,"type":"article-journal","abstract":"In the wake of the A/California/7/2009 H1N1 influenza pandemic vaccination campaigns in 2009-2010, an increased incidence of the chronic sleep-wake disorder narcolepsy was detected in children and adolescents in several European countries. Over the last decade, in-depth epidemiological and immunological studies have been conducted to investigate this association, which have advanced our understanding of the events underpinning the observed risk. Narcolepsy with cataplexy (defined as type-1 narcolepsy, NT1) is characterized by an irreversible and chronic deficiency of hypocretin peptides in the hypothalamus. The multifactorial etiology is thought to include genetic predisposition, head trauma, environmental triggers, and/or infections (including influenza virus infections), and an increased risk was observed following administration of the A/California/7/2009 H1N1 vaccine Pandemrix (GSK). An autoimmune origin of NT1 is broadly assumed. This is based on its strong association with a predisposing allele (the human leucocyte antigen DQB1*0602) carried by the large majority of NT1 patients, and on links with other immune-related genetic markers affecting the risk of NT1. Presently, hypotheses on the underlying potential immunological mechanisms center on molecular mimicry between hypocretin and peptides within the A/California/7/2009 H1N1 virus antigen. This molecular mimicry may instigate a cross-reactive autoimmune response targeting hypocretin-producing neurons. Local CD4+ T-cell responses recognizing peptides from hypocretin are thought to play a central role in the response. In this model, cross-reactive DQB1*0602-restricted T cells from the periphery would be activated to cross the blood-brain barrier by rare, and possibly pathogen-instigated, inflammatory processes in the brain. Current hypotheses suggest that activation and expansion of cross-reactive T-cells by H1N1/09 influenza infection could have been amplified following the administration of the adjuvanted vaccine, giving rise to a “two-hit” hypothesis. The collective in silico, in vitro, and preclinical in vivo data from recent and ongoing research have progressively refined the hypothetical model of sequential immunological events, and filled multiple knowledge gaps. Though no definitive conclusions can be drawn, the mechanistical model plausibly explains the increased risk of NT1 observed following the 2009-2010 H1N1 pandemic and subsequent vaccination campaign, as outlined in this review.","container-title":"Frontiers in Immunology","DOI":"10.3389/fimmu.2022.902840","ISSN":"1664-3224","journalAbbreviation":"Front Immunol","note":"PMID: 36311717\nPMCID: PMC9601309","page":"902840","source":"PubMed Central","title":"Narcolepsy and H1N1 influenza immunology a decade later: What have we learned?","title-short":"Narcolepsy and H1N1 influenza immunology a decade later","volume":"13","author":[{"family":"Buonocore","given":"Sofia M."},{"family":"Most","given":"Robbert G.","non-dropping-particle":"van der"}],"issued":{"date-parts":[["2022",10,12]]}}}],"schema":"https://github.com/citation-style-language/schema/raw/master/csl-citation.json"} </w:instrText>
            </w:r>
            <w:r w:rsidR="00EC19B3">
              <w:fldChar w:fldCharType="separate"/>
            </w:r>
            <w:r w:rsidR="00EC19B3" w:rsidRPr="00EC19B3">
              <w:rPr>
                <w:rFonts w:ascii="Calibri" w:hAnsi="Calibri" w:cs="Calibri"/>
                <w:kern w:val="0"/>
                <w:szCs w:val="24"/>
                <w:vertAlign w:val="superscript"/>
              </w:rPr>
              <w:t>24</w:t>
            </w:r>
            <w:r w:rsidR="00EC19B3">
              <w:fldChar w:fldCharType="end"/>
            </w:r>
          </w:p>
        </w:tc>
        <w:tc>
          <w:tcPr>
            <w:tcW w:w="1931" w:type="dxa"/>
          </w:tcPr>
          <w:p w14:paraId="3FA2D244" w14:textId="77777777" w:rsidR="006F3041" w:rsidRDefault="00FC0D0E" w:rsidP="00DB5683">
            <w:r w:rsidRPr="00FC0D0E">
              <w:rPr>
                <w:b/>
                <w:bCs/>
              </w:rPr>
              <w:t>Risk:</w:t>
            </w:r>
            <w:r>
              <w:t xml:space="preserve"> </w:t>
            </w:r>
            <w:r w:rsidR="006F3041" w:rsidRPr="00AB50B1">
              <w:t>DQB1*06</w:t>
            </w:r>
            <w:r w:rsidR="00356A18">
              <w:t>:</w:t>
            </w:r>
            <w:r w:rsidR="006F3041" w:rsidRPr="00AB50B1">
              <w:t>02</w:t>
            </w:r>
            <w:r w:rsidR="006F3041">
              <w:fldChar w:fldCharType="begin"/>
            </w:r>
            <w:r w:rsidR="00EC19B3">
              <w:instrText xml:space="preserve"> ADDIN ZOTERO_ITEM CSL_CITATION {"citationID":"Pmx2Mkcq","properties":{"formattedCitation":"\\super 25\\nosupersub{}","plainCitation":"25","noteIndex":0},"citationItems":[{"id":1315,"uris":["http://zotero.org/users/local/VNX8NcXN/items/HL7HLGD4"],"itemData":{"id":1315,"type":"article-journal","abstract":"Human narcolepsy-cataplexy, a sleep disorder associated with a centrally mediated hypocretin (orexin) deficiency, is tightly associated with HLA-DQB1*0602. Few studies have investigated the influence that additional HLA class II alleles have on susceptibility to this disease. In this work, 1,087 control subjects and 420 narcoleptic subjects with cataplexy, from three ethnic groups, were HLA typed, and the effects of HLA-DRB1, -DQA1, and -DQB1 were analyzed. As reported elsewhere, almost all narcoleptic subjects were positive for both HLA-DQA1*0102 and -DQB1*0602. A strong predisposing effect was observed in DQB1*0602 homozygotes, across all ethnic groups. Relative risks for narcolepsy were next calculated for heterozygous DQB1*0602/other HLA class II allelic combinations. Nine HLA class II alleles carried in trans with DQB1*0602 were found to influence disease predisposition. Significantly higher relative risks were observed for heterozygote combinations including DQB1*0301, DQA1*06, DRB1*04, DRB1*08, DRB1*11, and DRB1*12. Three alleles—DQB1*0601, DQB1*0501, and DQA1*01 (non-DQA1*0102)—were found to be protective. The genetic contribution of HLA-DQ to narcolepsy susceptibility was also estimated by use of λ statistics. Results indicate that complex HLA-DR and -DQ interactions contribute to the genetic predisposition to human narcolepsy but that additional susceptibility loci are also most likely involved. Together with the recent hypocretin discoveries, these findings are consistent with an immunologically mediated destruction of hypocretin-containing cells in human narcolepsy-cataplexy.","container-title":"American Journal of Human Genetics","ISSN":"0002-9297","issue":"3","journalAbbreviation":"Am J Hum Genet","note":"PMID: 11179016\nPMCID: PMC1274481","page":"686-699","source":"PubMed Central","title":"Complex HLA-DR and -DQ Interactions Confer Risk of Narcolepsy-Cataplexy in Three Ethnic Groups","volume":"68","author":[{"family":"Mignot","given":"Emmanuel"},{"family":"Lin","given":"Ling"},{"family":"Rogers","given":"William"},{"family":"Honda","given":"Yutaka"},{"family":"Qiu","given":"Xiaohong"},{"family":"Lin","given":"Xiaoyan"},{"family":"Okun","given":"Michele"},{"family":"Hohjoh","given":"Hirohiko"},{"family":"Miki","given":"Tetsuro"},{"family":"Hsu","given":"Susan H."},{"family":"Leffell","given":"Mary S."},{"family":"Grumet","given":"F. Carl"},{"family":"Fernandez-Vina","given":"Marcelo"},{"family":"Honda","given":"Makoto"},{"family":"Risch","given":"Neil"}],"issued":{"date-parts":[["2001",3]]}}}],"schema":"https://github.com/citation-style-language/schema/raw/master/csl-citation.json"} </w:instrText>
            </w:r>
            <w:r w:rsidR="006F3041">
              <w:fldChar w:fldCharType="separate"/>
            </w:r>
            <w:r w:rsidR="00EC19B3" w:rsidRPr="00EC19B3">
              <w:rPr>
                <w:rFonts w:ascii="Calibri" w:hAnsi="Calibri" w:cs="Calibri"/>
                <w:kern w:val="0"/>
                <w:szCs w:val="24"/>
                <w:vertAlign w:val="superscript"/>
              </w:rPr>
              <w:t>25</w:t>
            </w:r>
            <w:r w:rsidR="006F3041">
              <w:fldChar w:fldCharType="end"/>
            </w:r>
          </w:p>
          <w:p w14:paraId="6AB0639E" w14:textId="77777777" w:rsidR="00FC0D0E" w:rsidRDefault="00FC0D0E" w:rsidP="00DB5683">
            <w:r>
              <w:t>Protective:</w:t>
            </w:r>
          </w:p>
          <w:p w14:paraId="0E2A5C47" w14:textId="2C2EA03F" w:rsidR="00FC0D0E" w:rsidRDefault="00FC0D0E" w:rsidP="00DB5683">
            <w:r w:rsidRPr="00FC0D0E">
              <w:t>DQB1*06:03, DQB1*05:01, DQB1*06:09 DQB1*02</w:t>
            </w:r>
            <w:r>
              <w:fldChar w:fldCharType="begin"/>
            </w:r>
            <w:r>
              <w:instrText xml:space="preserve"> ADDIN ZOTERO_ITEM CSL_CITATION {"citationID":"ZsOGDZDh","properties":{"formattedCitation":"\\super 26\\nosupersub{}","plainCitation":"26","noteIndex":0},"citationItems":[{"id":1392,"uris":["http://zotero.org/users/local/VNX8NcXN/items/GBBFRTDH"],"itemData":{"id":1392,"type":"article-journal","abstract":"STUDY OBJECTIVE: Prior research has identified five common genetic variants associated with narcolepsy with cataplexy in Caucasian patients. To replicate and/or extend these findings, we have tested HLA-DQB1, the previously identified 5 variants, and 10 other potential variants in a large European sample of narcolepsy with cataplexy subjects.\nDESIGN: Retrospective case-control study.\nSETTING: A recent study showed that over 76% of significant genome-wide association variants lie within DNase I hypersensitive sites (DHSs). From our previous GWAS, we identified 30 single nucleotide polymorphisms (SNPs) with P &lt; 10(-4) mapping to DHSs. Ten SNPs tagging these sites, HLADQB1, and all previously reported SNPs significantly associated with narcolepsy were tested for replication.\nPATIENTS AND PARTICIPANTS: For GWAS, 1,261 narcolepsy patients and 1,422 HLA-DQB1*06:02-matched controls were included. For HLA study, 1,218 patients and 3,541 controls were included.\nMEASUREMENTS AND RESULTS: None of the top variants within DHSs were replicated. Out of the five previously reported SNPs, only rs2858884 within the HLA region (P &lt; 2x10(-9)) and rs1154155 within the TRA locus (P &lt; 2x10(-8)) replicated. DQB1 typing confirmed that DQB1*06:02 confers an extraordinary risk (odds ratio 251). Four protective alleles (DQB1*06:03, odds ratio 0.17, DQB1*05:01, odds ratio 0.56, DQB1*06:09 odds ratio 0.21, DQB1*02 odds ratio 0.76) were also identified.\nCONCLUSION: An overwhelming portion of genetic risk for narcolepsy with cataplexy is found at DQB1 locus. Since DQB1*06:02 positive subjects are at 251-fold increase in risk for narcolepsy, and all recent cases of narcolepsy after H1N1 vaccination are positive for this allele, DQB1 genotyping may be relevant to public health policy.","container-title":"Sleep","DOI":"10.5665/sleep.3300","ISSN":"1550-9109","issue":"1","journalAbbreviation":"Sleep","language":"eng","note":"PMID: 24381371\nPMCID: PMC3865351","page":"19-25","source":"PubMed","title":"DQB1 locus alone explains most of the risk and protection in narcolepsy with cataplexy in Europe","volume":"37","author":[{"family":"Tafti","given":"Mehdi"},{"family":"Hor","given":"Hyun"},{"family":"Dauvilliers","given":"Yves"},{"family":"Lammers","given":"Gert J."},{"family":"Overeem","given":"Sebastiaan"},{"family":"Mayer","given":"Geert"},{"family":"Javidi","given":"Sirous"},{"family":"Iranzo","given":"Alex"},{"family":"Santamaria","given":"Joan"},{"family":"Peraita-Adrados","given":"Rosa"},{"family":"Vicario","given":"José L."},{"family":"Arnulf","given":"Isabelle"},{"family":"Plazzi","given":"Giuseppe"},{"family":"Bayard","given":"Sophie"},{"family":"Poli","given":"Francesca"},{"family":"Pizza","given":"Fabio"},{"family":"Geisler","given":"Peter"},{"family":"Wierzbicka","given":"Aleksandra"},{"family":"Bassetti","given":"Claudio L."},{"family":"Mathis","given":"Johannes"},{"family":"Lecendreux","given":"Michel"},{"family":"Donjacour","given":"Claire E. H. M."},{"family":"Heide","given":"Astrid","non-dropping-particle":"van der"},{"family":"Heinzer","given":"Raphaël"},{"family":"Haba-Rubio","given":"José"},{"family":"Feketeova","given":"Eva"},{"family":"Högl","given":"Birgit"},{"family":"Frauscher","given":"Birgit"},{"family":"Benetó","given":"Antonio"},{"family":"Khatami","given":"Ramin"},{"family":"Cañellas","given":"Francesca"},{"family":"Pfister","given":"Corinne"},{"family":"Scholz","given":"Sabine"},{"family":"Billiard","given":"Michel"},{"family":"Baumann","given":"Christian R."},{"family":"Ercilla","given":"Guadalupe"},{"family":"Verduijn","given":"Willem"},{"family":"Claas","given":"Frans H. J."},{"family":"Dubois","given":"Valérie"},{"family":"Nowak","given":"Jacek"},{"family":"Eberhard","given":"Hans-Peter"},{"family":"Pradervand","given":"Sylvain"},{"family":"Hor","given":"Charlotte N."},{"family":"Testi","given":"Manuela"},{"family":"Tiercy","given":"Jean-Marie"},{"family":"Kutalik","given":"Zoltán"}],"issued":{"date-parts":[["2014",1,1]]}}}],"schema":"https://github.com/citation-style-language/schema/raw/master/csl-citation.json"} </w:instrText>
            </w:r>
            <w:r>
              <w:fldChar w:fldCharType="separate"/>
            </w:r>
            <w:r w:rsidRPr="00FC0D0E">
              <w:rPr>
                <w:rFonts w:ascii="Calibri" w:hAnsi="Calibri" w:cs="Calibri"/>
                <w:kern w:val="0"/>
                <w:szCs w:val="24"/>
                <w:vertAlign w:val="superscript"/>
              </w:rPr>
              <w:t>26</w:t>
            </w:r>
            <w:r>
              <w:fldChar w:fldCharType="end"/>
            </w:r>
          </w:p>
        </w:tc>
        <w:tc>
          <w:tcPr>
            <w:tcW w:w="1931" w:type="dxa"/>
          </w:tcPr>
          <w:p w14:paraId="72D7FDAB" w14:textId="3EAA93EE" w:rsidR="006F3041" w:rsidRDefault="00EC19B3" w:rsidP="00DB5683">
            <w:r w:rsidRPr="00EC19B3">
              <w:t>hypocretin (HCRT)1</w:t>
            </w:r>
            <w:r w:rsidR="000B4CBD">
              <w:t xml:space="preserve"> aa</w:t>
            </w:r>
            <w:r w:rsidR="000B4CBD" w:rsidRPr="000B4CBD">
              <w:t>56-68</w:t>
            </w:r>
            <w:r w:rsidRPr="00EC19B3">
              <w:t xml:space="preserve"> and HCRT2</w:t>
            </w:r>
            <w:r w:rsidR="000B4CBD">
              <w:t xml:space="preserve"> aa</w:t>
            </w:r>
            <w:r w:rsidR="000B4CBD" w:rsidRPr="000B4CBD">
              <w:t>87-99</w:t>
            </w:r>
          </w:p>
        </w:tc>
        <w:tc>
          <w:tcPr>
            <w:tcW w:w="1931" w:type="dxa"/>
          </w:tcPr>
          <w:p w14:paraId="40B305E3" w14:textId="77777777" w:rsidR="006F3041" w:rsidRDefault="00266BF7" w:rsidP="00DB5683">
            <w:r w:rsidRPr="00266BF7">
              <w:t>CASSQETQGRNYGYTF</w:t>
            </w:r>
          </w:p>
          <w:p w14:paraId="34B9AE22" w14:textId="7F3AD27A" w:rsidR="00266BF7" w:rsidRDefault="00266BF7" w:rsidP="00DB5683">
            <w:r>
              <w:t>(study difficult to understand</w:t>
            </w:r>
            <w:r>
              <w:fldChar w:fldCharType="begin"/>
            </w:r>
            <w:r>
              <w:instrText xml:space="preserve"> ADDIN ZOTERO_ITEM CSL_CITATION {"citationID":"uJTZjfg7","properties":{"formattedCitation":"\\super 27\\nosupersub{}","plainCitation":"27","noteIndex":0},"citationItems":[{"id":1395,"uris":["http://zotero.org/users/local/VNX8NcXN/items/7KR3BUCT"],"itemData":{"id":1395,"type":"article-journal","abstract":"This work shows that the amidated terminal ends of the secreted hypocretin (HCRT) peptides (HCRTNH2) are autoantigens in type 1 narcolepsy, an autoimmune disorder targeting HCRT neurons. The autoimmune process is usually initiated by influenza A flu infections, and a particular piece of the hemagglutinin (HA) flu protein of the pandemic 2009 H1N1 strain was identified as a likely trigger. This HA epitope has homology with HCRTNH2 and T cells cross-reactive to both epitopes are involved in the autoimmune process by molecular mimicry. Genes associated with narcolepsy mark the particular HLA heterodimer (DQ0602) involved in presentation of these antigens and modulate expression of the specific T cell receptor segments (TRAJ24 and TRBV4-2) involved in T cell receptor recognition of these antigens, suggesting causality., Type 1 narcolepsy (T1N) is caused by hypocretin/orexin (HCRT) neuronal loss. Association with the HLA DQB1*06:02/DQA1*01:02 (98% vs. 25%) heterodimer (DQ0602), T cell receptors (TCR) and other immune loci suggest autoimmunity but autoantigens are unknown. Onset is seasonal and associated with influenza A, notably pandemic 2009 H1N1 (pH1N1) infection and vaccination (Pandemrix). Peptides derived from HCRT and influenza A, including pH1N1, were screened for DQ0602 binding and presence of cognate DQ0602 tetramer-peptide–specific CD4+ T cells tested in 35 T1N cases and 22 DQ0602 controls. Higher reactivity to influenza pHA273–287 (pH1N1 specific), PR8 (H1N1 pre-2009 and H2N2)-specific NP17–31 and C-amidated but not native version of HCRT54–66 and HCRT86–97 (HCRTNH2) were observed in T1N. Single-cell TCR sequencing revealed sharing of CDR3β TRBV4-2-CASSQETQGRNYGYTF in HCRTNH2 and pHA273–287-tetramers, suggesting molecular mimicry. This public CDR3β uses TRBV4-2, a segment modulated by T1N-associated SNP rs1008599, suggesting causality. TCR-α/β CDR3 motifs of HCRT54–66-NH2 and HCRT86–97-NH2 tetramers were extensively shared: notably public CDR3α, TRAV2-CAVETDSWGKLQF-TRAJ24, that uses TRAJ24, a chain modulated by T1N-associated SNPs rs1154155 and rs1483979. TCR-α/β CDR3 sequences found in pHA273–287, NP17–31, and HCRTNH2 tetramer-positive CD4+ cells were also retrieved in single INF-γ–secreting CD4+ sorted cells stimulated with Pandemrix, independently confirming these results. Our results provide evidence for autoimmunity and molecular mimicry with flu antigens modulated by genetic components in the pathophysiology of T1N.","container-title":"Proceedings of the National Academy of Sciences of the United States of America","DOI":"10.1073/pnas.1818150116","ISSN":"0027-8424","issue":"52","journalAbbreviation":"Proc Natl Acad Sci U S A","note":"PMID: 30541895\nPMCID: PMC6310865","page":"E12323-E12332","source":"PubMed Central","title":"Autoimmunity to hypocretin and molecular mimicry to flu in type 1 narcolepsy","volume":"115","author":[{"family":"Luo","given":"Guo"},{"family":"Ambati","given":"Aditya"},{"family":"Lin","given":"Ling"},{"family":"Bonvalet","given":"Mélodie"},{"family":"Partinen","given":"Markku"},{"family":"Ji","given":"Xuhuai"},{"family":"Maecker","given":"Holden Terry"},{"family":"Mignot","given":"Emmanuel Jean-Marie"}],"issued":{"date-parts":[["2018",12,26]]}}}],"schema":"https://github.com/citation-style-language/schema/raw/master/csl-citation.json"} </w:instrText>
            </w:r>
            <w:r>
              <w:fldChar w:fldCharType="separate"/>
            </w:r>
            <w:r w:rsidRPr="00266BF7">
              <w:rPr>
                <w:rFonts w:ascii="Calibri" w:hAnsi="Calibri" w:cs="Calibri"/>
                <w:kern w:val="0"/>
                <w:szCs w:val="24"/>
                <w:vertAlign w:val="superscript"/>
              </w:rPr>
              <w:t>27</w:t>
            </w:r>
            <w:r>
              <w:fldChar w:fldCharType="end"/>
            </w:r>
            <w:r w:rsidR="00675E0F">
              <w:t xml:space="preserve">, explainer of method </w:t>
            </w:r>
            <w:hyperlink r:id="rId16" w:history="1">
              <w:r w:rsidR="00675E0F" w:rsidRPr="00675E0F">
                <w:rPr>
                  <w:rStyle w:val="Hyperlink"/>
                </w:rPr>
                <w:t>here</w:t>
              </w:r>
            </w:hyperlink>
            <w:r>
              <w:t>)</w:t>
            </w:r>
          </w:p>
        </w:tc>
      </w:tr>
      <w:tr w:rsidR="006F3041" w14:paraId="56C23201" w14:textId="525A1109" w:rsidTr="006F3041">
        <w:tc>
          <w:tcPr>
            <w:tcW w:w="1293" w:type="dxa"/>
            <w:vMerge w:val="restart"/>
          </w:tcPr>
          <w:p w14:paraId="2EE12A3C" w14:textId="33D84638" w:rsidR="006F3041" w:rsidRPr="00977BC2" w:rsidRDefault="006F3041" w:rsidP="00DB5683">
            <w:pPr>
              <w:rPr>
                <w:b/>
                <w:bCs/>
              </w:rPr>
            </w:pPr>
            <w:r w:rsidRPr="00977BC2">
              <w:rPr>
                <w:b/>
                <w:bCs/>
              </w:rPr>
              <w:t>Rheumatic Fever</w:t>
            </w:r>
          </w:p>
        </w:tc>
        <w:tc>
          <w:tcPr>
            <w:tcW w:w="1930" w:type="dxa"/>
          </w:tcPr>
          <w:p w14:paraId="0F1E00EA" w14:textId="43F1B1CA" w:rsidR="006F3041" w:rsidRDefault="006F3041" w:rsidP="00DB5683">
            <w:r w:rsidRPr="00DB5683">
              <w:rPr>
                <w:i/>
                <w:iCs/>
              </w:rPr>
              <w:t>S. pyogenes</w:t>
            </w:r>
            <w:r>
              <w:t xml:space="preserve"> (GABHS) m-protein</w:t>
            </w:r>
          </w:p>
        </w:tc>
        <w:tc>
          <w:tcPr>
            <w:tcW w:w="1931" w:type="dxa"/>
          </w:tcPr>
          <w:p w14:paraId="0D15BE91" w14:textId="2FC8107C" w:rsidR="006F3041" w:rsidRDefault="006F3041" w:rsidP="00DB5683">
            <w:r>
              <w:t>Class II in general but no specific allele</w:t>
            </w:r>
            <w:r>
              <w:fldChar w:fldCharType="begin"/>
            </w:r>
            <w:r w:rsidR="00266BF7">
              <w:instrText xml:space="preserve"> ADDIN ZOTERO_ITEM CSL_CITATION {"citationID":"TKIg7cKd","properties":{"formattedCitation":"\\super 28\\nosupersub{}","plainCitation":"28","noteIndex":0},"citationItems":[{"id":1331,"uris":["http://zotero.org/users/local/VNX8NcXN/items/D6DCDIHJ"],"itemData":{"id":1331,"type":"article-journal","abstract":"Acute rheumatic fever is a major cause of heart disease in large parts of the world, but it remains unknown why only a small fraction of those who are infected with rheumatogenic group A streptococci develop an abnormal immune response that leads to acute rheumatic fever. An understanding of the mechanisms underlying host susceptibility can provide important insights into pathogenesis that in turn can inform new treatments. Extensive searches for susceptibility factors have been undertaken, including human leukocyte antigens, B-cell alloantigens, and cytokine genes. Although significant associations have been found between genetic factors and acute rheumatic fever, study results often conflict with each other. This review explores current understanding about host susceptibility to acute rheumatic fever and provides an overall perspective to the number of studies that have recently addressed this subject.","container-title":"Circulation","DOI":"10.1161/CIRCULATIONAHA.108.792135","issue":"5","note":"publisher: American Heart Association","page":"742-753","source":"ahajournals.org (Atypon)","title":"Some of the People, Some of the Time","volume":"119","author":[{"family":"Bryant","given":"Penelope A."},{"family":"Robins-Browne","given":"Roy"},{"family":"Carapetis","given":"Jonathan R."},{"family":"Curtis","given":"Nigel"}],"issued":{"date-parts":[["2009",2,10]]}}}],"schema":"https://github.com/citation-style-language/schema/raw/master/csl-citation.json"} </w:instrText>
            </w:r>
            <w:r>
              <w:fldChar w:fldCharType="separate"/>
            </w:r>
            <w:r w:rsidR="00266BF7" w:rsidRPr="00266BF7">
              <w:rPr>
                <w:rFonts w:ascii="Calibri" w:hAnsi="Calibri" w:cs="Calibri"/>
                <w:kern w:val="0"/>
                <w:szCs w:val="24"/>
                <w:vertAlign w:val="superscript"/>
              </w:rPr>
              <w:t>28</w:t>
            </w:r>
            <w:r>
              <w:fldChar w:fldCharType="end"/>
            </w:r>
          </w:p>
        </w:tc>
        <w:tc>
          <w:tcPr>
            <w:tcW w:w="1931" w:type="dxa"/>
          </w:tcPr>
          <w:p w14:paraId="2AC4B0DF" w14:textId="60FF85CF" w:rsidR="006F3041" w:rsidRDefault="006F3041" w:rsidP="00DB5683">
            <w:r>
              <w:t>Type 4 collagen</w:t>
            </w:r>
          </w:p>
        </w:tc>
        <w:tc>
          <w:tcPr>
            <w:tcW w:w="1931" w:type="dxa"/>
          </w:tcPr>
          <w:p w14:paraId="644C796F" w14:textId="77777777" w:rsidR="006F3041" w:rsidRDefault="006F3041" w:rsidP="00DB5683"/>
        </w:tc>
      </w:tr>
      <w:tr w:rsidR="006F3041" w14:paraId="07BAEB1F" w14:textId="64DB7821" w:rsidTr="006F3041">
        <w:tc>
          <w:tcPr>
            <w:tcW w:w="1293" w:type="dxa"/>
            <w:vMerge/>
          </w:tcPr>
          <w:p w14:paraId="0A6AF38C" w14:textId="77777777" w:rsidR="006F3041" w:rsidRPr="00977BC2" w:rsidRDefault="006F3041" w:rsidP="00DB5683">
            <w:pPr>
              <w:rPr>
                <w:b/>
                <w:bCs/>
              </w:rPr>
            </w:pPr>
          </w:p>
        </w:tc>
        <w:tc>
          <w:tcPr>
            <w:tcW w:w="3861" w:type="dxa"/>
            <w:gridSpan w:val="2"/>
          </w:tcPr>
          <w:p w14:paraId="78D46887" w14:textId="1F0F8876" w:rsidR="006F3041" w:rsidRDefault="006F3041" w:rsidP="00DB5683">
            <w:r w:rsidRPr="00974F64">
              <w:t xml:space="preserve">a streptococcal M protein N-terminus domain has been shown to bind to the CB3 region in collagen type IV. This binding seems to initiate an antibody </w:t>
            </w:r>
            <w:r w:rsidRPr="00974F64">
              <w:lastRenderedPageBreak/>
              <w:t>response to the collagen and result in ground substance inflammation. These antibodies do not cross-react with M proteins, and we believe that no failure of immune system and, possibly, no molecular mimicry occur in rheumatic fever. This alternative hypothesis shares similarity with collagen involvement in both Goodpasture syndrome and Alport syndrome</w:t>
            </w:r>
            <w:r>
              <w:fldChar w:fldCharType="begin"/>
            </w:r>
            <w:r w:rsidR="00266BF7">
              <w:instrText xml:space="preserve"> ADDIN ZOTERO_ITEM CSL_CITATION {"citationID":"5HUf1uh5","properties":{"formattedCitation":"\\super 29\\nosupersub{}","plainCitation":"29","noteIndex":0},"citationItems":[{"id":1329,"uris":["http://zotero.org/users/local/VNX8NcXN/items/JFFKUBKJ"],"itemData":{"id":1329,"type":"article-journal","abstract":"In this opinion article, the authors suggest an alternative hypothesis for the pathogenesis of rheumatic heart disease. They believe that an interaction between streptococcal M protein and the infected individual's collagen results in the production of anticollagen autoantibodies. They also believe that molecular mimicry, which has previously been implicated in rheumatic heart disease, probably has no role in the pathogenesis of this condition.","container-title":"Nature Reviews Cardiology","DOI":"10.1038/nrcardio.2012.197","ISSN":"1759-5010","issue":"3","journalAbbreviation":"Nat Rev Cardiol","language":"en","license":"2013 Nature Publishing Group, a division of Macmillan Publishers Limited. All Rights Reserved.","note":"number: 3\npublisher: Nature Publishing Group","page":"171-177","source":"www.nature.com","title":"Revisiting the pathogenesis of rheumatic fever and carditis","volume":"10","author":[{"family":"Tandon","given":"Rajendra"},{"family":"Sharma","given":"Meenakshi"},{"family":"Chandrashekhar","given":"Y."},{"family":"Kotb","given":"Malak"},{"family":"Yacoub","given":"Magdi H."},{"family":"Narula","given":"Jagat"}],"issued":{"date-parts":[["2013",3]]}}}],"schema":"https://github.com/citation-style-language/schema/raw/master/csl-citation.json"} </w:instrText>
            </w:r>
            <w:r>
              <w:fldChar w:fldCharType="separate"/>
            </w:r>
            <w:r w:rsidR="00266BF7" w:rsidRPr="00266BF7">
              <w:rPr>
                <w:rFonts w:ascii="Calibri" w:hAnsi="Calibri" w:cs="Calibri"/>
                <w:kern w:val="0"/>
                <w:szCs w:val="24"/>
                <w:vertAlign w:val="superscript"/>
              </w:rPr>
              <w:t>29</w:t>
            </w:r>
            <w:r>
              <w:fldChar w:fldCharType="end"/>
            </w:r>
          </w:p>
        </w:tc>
        <w:tc>
          <w:tcPr>
            <w:tcW w:w="3862" w:type="dxa"/>
            <w:gridSpan w:val="2"/>
          </w:tcPr>
          <w:p w14:paraId="529C7DE7" w14:textId="77777777" w:rsidR="006F3041" w:rsidRPr="00974F64" w:rsidRDefault="006F3041" w:rsidP="00DB5683"/>
        </w:tc>
      </w:tr>
    </w:tbl>
    <w:p w14:paraId="2E42934A" w14:textId="77777777" w:rsidR="00E52769" w:rsidRDefault="00E52769"/>
    <w:p w14:paraId="2E6B5570" w14:textId="37966B27" w:rsidR="00B439CA" w:rsidRDefault="00000000" w:rsidP="0030353D">
      <w:pPr>
        <w:rPr>
          <w:rStyle w:val="Hyperlink"/>
        </w:rPr>
      </w:pPr>
      <w:hyperlink r:id="rId17" w:history="1">
        <w:r w:rsidR="00B439CA" w:rsidRPr="008E6B8D">
          <w:rPr>
            <w:rStyle w:val="Hyperlink"/>
          </w:rPr>
          <w:t>https://www.nature.com/articles/s41569-019-0258-2</w:t>
        </w:r>
      </w:hyperlink>
    </w:p>
    <w:p w14:paraId="4E764967" w14:textId="56F524EC" w:rsidR="000D372C" w:rsidRPr="00DD5EFA" w:rsidRDefault="000D372C" w:rsidP="0030353D">
      <w:pPr>
        <w:rPr>
          <w:b/>
          <w:bCs/>
        </w:rPr>
      </w:pPr>
      <w:r w:rsidRPr="00DD5EFA">
        <w:rPr>
          <w:rStyle w:val="Hyperlink"/>
          <w:b/>
          <w:bCs/>
          <w:color w:val="auto"/>
          <w:u w:val="none"/>
        </w:rPr>
        <w:t>Preliminary Results</w:t>
      </w:r>
      <w:r w:rsidR="002D2F36" w:rsidRPr="00DD5EFA">
        <w:rPr>
          <w:rStyle w:val="Hyperlink"/>
          <w:b/>
          <w:bCs/>
          <w:color w:val="auto"/>
          <w:u w:val="none"/>
        </w:rPr>
        <w:t xml:space="preserve"> (</w:t>
      </w:r>
      <w:proofErr w:type="spellStart"/>
      <w:r w:rsidR="002D2F36" w:rsidRPr="00DD5EFA">
        <w:rPr>
          <w:rStyle w:val="Hyperlink"/>
          <w:b/>
          <w:bCs/>
          <w:color w:val="auto"/>
          <w:u w:val="none"/>
        </w:rPr>
        <w:t>Netchop</w:t>
      </w:r>
      <w:proofErr w:type="spellEnd"/>
      <w:r w:rsidR="002D2F36" w:rsidRPr="00DD5EFA">
        <w:rPr>
          <w:rStyle w:val="Hyperlink"/>
          <w:b/>
          <w:bCs/>
          <w:color w:val="auto"/>
          <w:u w:val="none"/>
        </w:rPr>
        <w:t xml:space="preserve">-epitopes vs. </w:t>
      </w:r>
      <w:r w:rsidR="00CD31E5" w:rsidRPr="00DD5EFA">
        <w:rPr>
          <w:rStyle w:val="Hyperlink"/>
          <w:b/>
          <w:bCs/>
          <w:color w:val="auto"/>
          <w:u w:val="none"/>
        </w:rPr>
        <w:t>s</w:t>
      </w:r>
      <w:r w:rsidR="002D2F36" w:rsidRPr="00DD5EFA">
        <w:rPr>
          <w:rStyle w:val="Hyperlink"/>
          <w:b/>
          <w:bCs/>
          <w:color w:val="auto"/>
          <w:u w:val="none"/>
        </w:rPr>
        <w:t>elected proteins)</w:t>
      </w:r>
    </w:p>
    <w:tbl>
      <w:tblPr>
        <w:tblStyle w:val="TableGrid"/>
        <w:tblW w:w="0" w:type="auto"/>
        <w:tblLook w:val="04A0" w:firstRow="1" w:lastRow="0" w:firstColumn="1" w:lastColumn="0" w:noHBand="0" w:noVBand="1"/>
      </w:tblPr>
      <w:tblGrid>
        <w:gridCol w:w="704"/>
        <w:gridCol w:w="3803"/>
        <w:gridCol w:w="2254"/>
        <w:gridCol w:w="2255"/>
      </w:tblGrid>
      <w:tr w:rsidR="004A5FA3" w14:paraId="0DB47C50" w14:textId="77777777" w:rsidTr="004A5FA3">
        <w:tc>
          <w:tcPr>
            <w:tcW w:w="704" w:type="dxa"/>
            <w:shd w:val="clear" w:color="auto" w:fill="D9D9D9" w:themeFill="background1" w:themeFillShade="D9"/>
          </w:tcPr>
          <w:p w14:paraId="4D3B2245" w14:textId="77777777" w:rsidR="004A5FA3" w:rsidRDefault="004A5FA3" w:rsidP="0030353D"/>
        </w:tc>
        <w:tc>
          <w:tcPr>
            <w:tcW w:w="8312" w:type="dxa"/>
            <w:gridSpan w:val="3"/>
            <w:shd w:val="clear" w:color="auto" w:fill="D9D9D9" w:themeFill="background1" w:themeFillShade="D9"/>
          </w:tcPr>
          <w:p w14:paraId="0CED7BD6" w14:textId="45400DCF" w:rsidR="004A5FA3" w:rsidRDefault="004A5FA3" w:rsidP="0030353D">
            <w:r>
              <w:t>T1DM</w:t>
            </w:r>
          </w:p>
        </w:tc>
      </w:tr>
      <w:tr w:rsidR="000D372C" w14:paraId="50E33CAE" w14:textId="77777777" w:rsidTr="004A5FA3">
        <w:tc>
          <w:tcPr>
            <w:tcW w:w="704" w:type="dxa"/>
            <w:vMerge w:val="restart"/>
            <w:shd w:val="clear" w:color="auto" w:fill="D9D9D9" w:themeFill="background1" w:themeFillShade="D9"/>
          </w:tcPr>
          <w:p w14:paraId="1CC2CEFC" w14:textId="77777777" w:rsidR="000D372C" w:rsidRDefault="000D372C" w:rsidP="0030353D"/>
        </w:tc>
        <w:tc>
          <w:tcPr>
            <w:tcW w:w="3803" w:type="dxa"/>
            <w:vMerge w:val="restart"/>
            <w:shd w:val="clear" w:color="auto" w:fill="D9D9D9" w:themeFill="background1" w:themeFillShade="D9"/>
          </w:tcPr>
          <w:p w14:paraId="788B5304" w14:textId="7FB0C886" w:rsidR="000D372C" w:rsidRDefault="000D372C" w:rsidP="0030353D">
            <w:r>
              <w:t>DR/DP/DQ Molecule Haplotype</w:t>
            </w:r>
          </w:p>
        </w:tc>
        <w:tc>
          <w:tcPr>
            <w:tcW w:w="4509" w:type="dxa"/>
            <w:gridSpan w:val="2"/>
            <w:shd w:val="clear" w:color="auto" w:fill="D9D9D9" w:themeFill="background1" w:themeFillShade="D9"/>
          </w:tcPr>
          <w:p w14:paraId="5E8C8BFC" w14:textId="4322666F" w:rsidR="000D372C" w:rsidRDefault="000D372C" w:rsidP="0030353D">
            <w:r>
              <w:t xml:space="preserve">Number of </w:t>
            </w:r>
            <w:r w:rsidR="002D2F36">
              <w:t>5</w:t>
            </w:r>
            <w:r>
              <w:t>AA matches against viral dataset</w:t>
            </w:r>
          </w:p>
        </w:tc>
      </w:tr>
      <w:tr w:rsidR="000D372C" w14:paraId="7D08F021" w14:textId="77777777" w:rsidTr="004A5FA3">
        <w:tc>
          <w:tcPr>
            <w:tcW w:w="704" w:type="dxa"/>
            <w:vMerge/>
            <w:shd w:val="clear" w:color="auto" w:fill="D9D9D9" w:themeFill="background1" w:themeFillShade="D9"/>
          </w:tcPr>
          <w:p w14:paraId="48F31067" w14:textId="77777777" w:rsidR="000D372C" w:rsidRDefault="000D372C" w:rsidP="0030353D"/>
        </w:tc>
        <w:tc>
          <w:tcPr>
            <w:tcW w:w="3803" w:type="dxa"/>
            <w:vMerge/>
            <w:shd w:val="clear" w:color="auto" w:fill="D9D9D9" w:themeFill="background1" w:themeFillShade="D9"/>
          </w:tcPr>
          <w:p w14:paraId="21203E03" w14:textId="533DAA08" w:rsidR="000D372C" w:rsidRDefault="000D372C" w:rsidP="0030353D"/>
        </w:tc>
        <w:tc>
          <w:tcPr>
            <w:tcW w:w="2254" w:type="dxa"/>
            <w:shd w:val="clear" w:color="auto" w:fill="D9D9D9" w:themeFill="background1" w:themeFillShade="D9"/>
          </w:tcPr>
          <w:p w14:paraId="6CF7B481" w14:textId="59C3B192" w:rsidR="000D372C" w:rsidRDefault="000D372C" w:rsidP="0030353D">
            <w:r>
              <w:t>Targeted Proteins</w:t>
            </w:r>
          </w:p>
        </w:tc>
        <w:tc>
          <w:tcPr>
            <w:tcW w:w="2255" w:type="dxa"/>
            <w:shd w:val="clear" w:color="auto" w:fill="D9D9D9" w:themeFill="background1" w:themeFillShade="D9"/>
          </w:tcPr>
          <w:p w14:paraId="75D4BAA3" w14:textId="54239A9E" w:rsidR="000D372C" w:rsidRDefault="000D372C" w:rsidP="0030353D">
            <w:r>
              <w:t>Control Proteins</w:t>
            </w:r>
          </w:p>
        </w:tc>
      </w:tr>
      <w:tr w:rsidR="000D372C" w14:paraId="27B7FD06" w14:textId="77777777" w:rsidTr="000D372C">
        <w:tc>
          <w:tcPr>
            <w:tcW w:w="704" w:type="dxa"/>
            <w:vMerge w:val="restart"/>
            <w:textDirection w:val="btLr"/>
          </w:tcPr>
          <w:p w14:paraId="4F457CE2" w14:textId="3FB2C7DB" w:rsidR="000D372C" w:rsidRDefault="000D372C" w:rsidP="000D372C">
            <w:pPr>
              <w:ind w:left="113" w:right="113"/>
            </w:pPr>
            <w:r>
              <w:t>Risk</w:t>
            </w:r>
          </w:p>
        </w:tc>
        <w:tc>
          <w:tcPr>
            <w:tcW w:w="3803" w:type="dxa"/>
          </w:tcPr>
          <w:p w14:paraId="5AF11800" w14:textId="7E1C1328" w:rsidR="000D372C" w:rsidRDefault="000D372C" w:rsidP="000D372C">
            <w:r>
              <w:t>"DQA1_05_01__DQB1_02_01"</w:t>
            </w:r>
          </w:p>
        </w:tc>
        <w:tc>
          <w:tcPr>
            <w:tcW w:w="2254" w:type="dxa"/>
          </w:tcPr>
          <w:p w14:paraId="6E329522" w14:textId="77777777" w:rsidR="000D372C" w:rsidRDefault="000D372C" w:rsidP="0030353D"/>
        </w:tc>
        <w:tc>
          <w:tcPr>
            <w:tcW w:w="2255" w:type="dxa"/>
          </w:tcPr>
          <w:p w14:paraId="25903117" w14:textId="77777777" w:rsidR="000D372C" w:rsidRDefault="000D372C" w:rsidP="0030353D"/>
        </w:tc>
      </w:tr>
      <w:tr w:rsidR="000D372C" w14:paraId="52C7ABC6" w14:textId="77777777" w:rsidTr="000D372C">
        <w:tc>
          <w:tcPr>
            <w:tcW w:w="704" w:type="dxa"/>
            <w:vMerge/>
            <w:textDirection w:val="btLr"/>
          </w:tcPr>
          <w:p w14:paraId="79341D4C" w14:textId="77777777" w:rsidR="000D372C" w:rsidRDefault="000D372C" w:rsidP="000D372C">
            <w:pPr>
              <w:ind w:left="113" w:right="113"/>
            </w:pPr>
          </w:p>
        </w:tc>
        <w:tc>
          <w:tcPr>
            <w:tcW w:w="3803" w:type="dxa"/>
          </w:tcPr>
          <w:p w14:paraId="58729576" w14:textId="461F2C37" w:rsidR="000D372C" w:rsidRDefault="000D372C" w:rsidP="000D372C">
            <w:r>
              <w:t>"DQA1_03_01__DQB1_03_02"</w:t>
            </w:r>
          </w:p>
        </w:tc>
        <w:tc>
          <w:tcPr>
            <w:tcW w:w="2254" w:type="dxa"/>
          </w:tcPr>
          <w:p w14:paraId="3EDCB83E" w14:textId="7B2A041A" w:rsidR="000D372C" w:rsidRDefault="002D2F36" w:rsidP="0030353D">
            <w:r>
              <w:t>AVVNN (</w:t>
            </w:r>
            <w:r w:rsidRPr="002D2F36">
              <w:t>G5EGJ5</w:t>
            </w:r>
            <w:r>
              <w:t xml:space="preserve"> IDA-1/P10190 – HHV-1)</w:t>
            </w:r>
          </w:p>
        </w:tc>
        <w:tc>
          <w:tcPr>
            <w:tcW w:w="2255" w:type="dxa"/>
          </w:tcPr>
          <w:p w14:paraId="3494FD56" w14:textId="77777777" w:rsidR="000D372C" w:rsidRDefault="000D372C" w:rsidP="0030353D"/>
        </w:tc>
      </w:tr>
      <w:tr w:rsidR="000D372C" w14:paraId="460548E3" w14:textId="77777777" w:rsidTr="000D372C">
        <w:tc>
          <w:tcPr>
            <w:tcW w:w="704" w:type="dxa"/>
            <w:vMerge/>
            <w:textDirection w:val="btLr"/>
          </w:tcPr>
          <w:p w14:paraId="559DF572" w14:textId="77777777" w:rsidR="000D372C" w:rsidRDefault="000D372C" w:rsidP="000D372C">
            <w:pPr>
              <w:ind w:left="113" w:right="113"/>
            </w:pPr>
          </w:p>
        </w:tc>
        <w:tc>
          <w:tcPr>
            <w:tcW w:w="3803" w:type="dxa"/>
          </w:tcPr>
          <w:p w14:paraId="5115BB79" w14:textId="776945A6" w:rsidR="000D372C" w:rsidRDefault="000D372C" w:rsidP="000D372C">
            <w:r>
              <w:t>"DRB1_04_01"</w:t>
            </w:r>
          </w:p>
        </w:tc>
        <w:tc>
          <w:tcPr>
            <w:tcW w:w="2254" w:type="dxa"/>
          </w:tcPr>
          <w:p w14:paraId="49C5E40D" w14:textId="77777777" w:rsidR="000D372C" w:rsidRDefault="000D372C" w:rsidP="0030353D"/>
        </w:tc>
        <w:tc>
          <w:tcPr>
            <w:tcW w:w="2255" w:type="dxa"/>
          </w:tcPr>
          <w:p w14:paraId="47CAB16C" w14:textId="11E17F22" w:rsidR="000D372C" w:rsidRDefault="002D2F36" w:rsidP="0030353D">
            <w:r>
              <w:t>APANY (</w:t>
            </w:r>
            <w:r w:rsidR="00EE26D5" w:rsidRPr="00EE26D5">
              <w:t>Q9NQA5</w:t>
            </w:r>
            <w:r w:rsidR="00EE26D5">
              <w:t xml:space="preserve"> TRPV-5</w:t>
            </w:r>
            <w:r>
              <w:t>/</w:t>
            </w:r>
            <w:r w:rsidRPr="002D2F36">
              <w:t>O56278</w:t>
            </w:r>
            <w:r>
              <w:t xml:space="preserve"> – Human </w:t>
            </w:r>
            <w:proofErr w:type="spellStart"/>
            <w:r>
              <w:t>betaherpes</w:t>
            </w:r>
            <w:proofErr w:type="spellEnd"/>
            <w:r>
              <w:t xml:space="preserve"> virus 7)</w:t>
            </w:r>
          </w:p>
        </w:tc>
      </w:tr>
      <w:tr w:rsidR="000D372C" w14:paraId="759D2843" w14:textId="77777777" w:rsidTr="000D372C">
        <w:tc>
          <w:tcPr>
            <w:tcW w:w="704" w:type="dxa"/>
            <w:vMerge/>
            <w:textDirection w:val="btLr"/>
          </w:tcPr>
          <w:p w14:paraId="0C253372" w14:textId="77777777" w:rsidR="000D372C" w:rsidRDefault="000D372C" w:rsidP="000D372C">
            <w:pPr>
              <w:ind w:left="113" w:right="113"/>
            </w:pPr>
          </w:p>
        </w:tc>
        <w:tc>
          <w:tcPr>
            <w:tcW w:w="3803" w:type="dxa"/>
          </w:tcPr>
          <w:p w14:paraId="53C9FF56" w14:textId="1CA1F841" w:rsidR="000D372C" w:rsidRDefault="000D372C" w:rsidP="0030353D">
            <w:r>
              <w:t>"DRB1_04_09"</w:t>
            </w:r>
          </w:p>
        </w:tc>
        <w:tc>
          <w:tcPr>
            <w:tcW w:w="2254" w:type="dxa"/>
          </w:tcPr>
          <w:p w14:paraId="07555C0A" w14:textId="18C6E3EC" w:rsidR="000D372C" w:rsidRDefault="002D2F36" w:rsidP="0030353D">
            <w:r w:rsidRPr="002D2F36">
              <w:t xml:space="preserve">EHLRD </w:t>
            </w:r>
            <w:r>
              <w:t>(</w:t>
            </w:r>
            <w:r w:rsidRPr="002D2F36">
              <w:t>G5EGJ5</w:t>
            </w:r>
            <w:r>
              <w:t xml:space="preserve"> IDA-1/P10211 – HHV-1)</w:t>
            </w:r>
          </w:p>
        </w:tc>
        <w:tc>
          <w:tcPr>
            <w:tcW w:w="2255" w:type="dxa"/>
          </w:tcPr>
          <w:p w14:paraId="70B89E48" w14:textId="77777777" w:rsidR="000D372C" w:rsidRDefault="000D372C" w:rsidP="0030353D"/>
        </w:tc>
      </w:tr>
      <w:tr w:rsidR="000D372C" w14:paraId="6355AC0C" w14:textId="77777777" w:rsidTr="000D372C">
        <w:tc>
          <w:tcPr>
            <w:tcW w:w="704" w:type="dxa"/>
            <w:vMerge w:val="restart"/>
            <w:textDirection w:val="btLr"/>
          </w:tcPr>
          <w:p w14:paraId="70D6E99B" w14:textId="6EC84281" w:rsidR="000D372C" w:rsidRDefault="000D372C" w:rsidP="000D372C">
            <w:pPr>
              <w:ind w:left="113" w:right="113"/>
            </w:pPr>
            <w:r>
              <w:t>Protective</w:t>
            </w:r>
          </w:p>
        </w:tc>
        <w:tc>
          <w:tcPr>
            <w:tcW w:w="3803" w:type="dxa"/>
          </w:tcPr>
          <w:p w14:paraId="291E9923" w14:textId="0D623738" w:rsidR="000D372C" w:rsidRDefault="000D372C" w:rsidP="000D372C">
            <w:r>
              <w:t>"DRB1_13_03",</w:t>
            </w:r>
          </w:p>
        </w:tc>
        <w:tc>
          <w:tcPr>
            <w:tcW w:w="2254" w:type="dxa"/>
          </w:tcPr>
          <w:p w14:paraId="15E5A4DD" w14:textId="77777777" w:rsidR="000D372C" w:rsidRDefault="000D372C" w:rsidP="0030353D"/>
        </w:tc>
        <w:tc>
          <w:tcPr>
            <w:tcW w:w="2255" w:type="dxa"/>
          </w:tcPr>
          <w:p w14:paraId="25F28143" w14:textId="77777777" w:rsidR="000D372C" w:rsidRDefault="000D372C" w:rsidP="0030353D"/>
        </w:tc>
      </w:tr>
      <w:tr w:rsidR="000D372C" w14:paraId="79A34931" w14:textId="77777777" w:rsidTr="000D372C">
        <w:tc>
          <w:tcPr>
            <w:tcW w:w="704" w:type="dxa"/>
            <w:vMerge/>
          </w:tcPr>
          <w:p w14:paraId="6EDBB69C" w14:textId="77777777" w:rsidR="000D372C" w:rsidRDefault="000D372C" w:rsidP="0030353D"/>
        </w:tc>
        <w:tc>
          <w:tcPr>
            <w:tcW w:w="3803" w:type="dxa"/>
          </w:tcPr>
          <w:p w14:paraId="68B637DA" w14:textId="7162DB34" w:rsidR="000D372C" w:rsidRDefault="000D372C" w:rsidP="000D372C">
            <w:r>
              <w:t>"DRB1_15_01",</w:t>
            </w:r>
          </w:p>
        </w:tc>
        <w:tc>
          <w:tcPr>
            <w:tcW w:w="2254" w:type="dxa"/>
          </w:tcPr>
          <w:p w14:paraId="31898AD3" w14:textId="77777777" w:rsidR="000D372C" w:rsidRDefault="000D372C" w:rsidP="0030353D"/>
        </w:tc>
        <w:tc>
          <w:tcPr>
            <w:tcW w:w="2255" w:type="dxa"/>
          </w:tcPr>
          <w:p w14:paraId="049F9853" w14:textId="77777777" w:rsidR="000D372C" w:rsidRDefault="000D372C" w:rsidP="0030353D"/>
        </w:tc>
      </w:tr>
      <w:tr w:rsidR="000D372C" w14:paraId="26A0EF85" w14:textId="77777777" w:rsidTr="000D372C">
        <w:tc>
          <w:tcPr>
            <w:tcW w:w="704" w:type="dxa"/>
            <w:vMerge/>
          </w:tcPr>
          <w:p w14:paraId="681AA265" w14:textId="77777777" w:rsidR="000D372C" w:rsidRDefault="000D372C" w:rsidP="0030353D"/>
        </w:tc>
        <w:tc>
          <w:tcPr>
            <w:tcW w:w="3803" w:type="dxa"/>
          </w:tcPr>
          <w:p w14:paraId="083BE0FA" w14:textId="7880426A" w:rsidR="000D372C" w:rsidRDefault="000D372C" w:rsidP="000D372C">
            <w:r>
              <w:t>"DQA1_01_01__DQB1_05_03",</w:t>
            </w:r>
          </w:p>
        </w:tc>
        <w:tc>
          <w:tcPr>
            <w:tcW w:w="2254" w:type="dxa"/>
          </w:tcPr>
          <w:p w14:paraId="7C329A2D" w14:textId="77777777" w:rsidR="000D372C" w:rsidRDefault="000D372C" w:rsidP="0030353D"/>
        </w:tc>
        <w:tc>
          <w:tcPr>
            <w:tcW w:w="2255" w:type="dxa"/>
          </w:tcPr>
          <w:p w14:paraId="3C51BBDD" w14:textId="77777777" w:rsidR="000D372C" w:rsidRDefault="000D372C" w:rsidP="0030353D"/>
        </w:tc>
      </w:tr>
      <w:tr w:rsidR="000D372C" w14:paraId="77C2B1EA" w14:textId="77777777" w:rsidTr="000D372C">
        <w:trPr>
          <w:trHeight w:val="381"/>
        </w:trPr>
        <w:tc>
          <w:tcPr>
            <w:tcW w:w="704" w:type="dxa"/>
            <w:vMerge/>
          </w:tcPr>
          <w:p w14:paraId="63954A47" w14:textId="77777777" w:rsidR="000D372C" w:rsidRDefault="000D372C" w:rsidP="0030353D"/>
        </w:tc>
        <w:tc>
          <w:tcPr>
            <w:tcW w:w="3803" w:type="dxa"/>
          </w:tcPr>
          <w:p w14:paraId="3746D5FF" w14:textId="0673AAAC" w:rsidR="000D372C" w:rsidRDefault="000D372C" w:rsidP="0030353D">
            <w:r>
              <w:t>"DQA1_02_01__DQB1_03_03"</w:t>
            </w:r>
          </w:p>
        </w:tc>
        <w:tc>
          <w:tcPr>
            <w:tcW w:w="2254" w:type="dxa"/>
          </w:tcPr>
          <w:p w14:paraId="338C5B5F" w14:textId="77777777" w:rsidR="000D372C" w:rsidRDefault="000D372C" w:rsidP="0030353D"/>
        </w:tc>
        <w:tc>
          <w:tcPr>
            <w:tcW w:w="2255" w:type="dxa"/>
          </w:tcPr>
          <w:p w14:paraId="2A9A2D25" w14:textId="77777777" w:rsidR="000D372C" w:rsidRDefault="000D372C" w:rsidP="0030353D"/>
        </w:tc>
      </w:tr>
    </w:tbl>
    <w:p w14:paraId="3A2094EE" w14:textId="77777777" w:rsidR="000D372C" w:rsidRDefault="000D372C" w:rsidP="0030353D"/>
    <w:tbl>
      <w:tblPr>
        <w:tblStyle w:val="TableGrid"/>
        <w:tblW w:w="0" w:type="auto"/>
        <w:tblLook w:val="04A0" w:firstRow="1" w:lastRow="0" w:firstColumn="1" w:lastColumn="0" w:noHBand="0" w:noVBand="1"/>
      </w:tblPr>
      <w:tblGrid>
        <w:gridCol w:w="704"/>
        <w:gridCol w:w="3803"/>
        <w:gridCol w:w="2254"/>
        <w:gridCol w:w="2255"/>
      </w:tblGrid>
      <w:tr w:rsidR="004A5FA3" w14:paraId="5BB0C3ED" w14:textId="77777777" w:rsidTr="00725F82">
        <w:tc>
          <w:tcPr>
            <w:tcW w:w="704" w:type="dxa"/>
            <w:shd w:val="clear" w:color="auto" w:fill="D9D9D9" w:themeFill="background1" w:themeFillShade="D9"/>
          </w:tcPr>
          <w:p w14:paraId="02357E3A" w14:textId="77777777" w:rsidR="004A5FA3" w:rsidRDefault="004A5FA3" w:rsidP="00725F82"/>
        </w:tc>
        <w:tc>
          <w:tcPr>
            <w:tcW w:w="8312" w:type="dxa"/>
            <w:gridSpan w:val="3"/>
            <w:shd w:val="clear" w:color="auto" w:fill="D9D9D9" w:themeFill="background1" w:themeFillShade="D9"/>
          </w:tcPr>
          <w:p w14:paraId="593830B0" w14:textId="652CCEDD" w:rsidR="004A5FA3" w:rsidRDefault="004A5FA3" w:rsidP="00725F82">
            <w:r>
              <w:t>MS</w:t>
            </w:r>
          </w:p>
        </w:tc>
      </w:tr>
      <w:tr w:rsidR="004A5FA3" w14:paraId="5207C531" w14:textId="77777777" w:rsidTr="00725F82">
        <w:tc>
          <w:tcPr>
            <w:tcW w:w="704" w:type="dxa"/>
            <w:vMerge w:val="restart"/>
            <w:shd w:val="clear" w:color="auto" w:fill="D9D9D9" w:themeFill="background1" w:themeFillShade="D9"/>
          </w:tcPr>
          <w:p w14:paraId="275952D6" w14:textId="77777777" w:rsidR="004A5FA3" w:rsidRDefault="004A5FA3" w:rsidP="00725F82"/>
        </w:tc>
        <w:tc>
          <w:tcPr>
            <w:tcW w:w="3803" w:type="dxa"/>
            <w:vMerge w:val="restart"/>
            <w:shd w:val="clear" w:color="auto" w:fill="D9D9D9" w:themeFill="background1" w:themeFillShade="D9"/>
          </w:tcPr>
          <w:p w14:paraId="28CB9943" w14:textId="77777777" w:rsidR="004A5FA3" w:rsidRDefault="004A5FA3" w:rsidP="00725F82">
            <w:r>
              <w:t>DR/DP/DQ Molecule Haplotype</w:t>
            </w:r>
          </w:p>
        </w:tc>
        <w:tc>
          <w:tcPr>
            <w:tcW w:w="4509" w:type="dxa"/>
            <w:gridSpan w:val="2"/>
            <w:shd w:val="clear" w:color="auto" w:fill="D9D9D9" w:themeFill="background1" w:themeFillShade="D9"/>
          </w:tcPr>
          <w:p w14:paraId="25C357B0" w14:textId="77777777" w:rsidR="004A5FA3" w:rsidRDefault="004A5FA3" w:rsidP="00725F82">
            <w:r>
              <w:t>Number of 5AA matches against viral dataset</w:t>
            </w:r>
          </w:p>
        </w:tc>
      </w:tr>
      <w:tr w:rsidR="004A5FA3" w14:paraId="6209B8B2" w14:textId="77777777" w:rsidTr="00725F82">
        <w:tc>
          <w:tcPr>
            <w:tcW w:w="704" w:type="dxa"/>
            <w:vMerge/>
            <w:shd w:val="clear" w:color="auto" w:fill="D9D9D9" w:themeFill="background1" w:themeFillShade="D9"/>
          </w:tcPr>
          <w:p w14:paraId="0F24C2DE" w14:textId="77777777" w:rsidR="004A5FA3" w:rsidRDefault="004A5FA3" w:rsidP="00725F82"/>
        </w:tc>
        <w:tc>
          <w:tcPr>
            <w:tcW w:w="3803" w:type="dxa"/>
            <w:vMerge/>
            <w:shd w:val="clear" w:color="auto" w:fill="D9D9D9" w:themeFill="background1" w:themeFillShade="D9"/>
          </w:tcPr>
          <w:p w14:paraId="10547EDD" w14:textId="77777777" w:rsidR="004A5FA3" w:rsidRDefault="004A5FA3" w:rsidP="00725F82"/>
        </w:tc>
        <w:tc>
          <w:tcPr>
            <w:tcW w:w="2254" w:type="dxa"/>
            <w:shd w:val="clear" w:color="auto" w:fill="D9D9D9" w:themeFill="background1" w:themeFillShade="D9"/>
          </w:tcPr>
          <w:p w14:paraId="1493B150" w14:textId="77777777" w:rsidR="004A5FA3" w:rsidRDefault="004A5FA3" w:rsidP="00725F82">
            <w:r>
              <w:t>Targeted Proteins</w:t>
            </w:r>
          </w:p>
        </w:tc>
        <w:tc>
          <w:tcPr>
            <w:tcW w:w="2255" w:type="dxa"/>
            <w:shd w:val="clear" w:color="auto" w:fill="D9D9D9" w:themeFill="background1" w:themeFillShade="D9"/>
          </w:tcPr>
          <w:p w14:paraId="0106196A" w14:textId="77777777" w:rsidR="004A5FA3" w:rsidRDefault="004A5FA3" w:rsidP="00725F82">
            <w:r>
              <w:t>Control Proteins</w:t>
            </w:r>
          </w:p>
        </w:tc>
      </w:tr>
      <w:tr w:rsidR="00DD5EFA" w14:paraId="26DE1335" w14:textId="77777777" w:rsidTr="00725F82">
        <w:tc>
          <w:tcPr>
            <w:tcW w:w="704" w:type="dxa"/>
            <w:vMerge w:val="restart"/>
            <w:textDirection w:val="btLr"/>
          </w:tcPr>
          <w:p w14:paraId="29FF5F8E" w14:textId="77777777" w:rsidR="00DD5EFA" w:rsidRDefault="00DD5EFA" w:rsidP="00DD5EFA">
            <w:pPr>
              <w:ind w:left="113" w:right="113"/>
            </w:pPr>
            <w:r>
              <w:t>Risk</w:t>
            </w:r>
          </w:p>
        </w:tc>
        <w:tc>
          <w:tcPr>
            <w:tcW w:w="3803" w:type="dxa"/>
          </w:tcPr>
          <w:p w14:paraId="45019630" w14:textId="1FB0564D" w:rsidR="00DD5EFA" w:rsidRDefault="00DD5EFA" w:rsidP="00DD5EFA">
            <w:r w:rsidRPr="000D66B5">
              <w:t xml:space="preserve">"DRB1_15_01", </w:t>
            </w:r>
          </w:p>
        </w:tc>
        <w:tc>
          <w:tcPr>
            <w:tcW w:w="2254" w:type="dxa"/>
          </w:tcPr>
          <w:p w14:paraId="68EB93D7" w14:textId="77777777" w:rsidR="00DD5EFA" w:rsidRDefault="00DD5EFA" w:rsidP="00DD5EFA"/>
        </w:tc>
        <w:tc>
          <w:tcPr>
            <w:tcW w:w="2255" w:type="dxa"/>
          </w:tcPr>
          <w:p w14:paraId="3093883B" w14:textId="77777777" w:rsidR="00DD5EFA" w:rsidRDefault="00DD5EFA" w:rsidP="00DD5EFA"/>
        </w:tc>
      </w:tr>
      <w:tr w:rsidR="00DD5EFA" w14:paraId="7EC19762" w14:textId="77777777" w:rsidTr="00725F82">
        <w:tc>
          <w:tcPr>
            <w:tcW w:w="704" w:type="dxa"/>
            <w:vMerge/>
            <w:textDirection w:val="btLr"/>
          </w:tcPr>
          <w:p w14:paraId="30938E94" w14:textId="77777777" w:rsidR="00DD5EFA" w:rsidRDefault="00DD5EFA" w:rsidP="00DD5EFA">
            <w:pPr>
              <w:ind w:left="113" w:right="113"/>
            </w:pPr>
          </w:p>
        </w:tc>
        <w:tc>
          <w:tcPr>
            <w:tcW w:w="3803" w:type="dxa"/>
          </w:tcPr>
          <w:p w14:paraId="27D191B1" w14:textId="4AEB8B1C" w:rsidR="00DD5EFA" w:rsidRDefault="00DD5EFA" w:rsidP="00DD5EFA">
            <w:r w:rsidRPr="000D66B5">
              <w:t>"DRB1_03_01",</w:t>
            </w:r>
          </w:p>
        </w:tc>
        <w:tc>
          <w:tcPr>
            <w:tcW w:w="2254" w:type="dxa"/>
          </w:tcPr>
          <w:p w14:paraId="2DCF098B" w14:textId="0308D146" w:rsidR="00DD5EFA" w:rsidRDefault="00DD5EFA" w:rsidP="00DD5EFA"/>
        </w:tc>
        <w:tc>
          <w:tcPr>
            <w:tcW w:w="2255" w:type="dxa"/>
          </w:tcPr>
          <w:p w14:paraId="7AADF5F4" w14:textId="77777777" w:rsidR="00DD5EFA" w:rsidRDefault="00DD5EFA" w:rsidP="00DD5EFA"/>
        </w:tc>
      </w:tr>
      <w:tr w:rsidR="00DD5EFA" w14:paraId="4DF7189F" w14:textId="77777777" w:rsidTr="00725F82">
        <w:tc>
          <w:tcPr>
            <w:tcW w:w="704" w:type="dxa"/>
            <w:vMerge/>
            <w:textDirection w:val="btLr"/>
          </w:tcPr>
          <w:p w14:paraId="63D993A5" w14:textId="77777777" w:rsidR="00DD5EFA" w:rsidRDefault="00DD5EFA" w:rsidP="00DD5EFA">
            <w:pPr>
              <w:ind w:left="113" w:right="113"/>
            </w:pPr>
          </w:p>
        </w:tc>
        <w:tc>
          <w:tcPr>
            <w:tcW w:w="3803" w:type="dxa"/>
          </w:tcPr>
          <w:p w14:paraId="2D020353" w14:textId="4944816B" w:rsidR="00DD5EFA" w:rsidRDefault="00DD5EFA" w:rsidP="00DD5EFA">
            <w:r w:rsidRPr="000D66B5">
              <w:t>"DRB1_13_03",</w:t>
            </w:r>
          </w:p>
        </w:tc>
        <w:tc>
          <w:tcPr>
            <w:tcW w:w="2254" w:type="dxa"/>
          </w:tcPr>
          <w:p w14:paraId="41464D96" w14:textId="77777777" w:rsidR="00DD5EFA" w:rsidRDefault="00DD5EFA" w:rsidP="00DD5EFA"/>
        </w:tc>
        <w:tc>
          <w:tcPr>
            <w:tcW w:w="2255" w:type="dxa"/>
          </w:tcPr>
          <w:p w14:paraId="411B4371" w14:textId="04512DDE" w:rsidR="00DD5EFA" w:rsidRDefault="00DD5EFA" w:rsidP="00DD5EFA"/>
        </w:tc>
      </w:tr>
      <w:tr w:rsidR="00DD5EFA" w14:paraId="28CB7108" w14:textId="77777777" w:rsidTr="00725F82">
        <w:tc>
          <w:tcPr>
            <w:tcW w:w="704" w:type="dxa"/>
            <w:vMerge/>
            <w:textDirection w:val="btLr"/>
          </w:tcPr>
          <w:p w14:paraId="1B786C0C" w14:textId="77777777" w:rsidR="00DD5EFA" w:rsidRDefault="00DD5EFA" w:rsidP="00DD5EFA">
            <w:pPr>
              <w:ind w:left="113" w:right="113"/>
            </w:pPr>
          </w:p>
        </w:tc>
        <w:tc>
          <w:tcPr>
            <w:tcW w:w="3803" w:type="dxa"/>
          </w:tcPr>
          <w:p w14:paraId="75D5CB7E" w14:textId="6425D450" w:rsidR="00DD5EFA" w:rsidRDefault="00DD5EFA" w:rsidP="00DD5EFA">
            <w:r w:rsidRPr="000D66B5">
              <w:t>"DRB1_04_01",</w:t>
            </w:r>
          </w:p>
        </w:tc>
        <w:tc>
          <w:tcPr>
            <w:tcW w:w="2254" w:type="dxa"/>
          </w:tcPr>
          <w:p w14:paraId="25EC9763" w14:textId="39596369" w:rsidR="00DD5EFA" w:rsidRDefault="00DD5EFA" w:rsidP="00DD5EFA"/>
        </w:tc>
        <w:tc>
          <w:tcPr>
            <w:tcW w:w="2255" w:type="dxa"/>
          </w:tcPr>
          <w:p w14:paraId="00787920" w14:textId="7315E014" w:rsidR="00DD5EFA" w:rsidRDefault="00870D11" w:rsidP="00DD5EFA">
            <w:r>
              <w:t>EDWSD (</w:t>
            </w:r>
            <w:r w:rsidRPr="00870D11">
              <w:t>P08617</w:t>
            </w:r>
            <w:r>
              <w:t xml:space="preserve"> Hep A genome polyprotein/ </w:t>
            </w:r>
            <w:r w:rsidRPr="00870D11">
              <w:t>Q6ZP01</w:t>
            </w:r>
            <w:r>
              <w:t xml:space="preserve"> RMB44)</w:t>
            </w:r>
          </w:p>
        </w:tc>
      </w:tr>
      <w:tr w:rsidR="00DD5EFA" w14:paraId="6AC96E2E" w14:textId="77777777" w:rsidTr="00725F82">
        <w:tc>
          <w:tcPr>
            <w:tcW w:w="704" w:type="dxa"/>
            <w:vMerge/>
            <w:textDirection w:val="btLr"/>
          </w:tcPr>
          <w:p w14:paraId="72A8E23C" w14:textId="77777777" w:rsidR="00DD5EFA" w:rsidRDefault="00DD5EFA" w:rsidP="00DD5EFA">
            <w:pPr>
              <w:ind w:left="113" w:right="113"/>
            </w:pPr>
          </w:p>
        </w:tc>
        <w:tc>
          <w:tcPr>
            <w:tcW w:w="3803" w:type="dxa"/>
          </w:tcPr>
          <w:p w14:paraId="53FBFCF3" w14:textId="1A4EF73A" w:rsidR="00DD5EFA" w:rsidRDefault="00DD5EFA" w:rsidP="00DD5EFA">
            <w:r w:rsidRPr="000D66B5">
              <w:t>"DRB1_04_09",</w:t>
            </w:r>
          </w:p>
        </w:tc>
        <w:tc>
          <w:tcPr>
            <w:tcW w:w="2254" w:type="dxa"/>
          </w:tcPr>
          <w:p w14:paraId="0523D883" w14:textId="77777777" w:rsidR="00DD5EFA" w:rsidRDefault="00DD5EFA" w:rsidP="00DD5EFA"/>
        </w:tc>
        <w:tc>
          <w:tcPr>
            <w:tcW w:w="2255" w:type="dxa"/>
          </w:tcPr>
          <w:p w14:paraId="4B35D216" w14:textId="77777777" w:rsidR="00DD5EFA" w:rsidRDefault="00DD5EFA" w:rsidP="00DD5EFA"/>
        </w:tc>
      </w:tr>
      <w:tr w:rsidR="00DD5EFA" w14:paraId="72E3D538" w14:textId="77777777" w:rsidTr="00725F82">
        <w:tc>
          <w:tcPr>
            <w:tcW w:w="704" w:type="dxa"/>
            <w:vMerge/>
            <w:textDirection w:val="btLr"/>
          </w:tcPr>
          <w:p w14:paraId="06F52942" w14:textId="77777777" w:rsidR="00DD5EFA" w:rsidRDefault="00DD5EFA" w:rsidP="00DD5EFA">
            <w:pPr>
              <w:ind w:left="113" w:right="113"/>
            </w:pPr>
          </w:p>
        </w:tc>
        <w:tc>
          <w:tcPr>
            <w:tcW w:w="3803" w:type="dxa"/>
          </w:tcPr>
          <w:p w14:paraId="063C80A7" w14:textId="626F30B4" w:rsidR="00DD5EFA" w:rsidRDefault="00DD5EFA" w:rsidP="00DD5EFA">
            <w:r w:rsidRPr="000D66B5">
              <w:t>"DRB1_14_01",</w:t>
            </w:r>
          </w:p>
        </w:tc>
        <w:tc>
          <w:tcPr>
            <w:tcW w:w="2254" w:type="dxa"/>
          </w:tcPr>
          <w:p w14:paraId="5A203892" w14:textId="6F32D2DD" w:rsidR="00DD5EFA" w:rsidRDefault="00DD5EFA" w:rsidP="00DD5EFA">
            <w:r>
              <w:t>TKPSY (</w:t>
            </w:r>
            <w:r w:rsidRPr="00DD5EFA">
              <w:t>P03520</w:t>
            </w:r>
            <w:r>
              <w:t xml:space="preserve"> P </w:t>
            </w:r>
            <w:r w:rsidRPr="00DD5EFA">
              <w:t xml:space="preserve">Vesicular stomatitis Indiana virus </w:t>
            </w:r>
            <w:r>
              <w:t>/</w:t>
            </w:r>
            <w:r w:rsidRPr="00DD5EFA">
              <w:t>Q14CZ8</w:t>
            </w:r>
            <w:r>
              <w:t xml:space="preserve"> </w:t>
            </w:r>
            <w:proofErr w:type="spellStart"/>
            <w:r>
              <w:t>GlialCAM</w:t>
            </w:r>
            <w:proofErr w:type="spellEnd"/>
            <w:r>
              <w:t>)</w:t>
            </w:r>
          </w:p>
        </w:tc>
        <w:tc>
          <w:tcPr>
            <w:tcW w:w="2255" w:type="dxa"/>
          </w:tcPr>
          <w:p w14:paraId="212711D5" w14:textId="77777777" w:rsidR="00DD5EFA" w:rsidRDefault="00DD5EFA" w:rsidP="00DD5EFA"/>
        </w:tc>
      </w:tr>
      <w:tr w:rsidR="00DD5EFA" w14:paraId="5F812F35" w14:textId="77777777" w:rsidTr="00725F82">
        <w:tc>
          <w:tcPr>
            <w:tcW w:w="704" w:type="dxa"/>
            <w:vMerge w:val="restart"/>
            <w:textDirection w:val="btLr"/>
          </w:tcPr>
          <w:p w14:paraId="5B284523" w14:textId="775BA7B6" w:rsidR="00DD5EFA" w:rsidRDefault="00DD5EFA" w:rsidP="00DD5EFA">
            <w:pPr>
              <w:ind w:left="113" w:right="113"/>
            </w:pPr>
            <w:r>
              <w:t>Protective</w:t>
            </w:r>
          </w:p>
        </w:tc>
        <w:tc>
          <w:tcPr>
            <w:tcW w:w="3803" w:type="dxa"/>
          </w:tcPr>
          <w:p w14:paraId="32F1250F" w14:textId="62F25A7F" w:rsidR="00DD5EFA" w:rsidRDefault="00DD5EFA" w:rsidP="00DD5EFA">
            <w:r w:rsidRPr="006244AC">
              <w:t>"DRB1_01_01",</w:t>
            </w:r>
          </w:p>
        </w:tc>
        <w:tc>
          <w:tcPr>
            <w:tcW w:w="2254" w:type="dxa"/>
          </w:tcPr>
          <w:p w14:paraId="68278604" w14:textId="77777777" w:rsidR="00DD5EFA" w:rsidRDefault="00DD5EFA" w:rsidP="00DD5EFA"/>
        </w:tc>
        <w:tc>
          <w:tcPr>
            <w:tcW w:w="2255" w:type="dxa"/>
          </w:tcPr>
          <w:p w14:paraId="4F4D31ED" w14:textId="77777777" w:rsidR="00DD5EFA" w:rsidRDefault="00DD5EFA" w:rsidP="00DD5EFA"/>
        </w:tc>
      </w:tr>
      <w:tr w:rsidR="00DD5EFA" w14:paraId="56DBC824" w14:textId="77777777" w:rsidTr="00725F82">
        <w:tc>
          <w:tcPr>
            <w:tcW w:w="704" w:type="dxa"/>
            <w:vMerge/>
            <w:textDirection w:val="btLr"/>
          </w:tcPr>
          <w:p w14:paraId="0B0F3E14" w14:textId="482966DA" w:rsidR="00DD5EFA" w:rsidRDefault="00DD5EFA" w:rsidP="00DD5EFA">
            <w:pPr>
              <w:ind w:left="113" w:right="113"/>
            </w:pPr>
          </w:p>
        </w:tc>
        <w:tc>
          <w:tcPr>
            <w:tcW w:w="3803" w:type="dxa"/>
          </w:tcPr>
          <w:p w14:paraId="62CD3EF5" w14:textId="06869EB2" w:rsidR="00DD5EFA" w:rsidRDefault="00DD5EFA" w:rsidP="00DD5EFA">
            <w:r w:rsidRPr="006244AC">
              <w:t>"DRB1_11_01",</w:t>
            </w:r>
          </w:p>
        </w:tc>
        <w:tc>
          <w:tcPr>
            <w:tcW w:w="2254" w:type="dxa"/>
          </w:tcPr>
          <w:p w14:paraId="76F537F5" w14:textId="77777777" w:rsidR="00DD5EFA" w:rsidRDefault="00DD5EFA" w:rsidP="00DD5EFA"/>
        </w:tc>
        <w:tc>
          <w:tcPr>
            <w:tcW w:w="2255" w:type="dxa"/>
          </w:tcPr>
          <w:p w14:paraId="3870B4FB" w14:textId="77777777" w:rsidR="00DD5EFA" w:rsidRDefault="00DD5EFA" w:rsidP="00DD5EFA"/>
        </w:tc>
      </w:tr>
      <w:tr w:rsidR="00DD5EFA" w14:paraId="3086E913" w14:textId="77777777" w:rsidTr="00725F82">
        <w:tc>
          <w:tcPr>
            <w:tcW w:w="704" w:type="dxa"/>
            <w:vMerge/>
            <w:textDirection w:val="btLr"/>
          </w:tcPr>
          <w:p w14:paraId="1FBC006C" w14:textId="46E8E59B" w:rsidR="00DD5EFA" w:rsidRDefault="00DD5EFA" w:rsidP="00DD5EFA">
            <w:pPr>
              <w:ind w:left="113" w:right="113"/>
            </w:pPr>
          </w:p>
        </w:tc>
        <w:tc>
          <w:tcPr>
            <w:tcW w:w="3803" w:type="dxa"/>
          </w:tcPr>
          <w:p w14:paraId="0A68FD47" w14:textId="7582BCFF" w:rsidR="00DD5EFA" w:rsidRDefault="00DD5EFA" w:rsidP="00DD5EFA">
            <w:r w:rsidRPr="006244AC">
              <w:t>"DRB1_11_02",</w:t>
            </w:r>
          </w:p>
        </w:tc>
        <w:tc>
          <w:tcPr>
            <w:tcW w:w="2254" w:type="dxa"/>
          </w:tcPr>
          <w:p w14:paraId="78C933F1" w14:textId="77777777" w:rsidR="00DD5EFA" w:rsidRDefault="00DD5EFA" w:rsidP="00DD5EFA"/>
        </w:tc>
        <w:tc>
          <w:tcPr>
            <w:tcW w:w="2255" w:type="dxa"/>
          </w:tcPr>
          <w:p w14:paraId="59DA8E03" w14:textId="77777777" w:rsidR="00DD5EFA" w:rsidRDefault="00DD5EFA" w:rsidP="00DD5EFA"/>
        </w:tc>
      </w:tr>
      <w:tr w:rsidR="00DD5EFA" w14:paraId="356841AB" w14:textId="77777777" w:rsidTr="00725F82">
        <w:tc>
          <w:tcPr>
            <w:tcW w:w="704" w:type="dxa"/>
            <w:vMerge/>
          </w:tcPr>
          <w:p w14:paraId="42A84B87" w14:textId="77777777" w:rsidR="00DD5EFA" w:rsidRDefault="00DD5EFA" w:rsidP="00DD5EFA"/>
        </w:tc>
        <w:tc>
          <w:tcPr>
            <w:tcW w:w="3803" w:type="dxa"/>
          </w:tcPr>
          <w:p w14:paraId="4D665AC6" w14:textId="33997487" w:rsidR="00DD5EFA" w:rsidRDefault="00DD5EFA" w:rsidP="00DD5EFA">
            <w:r w:rsidRPr="006244AC">
              <w:t>"DRB1_11_03",</w:t>
            </w:r>
          </w:p>
        </w:tc>
        <w:tc>
          <w:tcPr>
            <w:tcW w:w="2254" w:type="dxa"/>
          </w:tcPr>
          <w:p w14:paraId="6AB54AE0" w14:textId="77777777" w:rsidR="00DD5EFA" w:rsidRDefault="00DD5EFA" w:rsidP="00DD5EFA"/>
        </w:tc>
        <w:tc>
          <w:tcPr>
            <w:tcW w:w="2255" w:type="dxa"/>
          </w:tcPr>
          <w:p w14:paraId="48065143" w14:textId="0607A621" w:rsidR="00DD5EFA" w:rsidRDefault="00DD5EFA" w:rsidP="00DD5EFA"/>
        </w:tc>
      </w:tr>
      <w:tr w:rsidR="00870D11" w14:paraId="17AD9EBE" w14:textId="77777777" w:rsidTr="00725F82">
        <w:tc>
          <w:tcPr>
            <w:tcW w:w="704" w:type="dxa"/>
            <w:vMerge/>
          </w:tcPr>
          <w:p w14:paraId="7BAC1E26" w14:textId="77777777" w:rsidR="00870D11" w:rsidRDefault="00870D11" w:rsidP="00870D11"/>
        </w:tc>
        <w:tc>
          <w:tcPr>
            <w:tcW w:w="3803" w:type="dxa"/>
          </w:tcPr>
          <w:p w14:paraId="150DA0A0" w14:textId="21183C7B" w:rsidR="00870D11" w:rsidRDefault="00870D11" w:rsidP="00870D11">
            <w:r w:rsidRPr="006244AC">
              <w:t>"DRB1_11_04",</w:t>
            </w:r>
          </w:p>
        </w:tc>
        <w:tc>
          <w:tcPr>
            <w:tcW w:w="2254" w:type="dxa"/>
          </w:tcPr>
          <w:p w14:paraId="46D7E7AD" w14:textId="77777777" w:rsidR="00870D11" w:rsidRDefault="00870D11" w:rsidP="00870D11"/>
        </w:tc>
        <w:tc>
          <w:tcPr>
            <w:tcW w:w="2255" w:type="dxa"/>
          </w:tcPr>
          <w:p w14:paraId="63DFB19C" w14:textId="3B105E40" w:rsidR="00870D11" w:rsidRDefault="00870D11" w:rsidP="00870D11">
            <w:r>
              <w:t>FKNGV (</w:t>
            </w:r>
            <w:r w:rsidRPr="00870D11">
              <w:t>A0A058Z</w:t>
            </w:r>
            <w:r>
              <w:t xml:space="preserve"> – small HSP/ </w:t>
            </w:r>
            <w:r w:rsidRPr="00870D11">
              <w:t>P04217</w:t>
            </w:r>
            <w:r w:rsidR="00C66B25">
              <w:t xml:space="preserve"> A1BG</w:t>
            </w:r>
            <w:r>
              <w:t>)</w:t>
            </w:r>
          </w:p>
        </w:tc>
      </w:tr>
      <w:tr w:rsidR="00870D11" w14:paraId="30AC0C2C" w14:textId="77777777" w:rsidTr="00DD5EFA">
        <w:trPr>
          <w:trHeight w:val="245"/>
        </w:trPr>
        <w:tc>
          <w:tcPr>
            <w:tcW w:w="704" w:type="dxa"/>
            <w:vMerge/>
          </w:tcPr>
          <w:p w14:paraId="7AAF962B" w14:textId="77777777" w:rsidR="00870D11" w:rsidRDefault="00870D11" w:rsidP="00870D11"/>
        </w:tc>
        <w:tc>
          <w:tcPr>
            <w:tcW w:w="3803" w:type="dxa"/>
          </w:tcPr>
          <w:p w14:paraId="3D20E3D6" w14:textId="39D50191" w:rsidR="00870D11" w:rsidRDefault="00870D11" w:rsidP="00870D11">
            <w:r w:rsidRPr="006244AC">
              <w:t>"DRB1_11_05"</w:t>
            </w:r>
          </w:p>
        </w:tc>
        <w:tc>
          <w:tcPr>
            <w:tcW w:w="2254" w:type="dxa"/>
          </w:tcPr>
          <w:p w14:paraId="31D15818" w14:textId="77777777" w:rsidR="00870D11" w:rsidRDefault="00870D11" w:rsidP="00870D11"/>
        </w:tc>
        <w:tc>
          <w:tcPr>
            <w:tcW w:w="2255" w:type="dxa"/>
          </w:tcPr>
          <w:p w14:paraId="472D51E8" w14:textId="77777777" w:rsidR="00870D11" w:rsidRDefault="00870D11" w:rsidP="00870D11"/>
        </w:tc>
      </w:tr>
    </w:tbl>
    <w:p w14:paraId="4C3AAE17" w14:textId="77777777" w:rsidR="004A5FA3" w:rsidRDefault="004A5FA3" w:rsidP="0030353D"/>
    <w:tbl>
      <w:tblPr>
        <w:tblStyle w:val="TableGrid"/>
        <w:tblW w:w="0" w:type="auto"/>
        <w:tblLook w:val="04A0" w:firstRow="1" w:lastRow="0" w:firstColumn="1" w:lastColumn="0" w:noHBand="0" w:noVBand="1"/>
      </w:tblPr>
      <w:tblGrid>
        <w:gridCol w:w="704"/>
        <w:gridCol w:w="3803"/>
        <w:gridCol w:w="2254"/>
        <w:gridCol w:w="2255"/>
      </w:tblGrid>
      <w:tr w:rsidR="00AD31A6" w14:paraId="5B97AEB6" w14:textId="77777777" w:rsidTr="00725F82">
        <w:tc>
          <w:tcPr>
            <w:tcW w:w="704" w:type="dxa"/>
            <w:shd w:val="clear" w:color="auto" w:fill="D9D9D9" w:themeFill="background1" w:themeFillShade="D9"/>
          </w:tcPr>
          <w:p w14:paraId="155F7542" w14:textId="77777777" w:rsidR="00AD31A6" w:rsidRDefault="00AD31A6" w:rsidP="00725F82"/>
        </w:tc>
        <w:tc>
          <w:tcPr>
            <w:tcW w:w="8312" w:type="dxa"/>
            <w:gridSpan w:val="3"/>
            <w:shd w:val="clear" w:color="auto" w:fill="D9D9D9" w:themeFill="background1" w:themeFillShade="D9"/>
          </w:tcPr>
          <w:p w14:paraId="0A222951" w14:textId="644D85B2" w:rsidR="00AD31A6" w:rsidRDefault="00AD31A6" w:rsidP="00725F82">
            <w:r>
              <w:t>NT1</w:t>
            </w:r>
          </w:p>
        </w:tc>
      </w:tr>
      <w:tr w:rsidR="00AD31A6" w14:paraId="7D9A9657" w14:textId="77777777" w:rsidTr="00725F82">
        <w:tc>
          <w:tcPr>
            <w:tcW w:w="704" w:type="dxa"/>
            <w:vMerge w:val="restart"/>
            <w:shd w:val="clear" w:color="auto" w:fill="D9D9D9" w:themeFill="background1" w:themeFillShade="D9"/>
          </w:tcPr>
          <w:p w14:paraId="65167559" w14:textId="77777777" w:rsidR="00AD31A6" w:rsidRDefault="00AD31A6" w:rsidP="00725F82"/>
        </w:tc>
        <w:tc>
          <w:tcPr>
            <w:tcW w:w="3803" w:type="dxa"/>
            <w:vMerge w:val="restart"/>
            <w:shd w:val="clear" w:color="auto" w:fill="D9D9D9" w:themeFill="background1" w:themeFillShade="D9"/>
          </w:tcPr>
          <w:p w14:paraId="29A0D37D" w14:textId="77777777" w:rsidR="00AD31A6" w:rsidRDefault="00AD31A6" w:rsidP="00725F82">
            <w:r>
              <w:t>DR/DP/DQ Molecule Haplotype</w:t>
            </w:r>
          </w:p>
        </w:tc>
        <w:tc>
          <w:tcPr>
            <w:tcW w:w="4509" w:type="dxa"/>
            <w:gridSpan w:val="2"/>
            <w:shd w:val="clear" w:color="auto" w:fill="D9D9D9" w:themeFill="background1" w:themeFillShade="D9"/>
          </w:tcPr>
          <w:p w14:paraId="19DE3B6D" w14:textId="77777777" w:rsidR="00AD31A6" w:rsidRDefault="00AD31A6" w:rsidP="00725F82">
            <w:r>
              <w:t>Number of 5AA matches against viral dataset</w:t>
            </w:r>
          </w:p>
        </w:tc>
      </w:tr>
      <w:tr w:rsidR="00AD31A6" w14:paraId="4D7508F1" w14:textId="77777777" w:rsidTr="00725F82">
        <w:tc>
          <w:tcPr>
            <w:tcW w:w="704" w:type="dxa"/>
            <w:vMerge/>
            <w:shd w:val="clear" w:color="auto" w:fill="D9D9D9" w:themeFill="background1" w:themeFillShade="D9"/>
          </w:tcPr>
          <w:p w14:paraId="2E868E54" w14:textId="77777777" w:rsidR="00AD31A6" w:rsidRDefault="00AD31A6" w:rsidP="00725F82"/>
        </w:tc>
        <w:tc>
          <w:tcPr>
            <w:tcW w:w="3803" w:type="dxa"/>
            <w:vMerge/>
            <w:shd w:val="clear" w:color="auto" w:fill="D9D9D9" w:themeFill="background1" w:themeFillShade="D9"/>
          </w:tcPr>
          <w:p w14:paraId="7B0EF6C4" w14:textId="77777777" w:rsidR="00AD31A6" w:rsidRDefault="00AD31A6" w:rsidP="00725F82"/>
        </w:tc>
        <w:tc>
          <w:tcPr>
            <w:tcW w:w="2254" w:type="dxa"/>
            <w:shd w:val="clear" w:color="auto" w:fill="D9D9D9" w:themeFill="background1" w:themeFillShade="D9"/>
          </w:tcPr>
          <w:p w14:paraId="081DBDA2" w14:textId="77777777" w:rsidR="00AD31A6" w:rsidRDefault="00AD31A6" w:rsidP="00725F82">
            <w:r>
              <w:t>Targeted Proteins</w:t>
            </w:r>
          </w:p>
        </w:tc>
        <w:tc>
          <w:tcPr>
            <w:tcW w:w="2255" w:type="dxa"/>
            <w:shd w:val="clear" w:color="auto" w:fill="D9D9D9" w:themeFill="background1" w:themeFillShade="D9"/>
          </w:tcPr>
          <w:p w14:paraId="7800B036" w14:textId="77777777" w:rsidR="00AD31A6" w:rsidRDefault="00AD31A6" w:rsidP="00725F82">
            <w:r>
              <w:t>Control Proteins</w:t>
            </w:r>
          </w:p>
        </w:tc>
      </w:tr>
      <w:tr w:rsidR="00AD31A6" w14:paraId="7270E49F" w14:textId="77777777" w:rsidTr="00725F82">
        <w:tc>
          <w:tcPr>
            <w:tcW w:w="704" w:type="dxa"/>
            <w:textDirection w:val="btLr"/>
          </w:tcPr>
          <w:p w14:paraId="1DE4F32C" w14:textId="77777777" w:rsidR="00AD31A6" w:rsidRDefault="00AD31A6" w:rsidP="00725F82">
            <w:pPr>
              <w:ind w:left="113" w:right="113"/>
            </w:pPr>
            <w:r>
              <w:t>Risk</w:t>
            </w:r>
          </w:p>
        </w:tc>
        <w:tc>
          <w:tcPr>
            <w:tcW w:w="3803" w:type="dxa"/>
          </w:tcPr>
          <w:p w14:paraId="7351AEDB" w14:textId="1358F090" w:rsidR="00AD31A6" w:rsidRDefault="006D1A4E" w:rsidP="00725F82">
            <w:r w:rsidRPr="006D1A4E">
              <w:t>"DQA1_01_01__DQB1_06_02"</w:t>
            </w:r>
          </w:p>
        </w:tc>
        <w:tc>
          <w:tcPr>
            <w:tcW w:w="2254" w:type="dxa"/>
          </w:tcPr>
          <w:p w14:paraId="1FADF987" w14:textId="77777777" w:rsidR="00AD31A6" w:rsidRDefault="00AD31A6" w:rsidP="00725F82"/>
        </w:tc>
        <w:tc>
          <w:tcPr>
            <w:tcW w:w="2255" w:type="dxa"/>
          </w:tcPr>
          <w:p w14:paraId="704A6E28" w14:textId="3A6D4369" w:rsidR="00AD31A6" w:rsidRDefault="006D1A4E" w:rsidP="00725F82">
            <w:r>
              <w:t>EEEEE (</w:t>
            </w:r>
            <w:r w:rsidRPr="006D1A4E">
              <w:t>P0C6U8</w:t>
            </w:r>
            <w:r>
              <w:t xml:space="preserve"> SARS-</w:t>
            </w:r>
            <w:proofErr w:type="spellStart"/>
            <w:r>
              <w:t>CoV</w:t>
            </w:r>
            <w:proofErr w:type="spellEnd"/>
            <w:r>
              <w:t xml:space="preserve"> replicase /</w:t>
            </w:r>
            <w:r w:rsidRPr="006D1A4E">
              <w:t>P13727</w:t>
            </w:r>
            <w:r>
              <w:t>)</w:t>
            </w:r>
          </w:p>
        </w:tc>
      </w:tr>
      <w:tr w:rsidR="00AD31A6" w14:paraId="6F78CEF5" w14:textId="77777777" w:rsidTr="00725F82">
        <w:tc>
          <w:tcPr>
            <w:tcW w:w="704" w:type="dxa"/>
            <w:textDirection w:val="btLr"/>
          </w:tcPr>
          <w:p w14:paraId="1BBBDAA7" w14:textId="77777777" w:rsidR="00AD31A6" w:rsidRDefault="00AD31A6" w:rsidP="00725F82">
            <w:pPr>
              <w:ind w:left="113" w:right="113"/>
            </w:pPr>
            <w:r>
              <w:t>Protective</w:t>
            </w:r>
          </w:p>
        </w:tc>
        <w:tc>
          <w:tcPr>
            <w:tcW w:w="3803" w:type="dxa"/>
          </w:tcPr>
          <w:p w14:paraId="10BFFD61" w14:textId="24BC0966" w:rsidR="00AD31A6" w:rsidRDefault="006D1A4E" w:rsidP="00725F82">
            <w:r w:rsidRPr="006D1A4E">
              <w:t>DQA1_01_01__DQB1_05_01</w:t>
            </w:r>
          </w:p>
        </w:tc>
        <w:tc>
          <w:tcPr>
            <w:tcW w:w="2254" w:type="dxa"/>
          </w:tcPr>
          <w:p w14:paraId="30683B5F" w14:textId="77777777" w:rsidR="00AD31A6" w:rsidRDefault="00AD31A6" w:rsidP="00725F82"/>
        </w:tc>
        <w:tc>
          <w:tcPr>
            <w:tcW w:w="2255" w:type="dxa"/>
          </w:tcPr>
          <w:p w14:paraId="29BA69C7" w14:textId="77777777" w:rsidR="00AD31A6" w:rsidRDefault="00AD31A6" w:rsidP="00725F82"/>
        </w:tc>
      </w:tr>
    </w:tbl>
    <w:p w14:paraId="381B963D" w14:textId="77777777" w:rsidR="00AD31A6" w:rsidRDefault="00AD31A6" w:rsidP="0030353D"/>
    <w:p w14:paraId="5E08B22C" w14:textId="74E96DA7" w:rsidR="002827B9" w:rsidRDefault="006A3F55" w:rsidP="0030353D">
      <w:r>
        <w:br w:type="page"/>
      </w:r>
    </w:p>
    <w:p w14:paraId="1FE397C6" w14:textId="77777777" w:rsidR="00B105FC" w:rsidRPr="00B105FC" w:rsidRDefault="006A3F55" w:rsidP="00B105FC">
      <w:pPr>
        <w:pStyle w:val="Bibliography"/>
        <w:rPr>
          <w:rFonts w:ascii="Calibri" w:hAnsi="Calibri" w:cs="Calibri"/>
        </w:rPr>
      </w:pPr>
      <w:r>
        <w:lastRenderedPageBreak/>
        <w:fldChar w:fldCharType="begin"/>
      </w:r>
      <w:r>
        <w:instrText xml:space="preserve"> ADDIN ZOTERO_BIBL {"uncited":[],"omitted":[],"custom":[]} CSL_BIBLIOGRAPHY </w:instrText>
      </w:r>
      <w:r>
        <w:fldChar w:fldCharType="separate"/>
      </w:r>
      <w:r w:rsidR="00B105FC" w:rsidRPr="00B105FC">
        <w:rPr>
          <w:rFonts w:ascii="Calibri" w:hAnsi="Calibri" w:cs="Calibri"/>
        </w:rPr>
        <w:t>1.</w:t>
      </w:r>
      <w:r w:rsidR="00B105FC" w:rsidRPr="00B105FC">
        <w:rPr>
          <w:rFonts w:ascii="Calibri" w:hAnsi="Calibri" w:cs="Calibri"/>
        </w:rPr>
        <w:tab/>
        <w:t xml:space="preserve">Gomez-Perosanz, M., Ras-Carmona, A., Lafuente, E. M. &amp; Reche, P. A. Identification of CD8+ T cell epitopes through proteasome cleavage site predictions. </w:t>
      </w:r>
      <w:r w:rsidR="00B105FC" w:rsidRPr="00B105FC">
        <w:rPr>
          <w:rFonts w:ascii="Calibri" w:hAnsi="Calibri" w:cs="Calibri"/>
          <w:i/>
          <w:iCs/>
        </w:rPr>
        <w:t>BMC Bioinformatics</w:t>
      </w:r>
      <w:r w:rsidR="00B105FC" w:rsidRPr="00B105FC">
        <w:rPr>
          <w:rFonts w:ascii="Calibri" w:hAnsi="Calibri" w:cs="Calibri"/>
        </w:rPr>
        <w:t xml:space="preserve"> </w:t>
      </w:r>
      <w:r w:rsidR="00B105FC" w:rsidRPr="00B105FC">
        <w:rPr>
          <w:rFonts w:ascii="Calibri" w:hAnsi="Calibri" w:cs="Calibri"/>
          <w:b/>
          <w:bCs/>
        </w:rPr>
        <w:t>21</w:t>
      </w:r>
      <w:r w:rsidR="00B105FC" w:rsidRPr="00B105FC">
        <w:rPr>
          <w:rFonts w:ascii="Calibri" w:hAnsi="Calibri" w:cs="Calibri"/>
        </w:rPr>
        <w:t>, 484 (2020).</w:t>
      </w:r>
    </w:p>
    <w:p w14:paraId="79424A96" w14:textId="77777777" w:rsidR="00B105FC" w:rsidRPr="00B105FC" w:rsidRDefault="00B105FC" w:rsidP="00B105FC">
      <w:pPr>
        <w:pStyle w:val="Bibliography"/>
        <w:rPr>
          <w:rFonts w:ascii="Calibri" w:hAnsi="Calibri" w:cs="Calibri"/>
        </w:rPr>
      </w:pPr>
      <w:r w:rsidRPr="00B105FC">
        <w:rPr>
          <w:rFonts w:ascii="Calibri" w:hAnsi="Calibri" w:cs="Calibri"/>
        </w:rPr>
        <w:t>2.</w:t>
      </w:r>
      <w:r w:rsidRPr="00B105FC">
        <w:rPr>
          <w:rFonts w:ascii="Calibri" w:hAnsi="Calibri" w:cs="Calibri"/>
        </w:rPr>
        <w:tab/>
        <w:t xml:space="preserve">Jurtz, V. </w:t>
      </w:r>
      <w:r w:rsidRPr="00B105FC">
        <w:rPr>
          <w:rFonts w:ascii="Calibri" w:hAnsi="Calibri" w:cs="Calibri"/>
          <w:i/>
          <w:iCs/>
        </w:rPr>
        <w:t>et al.</w:t>
      </w:r>
      <w:r w:rsidRPr="00B105FC">
        <w:rPr>
          <w:rFonts w:ascii="Calibri" w:hAnsi="Calibri" w:cs="Calibri"/>
        </w:rPr>
        <w:t xml:space="preserve"> NetMHCpan-4.0: Improved Peptide–MHC Class I Interaction Predictions Integrating Eluted Ligand and Peptide Binding Affinity Data. </w:t>
      </w:r>
      <w:r w:rsidRPr="00B105FC">
        <w:rPr>
          <w:rFonts w:ascii="Calibri" w:hAnsi="Calibri" w:cs="Calibri"/>
          <w:i/>
          <w:iCs/>
        </w:rPr>
        <w:t>The Journal of Immunology</w:t>
      </w:r>
      <w:r w:rsidRPr="00B105FC">
        <w:rPr>
          <w:rFonts w:ascii="Calibri" w:hAnsi="Calibri" w:cs="Calibri"/>
        </w:rPr>
        <w:t xml:space="preserve"> </w:t>
      </w:r>
      <w:r w:rsidRPr="00B105FC">
        <w:rPr>
          <w:rFonts w:ascii="Calibri" w:hAnsi="Calibri" w:cs="Calibri"/>
          <w:b/>
          <w:bCs/>
        </w:rPr>
        <w:t>199</w:t>
      </w:r>
      <w:r w:rsidRPr="00B105FC">
        <w:rPr>
          <w:rFonts w:ascii="Calibri" w:hAnsi="Calibri" w:cs="Calibri"/>
        </w:rPr>
        <w:t>, 3360–3368 (2017).</w:t>
      </w:r>
    </w:p>
    <w:p w14:paraId="7F345D84" w14:textId="77777777" w:rsidR="00B105FC" w:rsidRPr="00B105FC" w:rsidRDefault="00B105FC" w:rsidP="00B105FC">
      <w:pPr>
        <w:pStyle w:val="Bibliography"/>
        <w:rPr>
          <w:rFonts w:ascii="Calibri" w:hAnsi="Calibri" w:cs="Calibri"/>
        </w:rPr>
      </w:pPr>
      <w:r w:rsidRPr="00B105FC">
        <w:rPr>
          <w:rFonts w:ascii="Calibri" w:hAnsi="Calibri" w:cs="Calibri"/>
        </w:rPr>
        <w:t>3.</w:t>
      </w:r>
      <w:r w:rsidRPr="00B105FC">
        <w:rPr>
          <w:rFonts w:ascii="Calibri" w:hAnsi="Calibri" w:cs="Calibri"/>
        </w:rPr>
        <w:tab/>
        <w:t xml:space="preserve">Dotta, F. </w:t>
      </w:r>
      <w:r w:rsidRPr="00B105FC">
        <w:rPr>
          <w:rFonts w:ascii="Calibri" w:hAnsi="Calibri" w:cs="Calibri"/>
          <w:i/>
          <w:iCs/>
        </w:rPr>
        <w:t>et al.</w:t>
      </w:r>
      <w:r w:rsidRPr="00B105FC">
        <w:rPr>
          <w:rFonts w:ascii="Calibri" w:hAnsi="Calibri" w:cs="Calibri"/>
        </w:rPr>
        <w:t xml:space="preserve"> Coxsackie B4 virus infection of β cells and natural killer cell insulitis in recent-onset type 1 diabetic patients. </w:t>
      </w:r>
      <w:r w:rsidRPr="00B105FC">
        <w:rPr>
          <w:rFonts w:ascii="Calibri" w:hAnsi="Calibri" w:cs="Calibri"/>
          <w:i/>
          <w:iCs/>
        </w:rPr>
        <w:t>Proceedings of the National Academy of Sciences</w:t>
      </w:r>
      <w:r w:rsidRPr="00B105FC">
        <w:rPr>
          <w:rFonts w:ascii="Calibri" w:hAnsi="Calibri" w:cs="Calibri"/>
        </w:rPr>
        <w:t xml:space="preserve"> </w:t>
      </w:r>
      <w:r w:rsidRPr="00B105FC">
        <w:rPr>
          <w:rFonts w:ascii="Calibri" w:hAnsi="Calibri" w:cs="Calibri"/>
          <w:b/>
          <w:bCs/>
        </w:rPr>
        <w:t>104</w:t>
      </w:r>
      <w:r w:rsidRPr="00B105FC">
        <w:rPr>
          <w:rFonts w:ascii="Calibri" w:hAnsi="Calibri" w:cs="Calibri"/>
        </w:rPr>
        <w:t>, 5115–5120 (2007).</w:t>
      </w:r>
    </w:p>
    <w:p w14:paraId="16F48911" w14:textId="77777777" w:rsidR="00B105FC" w:rsidRPr="00B105FC" w:rsidRDefault="00B105FC" w:rsidP="00B105FC">
      <w:pPr>
        <w:pStyle w:val="Bibliography"/>
        <w:rPr>
          <w:rFonts w:ascii="Calibri" w:hAnsi="Calibri" w:cs="Calibri"/>
        </w:rPr>
      </w:pPr>
      <w:r w:rsidRPr="00B105FC">
        <w:rPr>
          <w:rFonts w:ascii="Calibri" w:hAnsi="Calibri" w:cs="Calibri"/>
        </w:rPr>
        <w:t>4.</w:t>
      </w:r>
      <w:r w:rsidRPr="00B105FC">
        <w:rPr>
          <w:rFonts w:ascii="Calibri" w:hAnsi="Calibri" w:cs="Calibri"/>
        </w:rPr>
        <w:tab/>
        <w:t xml:space="preserve">Hu, X. </w:t>
      </w:r>
      <w:r w:rsidRPr="00B105FC">
        <w:rPr>
          <w:rFonts w:ascii="Calibri" w:hAnsi="Calibri" w:cs="Calibri"/>
          <w:i/>
          <w:iCs/>
        </w:rPr>
        <w:t>et al.</w:t>
      </w:r>
      <w:r w:rsidRPr="00B105FC">
        <w:rPr>
          <w:rFonts w:ascii="Calibri" w:hAnsi="Calibri" w:cs="Calibri"/>
        </w:rPr>
        <w:t xml:space="preserve"> Additive and interaction effects at three amino acid positions in HLA-DQ and HLA-DR molecules drive type 1 diabetes risk. </w:t>
      </w:r>
      <w:r w:rsidRPr="00B105FC">
        <w:rPr>
          <w:rFonts w:ascii="Calibri" w:hAnsi="Calibri" w:cs="Calibri"/>
          <w:i/>
          <w:iCs/>
        </w:rPr>
        <w:t>Nat Genet</w:t>
      </w:r>
      <w:r w:rsidRPr="00B105FC">
        <w:rPr>
          <w:rFonts w:ascii="Calibri" w:hAnsi="Calibri" w:cs="Calibri"/>
        </w:rPr>
        <w:t xml:space="preserve"> </w:t>
      </w:r>
      <w:r w:rsidRPr="00B105FC">
        <w:rPr>
          <w:rFonts w:ascii="Calibri" w:hAnsi="Calibri" w:cs="Calibri"/>
          <w:b/>
          <w:bCs/>
        </w:rPr>
        <w:t>47</w:t>
      </w:r>
      <w:r w:rsidRPr="00B105FC">
        <w:rPr>
          <w:rFonts w:ascii="Calibri" w:hAnsi="Calibri" w:cs="Calibri"/>
        </w:rPr>
        <w:t>, 898–905 (2015).</w:t>
      </w:r>
    </w:p>
    <w:p w14:paraId="3E3B0B3F" w14:textId="77777777" w:rsidR="00B105FC" w:rsidRPr="00B105FC" w:rsidRDefault="00B105FC" w:rsidP="00B105FC">
      <w:pPr>
        <w:pStyle w:val="Bibliography"/>
        <w:rPr>
          <w:rFonts w:ascii="Calibri" w:hAnsi="Calibri" w:cs="Calibri"/>
        </w:rPr>
      </w:pPr>
      <w:r w:rsidRPr="00B105FC">
        <w:rPr>
          <w:rFonts w:ascii="Calibri" w:hAnsi="Calibri" w:cs="Calibri"/>
        </w:rPr>
        <w:t>5.</w:t>
      </w:r>
      <w:r w:rsidRPr="00B105FC">
        <w:rPr>
          <w:rFonts w:ascii="Calibri" w:hAnsi="Calibri" w:cs="Calibri"/>
        </w:rPr>
        <w:tab/>
        <w:t xml:space="preserve">Vreugdenhil, G. R. </w:t>
      </w:r>
      <w:r w:rsidRPr="00B105FC">
        <w:rPr>
          <w:rFonts w:ascii="Calibri" w:hAnsi="Calibri" w:cs="Calibri"/>
          <w:i/>
          <w:iCs/>
        </w:rPr>
        <w:t>et al.</w:t>
      </w:r>
      <w:r w:rsidRPr="00B105FC">
        <w:rPr>
          <w:rFonts w:ascii="Calibri" w:hAnsi="Calibri" w:cs="Calibri"/>
        </w:rPr>
        <w:t xml:space="preserve"> Molecular mimicry in diabetes mellitus: the homologous domain  in coxsackie B virus protein 2C and islet autoantigen GAD65  is highly conserved in the coxsackie B-like enteroviruses and binds to the diabetes associated HLA-DR3 molecule. </w:t>
      </w:r>
      <w:r w:rsidRPr="00B105FC">
        <w:rPr>
          <w:rFonts w:ascii="Calibri" w:hAnsi="Calibri" w:cs="Calibri"/>
          <w:i/>
          <w:iCs/>
        </w:rPr>
        <w:t>Diabetologia</w:t>
      </w:r>
      <w:r w:rsidRPr="00B105FC">
        <w:rPr>
          <w:rFonts w:ascii="Calibri" w:hAnsi="Calibri" w:cs="Calibri"/>
        </w:rPr>
        <w:t xml:space="preserve"> </w:t>
      </w:r>
      <w:r w:rsidRPr="00B105FC">
        <w:rPr>
          <w:rFonts w:ascii="Calibri" w:hAnsi="Calibri" w:cs="Calibri"/>
          <w:b/>
          <w:bCs/>
        </w:rPr>
        <w:t>41</w:t>
      </w:r>
      <w:r w:rsidRPr="00B105FC">
        <w:rPr>
          <w:rFonts w:ascii="Calibri" w:hAnsi="Calibri" w:cs="Calibri"/>
        </w:rPr>
        <w:t>, 40–46 (1998).</w:t>
      </w:r>
    </w:p>
    <w:p w14:paraId="7A2B40F5" w14:textId="77777777" w:rsidR="00B105FC" w:rsidRPr="00B105FC" w:rsidRDefault="00B105FC" w:rsidP="00B105FC">
      <w:pPr>
        <w:pStyle w:val="Bibliography"/>
        <w:rPr>
          <w:rFonts w:ascii="Calibri" w:hAnsi="Calibri" w:cs="Calibri"/>
        </w:rPr>
      </w:pPr>
      <w:r w:rsidRPr="00B105FC">
        <w:rPr>
          <w:rFonts w:ascii="Calibri" w:hAnsi="Calibri" w:cs="Calibri"/>
        </w:rPr>
        <w:t>6.</w:t>
      </w:r>
      <w:r w:rsidRPr="00B105FC">
        <w:rPr>
          <w:rFonts w:ascii="Calibri" w:hAnsi="Calibri" w:cs="Calibri"/>
        </w:rPr>
        <w:tab/>
        <w:t xml:space="preserve">Noble, J. A. &amp; Valdes, A. M. Genetics of the HLA Region in the Prediction of Type 1 Diabetes. </w:t>
      </w:r>
      <w:r w:rsidRPr="00B105FC">
        <w:rPr>
          <w:rFonts w:ascii="Calibri" w:hAnsi="Calibri" w:cs="Calibri"/>
          <w:i/>
          <w:iCs/>
        </w:rPr>
        <w:t>Curr Diab Rep</w:t>
      </w:r>
      <w:r w:rsidRPr="00B105FC">
        <w:rPr>
          <w:rFonts w:ascii="Calibri" w:hAnsi="Calibri" w:cs="Calibri"/>
        </w:rPr>
        <w:t xml:space="preserve"> </w:t>
      </w:r>
      <w:r w:rsidRPr="00B105FC">
        <w:rPr>
          <w:rFonts w:ascii="Calibri" w:hAnsi="Calibri" w:cs="Calibri"/>
          <w:b/>
          <w:bCs/>
        </w:rPr>
        <w:t>11</w:t>
      </w:r>
      <w:r w:rsidRPr="00B105FC">
        <w:rPr>
          <w:rFonts w:ascii="Calibri" w:hAnsi="Calibri" w:cs="Calibri"/>
        </w:rPr>
        <w:t>, 533–542 (2011).</w:t>
      </w:r>
    </w:p>
    <w:p w14:paraId="6867E55F" w14:textId="77777777" w:rsidR="00B105FC" w:rsidRPr="00B105FC" w:rsidRDefault="00B105FC" w:rsidP="00B105FC">
      <w:pPr>
        <w:pStyle w:val="Bibliography"/>
        <w:rPr>
          <w:rFonts w:ascii="Calibri" w:hAnsi="Calibri" w:cs="Calibri"/>
        </w:rPr>
      </w:pPr>
      <w:r w:rsidRPr="00B105FC">
        <w:rPr>
          <w:rFonts w:ascii="Calibri" w:hAnsi="Calibri" w:cs="Calibri"/>
        </w:rPr>
        <w:t>7.</w:t>
      </w:r>
      <w:r w:rsidRPr="00B105FC">
        <w:rPr>
          <w:rFonts w:ascii="Calibri" w:hAnsi="Calibri" w:cs="Calibri"/>
        </w:rPr>
        <w:tab/>
        <w:t xml:space="preserve">Erlich, H. </w:t>
      </w:r>
      <w:r w:rsidRPr="00B105FC">
        <w:rPr>
          <w:rFonts w:ascii="Calibri" w:hAnsi="Calibri" w:cs="Calibri"/>
          <w:i/>
          <w:iCs/>
        </w:rPr>
        <w:t>et al.</w:t>
      </w:r>
      <w:r w:rsidRPr="00B105FC">
        <w:rPr>
          <w:rFonts w:ascii="Calibri" w:hAnsi="Calibri" w:cs="Calibri"/>
        </w:rPr>
        <w:t xml:space="preserve"> HLA DR-DQ Haplotypes and Genotypes and Type 1 Diabetes Risk: Analysis of the Type 1 Diabetes Genetics Consortium Families. </w:t>
      </w:r>
      <w:r w:rsidRPr="00B105FC">
        <w:rPr>
          <w:rFonts w:ascii="Calibri" w:hAnsi="Calibri" w:cs="Calibri"/>
          <w:i/>
          <w:iCs/>
        </w:rPr>
        <w:t>Diabetes</w:t>
      </w:r>
      <w:r w:rsidRPr="00B105FC">
        <w:rPr>
          <w:rFonts w:ascii="Calibri" w:hAnsi="Calibri" w:cs="Calibri"/>
        </w:rPr>
        <w:t xml:space="preserve"> </w:t>
      </w:r>
      <w:r w:rsidRPr="00B105FC">
        <w:rPr>
          <w:rFonts w:ascii="Calibri" w:hAnsi="Calibri" w:cs="Calibri"/>
          <w:b/>
          <w:bCs/>
        </w:rPr>
        <w:t>57</w:t>
      </w:r>
      <w:r w:rsidRPr="00B105FC">
        <w:rPr>
          <w:rFonts w:ascii="Calibri" w:hAnsi="Calibri" w:cs="Calibri"/>
        </w:rPr>
        <w:t>, 1084–1092 (2008).</w:t>
      </w:r>
    </w:p>
    <w:p w14:paraId="74D75CC7" w14:textId="77777777" w:rsidR="00B105FC" w:rsidRPr="00B105FC" w:rsidRDefault="00B105FC" w:rsidP="00B105FC">
      <w:pPr>
        <w:pStyle w:val="Bibliography"/>
        <w:rPr>
          <w:rFonts w:ascii="Calibri" w:hAnsi="Calibri" w:cs="Calibri"/>
        </w:rPr>
      </w:pPr>
      <w:r w:rsidRPr="00B105FC">
        <w:rPr>
          <w:rFonts w:ascii="Calibri" w:hAnsi="Calibri" w:cs="Calibri"/>
        </w:rPr>
        <w:t>8.</w:t>
      </w:r>
      <w:r w:rsidRPr="00B105FC">
        <w:rPr>
          <w:rFonts w:ascii="Calibri" w:hAnsi="Calibri" w:cs="Calibri"/>
        </w:rPr>
        <w:tab/>
        <w:t xml:space="preserve">Kaufman, D. L. </w:t>
      </w:r>
      <w:r w:rsidRPr="00B105FC">
        <w:rPr>
          <w:rFonts w:ascii="Calibri" w:hAnsi="Calibri" w:cs="Calibri"/>
          <w:i/>
          <w:iCs/>
        </w:rPr>
        <w:t>et al.</w:t>
      </w:r>
      <w:r w:rsidRPr="00B105FC">
        <w:rPr>
          <w:rFonts w:ascii="Calibri" w:hAnsi="Calibri" w:cs="Calibri"/>
        </w:rPr>
        <w:t xml:space="preserve"> Autoimmunity to two forms of glutamate decarboxylase in insulin-dependent diabetes mellitus. </w:t>
      </w:r>
      <w:r w:rsidRPr="00B105FC">
        <w:rPr>
          <w:rFonts w:ascii="Calibri" w:hAnsi="Calibri" w:cs="Calibri"/>
          <w:i/>
          <w:iCs/>
        </w:rPr>
        <w:t>J Clin Invest</w:t>
      </w:r>
      <w:r w:rsidRPr="00B105FC">
        <w:rPr>
          <w:rFonts w:ascii="Calibri" w:hAnsi="Calibri" w:cs="Calibri"/>
        </w:rPr>
        <w:t xml:space="preserve"> </w:t>
      </w:r>
      <w:r w:rsidRPr="00B105FC">
        <w:rPr>
          <w:rFonts w:ascii="Calibri" w:hAnsi="Calibri" w:cs="Calibri"/>
          <w:b/>
          <w:bCs/>
        </w:rPr>
        <w:t>89</w:t>
      </w:r>
      <w:r w:rsidRPr="00B105FC">
        <w:rPr>
          <w:rFonts w:ascii="Calibri" w:hAnsi="Calibri" w:cs="Calibri"/>
        </w:rPr>
        <w:t>, 283–292 (1992).</w:t>
      </w:r>
    </w:p>
    <w:p w14:paraId="050F3462" w14:textId="77777777" w:rsidR="00B105FC" w:rsidRPr="00B105FC" w:rsidRDefault="00B105FC" w:rsidP="00B105FC">
      <w:pPr>
        <w:pStyle w:val="Bibliography"/>
        <w:rPr>
          <w:rFonts w:ascii="Calibri" w:hAnsi="Calibri" w:cs="Calibri"/>
        </w:rPr>
      </w:pPr>
      <w:r w:rsidRPr="00B105FC">
        <w:rPr>
          <w:rFonts w:ascii="Calibri" w:hAnsi="Calibri" w:cs="Calibri"/>
        </w:rPr>
        <w:t>9.</w:t>
      </w:r>
      <w:r w:rsidRPr="00B105FC">
        <w:rPr>
          <w:rFonts w:ascii="Calibri" w:hAnsi="Calibri" w:cs="Calibri"/>
        </w:rPr>
        <w:tab/>
        <w:t xml:space="preserve">Härkönen, T., Lankinen, H., Davydova, B., Hovi, T. &amp; Roivainen, M. Enterovirus infection can induce immune responses that cross-react with β-cell autoantigen tyrosine phosphatase IA-2/IAR. </w:t>
      </w:r>
      <w:r w:rsidRPr="00B105FC">
        <w:rPr>
          <w:rFonts w:ascii="Calibri" w:hAnsi="Calibri" w:cs="Calibri"/>
          <w:i/>
          <w:iCs/>
        </w:rPr>
        <w:t>Journal of Medical Virology</w:t>
      </w:r>
      <w:r w:rsidRPr="00B105FC">
        <w:rPr>
          <w:rFonts w:ascii="Calibri" w:hAnsi="Calibri" w:cs="Calibri"/>
        </w:rPr>
        <w:t xml:space="preserve"> </w:t>
      </w:r>
      <w:r w:rsidRPr="00B105FC">
        <w:rPr>
          <w:rFonts w:ascii="Calibri" w:hAnsi="Calibri" w:cs="Calibri"/>
          <w:b/>
          <w:bCs/>
        </w:rPr>
        <w:t>66</w:t>
      </w:r>
      <w:r w:rsidRPr="00B105FC">
        <w:rPr>
          <w:rFonts w:ascii="Calibri" w:hAnsi="Calibri" w:cs="Calibri"/>
        </w:rPr>
        <w:t>, 340–350 (2002).</w:t>
      </w:r>
    </w:p>
    <w:p w14:paraId="33595145" w14:textId="77777777" w:rsidR="00B105FC" w:rsidRPr="00B105FC" w:rsidRDefault="00B105FC" w:rsidP="00B105FC">
      <w:pPr>
        <w:pStyle w:val="Bibliography"/>
        <w:rPr>
          <w:rFonts w:ascii="Calibri" w:hAnsi="Calibri" w:cs="Calibri"/>
        </w:rPr>
      </w:pPr>
      <w:r w:rsidRPr="00B105FC">
        <w:rPr>
          <w:rFonts w:ascii="Calibri" w:hAnsi="Calibri" w:cs="Calibri"/>
        </w:rPr>
        <w:t>10.</w:t>
      </w:r>
      <w:r w:rsidRPr="00B105FC">
        <w:rPr>
          <w:rFonts w:ascii="Calibri" w:hAnsi="Calibri" w:cs="Calibri"/>
        </w:rPr>
        <w:tab/>
        <w:t xml:space="preserve">Honeyman, M. C., Stone, N. L., Falk, B. A., Nepom, G. &amp; Harrison, L. C. Evidence for Molecular Mimicry between Human T Cell Epitopes in Rotavirus and Pancreatic Islet Autoantigens. </w:t>
      </w:r>
      <w:r w:rsidRPr="00B105FC">
        <w:rPr>
          <w:rFonts w:ascii="Calibri" w:hAnsi="Calibri" w:cs="Calibri"/>
          <w:i/>
          <w:iCs/>
        </w:rPr>
        <w:t>The Journal of Immunology</w:t>
      </w:r>
      <w:r w:rsidRPr="00B105FC">
        <w:rPr>
          <w:rFonts w:ascii="Calibri" w:hAnsi="Calibri" w:cs="Calibri"/>
        </w:rPr>
        <w:t xml:space="preserve"> </w:t>
      </w:r>
      <w:r w:rsidRPr="00B105FC">
        <w:rPr>
          <w:rFonts w:ascii="Calibri" w:hAnsi="Calibri" w:cs="Calibri"/>
          <w:b/>
          <w:bCs/>
        </w:rPr>
        <w:t>184</w:t>
      </w:r>
      <w:r w:rsidRPr="00B105FC">
        <w:rPr>
          <w:rFonts w:ascii="Calibri" w:hAnsi="Calibri" w:cs="Calibri"/>
        </w:rPr>
        <w:t>, 2204–2210 (2010).</w:t>
      </w:r>
    </w:p>
    <w:p w14:paraId="048F8A5A" w14:textId="77777777" w:rsidR="00B105FC" w:rsidRPr="00B105FC" w:rsidRDefault="00B105FC" w:rsidP="00B105FC">
      <w:pPr>
        <w:pStyle w:val="Bibliography"/>
        <w:rPr>
          <w:rFonts w:ascii="Calibri" w:hAnsi="Calibri" w:cs="Calibri"/>
        </w:rPr>
      </w:pPr>
      <w:r w:rsidRPr="00B105FC">
        <w:rPr>
          <w:rFonts w:ascii="Calibri" w:hAnsi="Calibri" w:cs="Calibri"/>
        </w:rPr>
        <w:lastRenderedPageBreak/>
        <w:t>11.</w:t>
      </w:r>
      <w:r w:rsidRPr="00B105FC">
        <w:rPr>
          <w:rFonts w:ascii="Calibri" w:hAnsi="Calibri" w:cs="Calibri"/>
        </w:rPr>
        <w:tab/>
        <w:t xml:space="preserve">Soldan, S. S. &amp; Lieberman, P. M. Epstein–Barr virus and multiple sclerosis. </w:t>
      </w:r>
      <w:r w:rsidRPr="00B105FC">
        <w:rPr>
          <w:rFonts w:ascii="Calibri" w:hAnsi="Calibri" w:cs="Calibri"/>
          <w:i/>
          <w:iCs/>
        </w:rPr>
        <w:t>Nat Rev Microbiol</w:t>
      </w:r>
      <w:r w:rsidRPr="00B105FC">
        <w:rPr>
          <w:rFonts w:ascii="Calibri" w:hAnsi="Calibri" w:cs="Calibri"/>
        </w:rPr>
        <w:t xml:space="preserve"> </w:t>
      </w:r>
      <w:r w:rsidRPr="00B105FC">
        <w:rPr>
          <w:rFonts w:ascii="Calibri" w:hAnsi="Calibri" w:cs="Calibri"/>
          <w:b/>
          <w:bCs/>
        </w:rPr>
        <w:t>21</w:t>
      </w:r>
      <w:r w:rsidRPr="00B105FC">
        <w:rPr>
          <w:rFonts w:ascii="Calibri" w:hAnsi="Calibri" w:cs="Calibri"/>
        </w:rPr>
        <w:t>, 51–64 (2023).</w:t>
      </w:r>
    </w:p>
    <w:p w14:paraId="11BB60B6" w14:textId="77777777" w:rsidR="00B105FC" w:rsidRPr="00B105FC" w:rsidRDefault="00B105FC" w:rsidP="00B105FC">
      <w:pPr>
        <w:pStyle w:val="Bibliography"/>
        <w:rPr>
          <w:rFonts w:ascii="Calibri" w:hAnsi="Calibri" w:cs="Calibri"/>
        </w:rPr>
      </w:pPr>
      <w:r w:rsidRPr="00B105FC">
        <w:rPr>
          <w:rFonts w:ascii="Calibri" w:hAnsi="Calibri" w:cs="Calibri"/>
        </w:rPr>
        <w:t>12.</w:t>
      </w:r>
      <w:r w:rsidRPr="00B105FC">
        <w:rPr>
          <w:rFonts w:ascii="Calibri" w:hAnsi="Calibri" w:cs="Calibri"/>
        </w:rPr>
        <w:tab/>
        <w:t xml:space="preserve">Cook, S. Multiple sclerosis and viruses. </w:t>
      </w:r>
      <w:r w:rsidRPr="00B105FC">
        <w:rPr>
          <w:rFonts w:ascii="Calibri" w:hAnsi="Calibri" w:cs="Calibri"/>
          <w:i/>
          <w:iCs/>
        </w:rPr>
        <w:t>Mult Scler</w:t>
      </w:r>
      <w:r w:rsidRPr="00B105FC">
        <w:rPr>
          <w:rFonts w:ascii="Calibri" w:hAnsi="Calibri" w:cs="Calibri"/>
        </w:rPr>
        <w:t xml:space="preserve"> </w:t>
      </w:r>
      <w:r w:rsidRPr="00B105FC">
        <w:rPr>
          <w:rFonts w:ascii="Calibri" w:hAnsi="Calibri" w:cs="Calibri"/>
          <w:b/>
          <w:bCs/>
        </w:rPr>
        <w:t>3</w:t>
      </w:r>
      <w:r w:rsidRPr="00B105FC">
        <w:rPr>
          <w:rFonts w:ascii="Calibri" w:hAnsi="Calibri" w:cs="Calibri"/>
        </w:rPr>
        <w:t>, 388–389 (1997).</w:t>
      </w:r>
    </w:p>
    <w:p w14:paraId="5C79DA91" w14:textId="77777777" w:rsidR="00B105FC" w:rsidRPr="00B105FC" w:rsidRDefault="00B105FC" w:rsidP="00B105FC">
      <w:pPr>
        <w:pStyle w:val="Bibliography"/>
        <w:rPr>
          <w:rFonts w:ascii="Calibri" w:hAnsi="Calibri" w:cs="Calibri"/>
        </w:rPr>
      </w:pPr>
      <w:r w:rsidRPr="00B105FC">
        <w:rPr>
          <w:rFonts w:ascii="Calibri" w:hAnsi="Calibri" w:cs="Calibri"/>
        </w:rPr>
        <w:t>13.</w:t>
      </w:r>
      <w:r w:rsidRPr="00B105FC">
        <w:rPr>
          <w:rFonts w:ascii="Calibri" w:hAnsi="Calibri" w:cs="Calibri"/>
        </w:rPr>
        <w:tab/>
        <w:t xml:space="preserve">Patsopoulos, N. A. </w:t>
      </w:r>
      <w:r w:rsidRPr="00B105FC">
        <w:rPr>
          <w:rFonts w:ascii="Calibri" w:hAnsi="Calibri" w:cs="Calibri"/>
          <w:i/>
          <w:iCs/>
        </w:rPr>
        <w:t>et al.</w:t>
      </w:r>
      <w:r w:rsidRPr="00B105FC">
        <w:rPr>
          <w:rFonts w:ascii="Calibri" w:hAnsi="Calibri" w:cs="Calibri"/>
        </w:rPr>
        <w:t xml:space="preserve"> Fine-Mapping the Genetic Association of the Major Histocompatibility Complex in Multiple Sclerosis: HLA and Non-HLA Effects. </w:t>
      </w:r>
      <w:r w:rsidRPr="00B105FC">
        <w:rPr>
          <w:rFonts w:ascii="Calibri" w:hAnsi="Calibri" w:cs="Calibri"/>
          <w:i/>
          <w:iCs/>
        </w:rPr>
        <w:t>PLOS Genetics</w:t>
      </w:r>
      <w:r w:rsidRPr="00B105FC">
        <w:rPr>
          <w:rFonts w:ascii="Calibri" w:hAnsi="Calibri" w:cs="Calibri"/>
        </w:rPr>
        <w:t xml:space="preserve"> </w:t>
      </w:r>
      <w:r w:rsidRPr="00B105FC">
        <w:rPr>
          <w:rFonts w:ascii="Calibri" w:hAnsi="Calibri" w:cs="Calibri"/>
          <w:b/>
          <w:bCs/>
        </w:rPr>
        <w:t>9</w:t>
      </w:r>
      <w:r w:rsidRPr="00B105FC">
        <w:rPr>
          <w:rFonts w:ascii="Calibri" w:hAnsi="Calibri" w:cs="Calibri"/>
        </w:rPr>
        <w:t>, e1003926 (2013).</w:t>
      </w:r>
    </w:p>
    <w:p w14:paraId="49C2CC36" w14:textId="77777777" w:rsidR="00B105FC" w:rsidRPr="00B105FC" w:rsidRDefault="00B105FC" w:rsidP="00B105FC">
      <w:pPr>
        <w:pStyle w:val="Bibliography"/>
        <w:rPr>
          <w:rFonts w:ascii="Calibri" w:hAnsi="Calibri" w:cs="Calibri"/>
        </w:rPr>
      </w:pPr>
      <w:r w:rsidRPr="00B105FC">
        <w:rPr>
          <w:rFonts w:ascii="Calibri" w:hAnsi="Calibri" w:cs="Calibri"/>
        </w:rPr>
        <w:t>14.</w:t>
      </w:r>
      <w:r w:rsidRPr="00B105FC">
        <w:rPr>
          <w:rFonts w:ascii="Calibri" w:hAnsi="Calibri" w:cs="Calibri"/>
        </w:rPr>
        <w:tab/>
        <w:t xml:space="preserve">Mamedov, A. </w:t>
      </w:r>
      <w:r w:rsidRPr="00B105FC">
        <w:rPr>
          <w:rFonts w:ascii="Calibri" w:hAnsi="Calibri" w:cs="Calibri"/>
          <w:i/>
          <w:iCs/>
        </w:rPr>
        <w:t>et al.</w:t>
      </w:r>
      <w:r w:rsidRPr="00B105FC">
        <w:rPr>
          <w:rFonts w:ascii="Calibri" w:hAnsi="Calibri" w:cs="Calibri"/>
        </w:rPr>
        <w:t xml:space="preserve"> Protective Allele for Multiple Sclerosis HLA-DRB1*01:01 Provides Kinetic Discrimination of Myelin and Exogenous Antigenic Peptides. </w:t>
      </w:r>
      <w:r w:rsidRPr="00B105FC">
        <w:rPr>
          <w:rFonts w:ascii="Calibri" w:hAnsi="Calibri" w:cs="Calibri"/>
          <w:i/>
          <w:iCs/>
        </w:rPr>
        <w:t>Frontiers in Immunology</w:t>
      </w:r>
      <w:r w:rsidRPr="00B105FC">
        <w:rPr>
          <w:rFonts w:ascii="Calibri" w:hAnsi="Calibri" w:cs="Calibri"/>
        </w:rPr>
        <w:t xml:space="preserve"> </w:t>
      </w:r>
      <w:r w:rsidRPr="00B105FC">
        <w:rPr>
          <w:rFonts w:ascii="Calibri" w:hAnsi="Calibri" w:cs="Calibri"/>
          <w:b/>
          <w:bCs/>
        </w:rPr>
        <w:t>10</w:t>
      </w:r>
      <w:r w:rsidRPr="00B105FC">
        <w:rPr>
          <w:rFonts w:ascii="Calibri" w:hAnsi="Calibri" w:cs="Calibri"/>
        </w:rPr>
        <w:t>, (2020).</w:t>
      </w:r>
    </w:p>
    <w:p w14:paraId="5120FDCC" w14:textId="77777777" w:rsidR="00B105FC" w:rsidRPr="00B105FC" w:rsidRDefault="00B105FC" w:rsidP="00B105FC">
      <w:pPr>
        <w:pStyle w:val="Bibliography"/>
        <w:rPr>
          <w:rFonts w:ascii="Calibri" w:hAnsi="Calibri" w:cs="Calibri"/>
        </w:rPr>
      </w:pPr>
      <w:r w:rsidRPr="00B105FC">
        <w:rPr>
          <w:rFonts w:ascii="Calibri" w:hAnsi="Calibri" w:cs="Calibri"/>
        </w:rPr>
        <w:t>15.</w:t>
      </w:r>
      <w:r w:rsidRPr="00B105FC">
        <w:rPr>
          <w:rFonts w:ascii="Calibri" w:hAnsi="Calibri" w:cs="Calibri"/>
        </w:rPr>
        <w:tab/>
        <w:t xml:space="preserve">Lanz, T. V. </w:t>
      </w:r>
      <w:r w:rsidRPr="00B105FC">
        <w:rPr>
          <w:rFonts w:ascii="Calibri" w:hAnsi="Calibri" w:cs="Calibri"/>
          <w:i/>
          <w:iCs/>
        </w:rPr>
        <w:t>et al.</w:t>
      </w:r>
      <w:r w:rsidRPr="00B105FC">
        <w:rPr>
          <w:rFonts w:ascii="Calibri" w:hAnsi="Calibri" w:cs="Calibri"/>
        </w:rPr>
        <w:t xml:space="preserve"> Clonally expanded B cells in multiple sclerosis bind EBV EBNA1 and GlialCAM. </w:t>
      </w:r>
      <w:r w:rsidRPr="00B105FC">
        <w:rPr>
          <w:rFonts w:ascii="Calibri" w:hAnsi="Calibri" w:cs="Calibri"/>
          <w:i/>
          <w:iCs/>
        </w:rPr>
        <w:t>Nature</w:t>
      </w:r>
      <w:r w:rsidRPr="00B105FC">
        <w:rPr>
          <w:rFonts w:ascii="Calibri" w:hAnsi="Calibri" w:cs="Calibri"/>
        </w:rPr>
        <w:t xml:space="preserve"> </w:t>
      </w:r>
      <w:r w:rsidRPr="00B105FC">
        <w:rPr>
          <w:rFonts w:ascii="Calibri" w:hAnsi="Calibri" w:cs="Calibri"/>
          <w:b/>
          <w:bCs/>
        </w:rPr>
        <w:t>603</w:t>
      </w:r>
      <w:r w:rsidRPr="00B105FC">
        <w:rPr>
          <w:rFonts w:ascii="Calibri" w:hAnsi="Calibri" w:cs="Calibri"/>
        </w:rPr>
        <w:t>, 321–327 (2022).</w:t>
      </w:r>
    </w:p>
    <w:p w14:paraId="79B54E34" w14:textId="77777777" w:rsidR="00B105FC" w:rsidRPr="00B105FC" w:rsidRDefault="00B105FC" w:rsidP="00B105FC">
      <w:pPr>
        <w:pStyle w:val="Bibliography"/>
        <w:rPr>
          <w:rFonts w:ascii="Calibri" w:hAnsi="Calibri" w:cs="Calibri"/>
        </w:rPr>
      </w:pPr>
      <w:r w:rsidRPr="00B105FC">
        <w:rPr>
          <w:rFonts w:ascii="Calibri" w:hAnsi="Calibri" w:cs="Calibri"/>
        </w:rPr>
        <w:t>16.</w:t>
      </w:r>
      <w:r w:rsidRPr="00B105FC">
        <w:rPr>
          <w:rFonts w:ascii="Calibri" w:hAnsi="Calibri" w:cs="Calibri"/>
        </w:rPr>
        <w:tab/>
        <w:t xml:space="preserve">Wucherpfennig, K. W. &amp; Strominger, J. L. Molecular mimicry in T cell-mediated autoimmunity: Viral peptides activate human T cell clones specific for myelin basic protein. </w:t>
      </w:r>
      <w:r w:rsidRPr="00B105FC">
        <w:rPr>
          <w:rFonts w:ascii="Calibri" w:hAnsi="Calibri" w:cs="Calibri"/>
          <w:i/>
          <w:iCs/>
        </w:rPr>
        <w:t>Cell</w:t>
      </w:r>
      <w:r w:rsidRPr="00B105FC">
        <w:rPr>
          <w:rFonts w:ascii="Calibri" w:hAnsi="Calibri" w:cs="Calibri"/>
        </w:rPr>
        <w:t xml:space="preserve"> </w:t>
      </w:r>
      <w:r w:rsidRPr="00B105FC">
        <w:rPr>
          <w:rFonts w:ascii="Calibri" w:hAnsi="Calibri" w:cs="Calibri"/>
          <w:b/>
          <w:bCs/>
        </w:rPr>
        <w:t>80</w:t>
      </w:r>
      <w:r w:rsidRPr="00B105FC">
        <w:rPr>
          <w:rFonts w:ascii="Calibri" w:hAnsi="Calibri" w:cs="Calibri"/>
        </w:rPr>
        <w:t>, 695–705 (1995).</w:t>
      </w:r>
    </w:p>
    <w:p w14:paraId="3B860B97" w14:textId="77777777" w:rsidR="00B105FC" w:rsidRPr="00B105FC" w:rsidRDefault="00B105FC" w:rsidP="00B105FC">
      <w:pPr>
        <w:pStyle w:val="Bibliography"/>
        <w:rPr>
          <w:rFonts w:ascii="Calibri" w:hAnsi="Calibri" w:cs="Calibri"/>
        </w:rPr>
      </w:pPr>
      <w:r w:rsidRPr="00B105FC">
        <w:rPr>
          <w:rFonts w:ascii="Calibri" w:hAnsi="Calibri" w:cs="Calibri"/>
        </w:rPr>
        <w:t>17.</w:t>
      </w:r>
      <w:r w:rsidRPr="00B105FC">
        <w:rPr>
          <w:rFonts w:ascii="Calibri" w:hAnsi="Calibri" w:cs="Calibri"/>
        </w:rPr>
        <w:tab/>
        <w:t xml:space="preserve">Lünemann, J. D. </w:t>
      </w:r>
      <w:r w:rsidRPr="00B105FC">
        <w:rPr>
          <w:rFonts w:ascii="Calibri" w:hAnsi="Calibri" w:cs="Calibri"/>
          <w:i/>
          <w:iCs/>
        </w:rPr>
        <w:t>et al.</w:t>
      </w:r>
      <w:r w:rsidRPr="00B105FC">
        <w:rPr>
          <w:rFonts w:ascii="Calibri" w:hAnsi="Calibri" w:cs="Calibri"/>
        </w:rPr>
        <w:t xml:space="preserve"> EBNA1-specific T cells from patients with multiple sclerosis cross react with myelin antigens and co-produce IFN-γ and IL-2. </w:t>
      </w:r>
      <w:r w:rsidRPr="00B105FC">
        <w:rPr>
          <w:rFonts w:ascii="Calibri" w:hAnsi="Calibri" w:cs="Calibri"/>
          <w:i/>
          <w:iCs/>
        </w:rPr>
        <w:t>Journal of Experimental Medicine</w:t>
      </w:r>
      <w:r w:rsidRPr="00B105FC">
        <w:rPr>
          <w:rFonts w:ascii="Calibri" w:hAnsi="Calibri" w:cs="Calibri"/>
        </w:rPr>
        <w:t xml:space="preserve"> </w:t>
      </w:r>
      <w:r w:rsidRPr="00B105FC">
        <w:rPr>
          <w:rFonts w:ascii="Calibri" w:hAnsi="Calibri" w:cs="Calibri"/>
          <w:b/>
          <w:bCs/>
        </w:rPr>
        <w:t>205</w:t>
      </w:r>
      <w:r w:rsidRPr="00B105FC">
        <w:rPr>
          <w:rFonts w:ascii="Calibri" w:hAnsi="Calibri" w:cs="Calibri"/>
        </w:rPr>
        <w:t>, 1763–1773 (2008).</w:t>
      </w:r>
    </w:p>
    <w:p w14:paraId="20776C82" w14:textId="77777777" w:rsidR="00B105FC" w:rsidRPr="00B105FC" w:rsidRDefault="00B105FC" w:rsidP="00B105FC">
      <w:pPr>
        <w:pStyle w:val="Bibliography"/>
        <w:rPr>
          <w:rFonts w:ascii="Calibri" w:hAnsi="Calibri" w:cs="Calibri"/>
        </w:rPr>
      </w:pPr>
      <w:r w:rsidRPr="00B105FC">
        <w:rPr>
          <w:rFonts w:ascii="Calibri" w:hAnsi="Calibri" w:cs="Calibri"/>
        </w:rPr>
        <w:t>18.</w:t>
      </w:r>
      <w:r w:rsidRPr="00B105FC">
        <w:rPr>
          <w:rFonts w:ascii="Calibri" w:hAnsi="Calibri" w:cs="Calibri"/>
        </w:rPr>
        <w:tab/>
        <w:t xml:space="preserve">Tengvall, K. </w:t>
      </w:r>
      <w:r w:rsidRPr="00B105FC">
        <w:rPr>
          <w:rFonts w:ascii="Calibri" w:hAnsi="Calibri" w:cs="Calibri"/>
          <w:i/>
          <w:iCs/>
        </w:rPr>
        <w:t>et al.</w:t>
      </w:r>
      <w:r w:rsidRPr="00B105FC">
        <w:rPr>
          <w:rFonts w:ascii="Calibri" w:hAnsi="Calibri" w:cs="Calibri"/>
        </w:rPr>
        <w:t xml:space="preserve"> Molecular mimicry between Anoctamin 2 and Epstein-Barr virus nuclear antigen 1 associates with multiple sclerosis risk. </w:t>
      </w:r>
      <w:r w:rsidRPr="00B105FC">
        <w:rPr>
          <w:rFonts w:ascii="Calibri" w:hAnsi="Calibri" w:cs="Calibri"/>
          <w:i/>
          <w:iCs/>
        </w:rPr>
        <w:t>Proceedings of the National Academy of Sciences</w:t>
      </w:r>
      <w:r w:rsidRPr="00B105FC">
        <w:rPr>
          <w:rFonts w:ascii="Calibri" w:hAnsi="Calibri" w:cs="Calibri"/>
        </w:rPr>
        <w:t xml:space="preserve"> </w:t>
      </w:r>
      <w:r w:rsidRPr="00B105FC">
        <w:rPr>
          <w:rFonts w:ascii="Calibri" w:hAnsi="Calibri" w:cs="Calibri"/>
          <w:b/>
          <w:bCs/>
        </w:rPr>
        <w:t>116</w:t>
      </w:r>
      <w:r w:rsidRPr="00B105FC">
        <w:rPr>
          <w:rFonts w:ascii="Calibri" w:hAnsi="Calibri" w:cs="Calibri"/>
        </w:rPr>
        <w:t>, 16955–16960 (2019).</w:t>
      </w:r>
    </w:p>
    <w:p w14:paraId="208A8A19" w14:textId="77777777" w:rsidR="00B105FC" w:rsidRPr="00B105FC" w:rsidRDefault="00B105FC" w:rsidP="00B105FC">
      <w:pPr>
        <w:pStyle w:val="Bibliography"/>
        <w:rPr>
          <w:rFonts w:ascii="Calibri" w:hAnsi="Calibri" w:cs="Calibri"/>
        </w:rPr>
      </w:pPr>
      <w:r w:rsidRPr="00B105FC">
        <w:rPr>
          <w:rFonts w:ascii="Calibri" w:hAnsi="Calibri" w:cs="Calibri"/>
        </w:rPr>
        <w:t>19.</w:t>
      </w:r>
      <w:r w:rsidRPr="00B105FC">
        <w:rPr>
          <w:rFonts w:ascii="Calibri" w:hAnsi="Calibri" w:cs="Calibri"/>
        </w:rPr>
        <w:tab/>
        <w:t xml:space="preserve">Hecker, M. </w:t>
      </w:r>
      <w:r w:rsidRPr="00B105FC">
        <w:rPr>
          <w:rFonts w:ascii="Calibri" w:hAnsi="Calibri" w:cs="Calibri"/>
          <w:i/>
          <w:iCs/>
        </w:rPr>
        <w:t>et al.</w:t>
      </w:r>
      <w:r w:rsidRPr="00B105FC">
        <w:rPr>
          <w:rFonts w:ascii="Calibri" w:hAnsi="Calibri" w:cs="Calibri"/>
        </w:rPr>
        <w:t xml:space="preserve"> High-Density Peptide Microarray Analysis of IgG Autoantibody Reactivities in Serum and Cerebrospinal Fluid of Multiple Sclerosis Patients *. </w:t>
      </w:r>
      <w:r w:rsidRPr="00B105FC">
        <w:rPr>
          <w:rFonts w:ascii="Calibri" w:hAnsi="Calibri" w:cs="Calibri"/>
          <w:i/>
          <w:iCs/>
        </w:rPr>
        <w:t>Molecular &amp; Cellular Proteomics</w:t>
      </w:r>
      <w:r w:rsidRPr="00B105FC">
        <w:rPr>
          <w:rFonts w:ascii="Calibri" w:hAnsi="Calibri" w:cs="Calibri"/>
        </w:rPr>
        <w:t xml:space="preserve"> </w:t>
      </w:r>
      <w:r w:rsidRPr="00B105FC">
        <w:rPr>
          <w:rFonts w:ascii="Calibri" w:hAnsi="Calibri" w:cs="Calibri"/>
          <w:b/>
          <w:bCs/>
        </w:rPr>
        <w:t>15</w:t>
      </w:r>
      <w:r w:rsidRPr="00B105FC">
        <w:rPr>
          <w:rFonts w:ascii="Calibri" w:hAnsi="Calibri" w:cs="Calibri"/>
        </w:rPr>
        <w:t>, 1360–1380 (2016).</w:t>
      </w:r>
    </w:p>
    <w:p w14:paraId="7DE0B6DF" w14:textId="77777777" w:rsidR="00B105FC" w:rsidRPr="00B105FC" w:rsidRDefault="00B105FC" w:rsidP="00B105FC">
      <w:pPr>
        <w:pStyle w:val="Bibliography"/>
        <w:rPr>
          <w:rFonts w:ascii="Calibri" w:hAnsi="Calibri" w:cs="Calibri"/>
        </w:rPr>
      </w:pPr>
      <w:r w:rsidRPr="00B105FC">
        <w:rPr>
          <w:rFonts w:ascii="Calibri" w:hAnsi="Calibri" w:cs="Calibri"/>
        </w:rPr>
        <w:t>20.</w:t>
      </w:r>
      <w:r w:rsidRPr="00B105FC">
        <w:rPr>
          <w:rFonts w:ascii="Calibri" w:hAnsi="Calibri" w:cs="Calibri"/>
        </w:rPr>
        <w:tab/>
        <w:t xml:space="preserve">Vazquez, D. S., Schilbert, H. M. &amp; Dodero, V. I. Molecular and Structural Parallels between Gluten Pathogenic Peptides and Bacterial-Derived Proteins by Bioinformatics Analysis. </w:t>
      </w:r>
      <w:r w:rsidRPr="00B105FC">
        <w:rPr>
          <w:rFonts w:ascii="Calibri" w:hAnsi="Calibri" w:cs="Calibri"/>
          <w:i/>
          <w:iCs/>
        </w:rPr>
        <w:t>Int J Mol Sci</w:t>
      </w:r>
      <w:r w:rsidRPr="00B105FC">
        <w:rPr>
          <w:rFonts w:ascii="Calibri" w:hAnsi="Calibri" w:cs="Calibri"/>
        </w:rPr>
        <w:t xml:space="preserve"> </w:t>
      </w:r>
      <w:r w:rsidRPr="00B105FC">
        <w:rPr>
          <w:rFonts w:ascii="Calibri" w:hAnsi="Calibri" w:cs="Calibri"/>
          <w:b/>
          <w:bCs/>
        </w:rPr>
        <w:t>22</w:t>
      </w:r>
      <w:r w:rsidRPr="00B105FC">
        <w:rPr>
          <w:rFonts w:ascii="Calibri" w:hAnsi="Calibri" w:cs="Calibri"/>
        </w:rPr>
        <w:t>, 9278 (2021).</w:t>
      </w:r>
    </w:p>
    <w:p w14:paraId="30D48864" w14:textId="77777777" w:rsidR="00B105FC" w:rsidRPr="00B105FC" w:rsidRDefault="00B105FC" w:rsidP="00B105FC">
      <w:pPr>
        <w:pStyle w:val="Bibliography"/>
        <w:rPr>
          <w:rFonts w:ascii="Calibri" w:hAnsi="Calibri" w:cs="Calibri"/>
        </w:rPr>
      </w:pPr>
      <w:r w:rsidRPr="00B105FC">
        <w:rPr>
          <w:rFonts w:ascii="Calibri" w:hAnsi="Calibri" w:cs="Calibri"/>
        </w:rPr>
        <w:t>21.</w:t>
      </w:r>
      <w:r w:rsidRPr="00B105FC">
        <w:rPr>
          <w:rFonts w:ascii="Calibri" w:hAnsi="Calibri" w:cs="Calibri"/>
        </w:rPr>
        <w:tab/>
        <w:t xml:space="preserve">Martina, S. </w:t>
      </w:r>
      <w:r w:rsidRPr="00B105FC">
        <w:rPr>
          <w:rFonts w:ascii="Calibri" w:hAnsi="Calibri" w:cs="Calibri"/>
          <w:i/>
          <w:iCs/>
        </w:rPr>
        <w:t>et al.</w:t>
      </w:r>
      <w:r w:rsidRPr="00B105FC">
        <w:rPr>
          <w:rFonts w:ascii="Calibri" w:hAnsi="Calibri" w:cs="Calibri"/>
        </w:rPr>
        <w:t xml:space="preserve"> Genetic susceptibilty and celiac disease: what role do HLA haplotypes play? </w:t>
      </w:r>
      <w:r w:rsidRPr="00B105FC">
        <w:rPr>
          <w:rFonts w:ascii="Calibri" w:hAnsi="Calibri" w:cs="Calibri"/>
          <w:i/>
          <w:iCs/>
        </w:rPr>
        <w:t>Acta Biomed</w:t>
      </w:r>
      <w:r w:rsidRPr="00B105FC">
        <w:rPr>
          <w:rFonts w:ascii="Calibri" w:hAnsi="Calibri" w:cs="Calibri"/>
        </w:rPr>
        <w:t xml:space="preserve"> </w:t>
      </w:r>
      <w:r w:rsidRPr="00B105FC">
        <w:rPr>
          <w:rFonts w:ascii="Calibri" w:hAnsi="Calibri" w:cs="Calibri"/>
          <w:b/>
          <w:bCs/>
        </w:rPr>
        <w:t>89</w:t>
      </w:r>
      <w:r w:rsidRPr="00B105FC">
        <w:rPr>
          <w:rFonts w:ascii="Calibri" w:hAnsi="Calibri" w:cs="Calibri"/>
        </w:rPr>
        <w:t>, 17–21 (2018).</w:t>
      </w:r>
    </w:p>
    <w:p w14:paraId="64813613" w14:textId="77777777" w:rsidR="00B105FC" w:rsidRPr="00B105FC" w:rsidRDefault="00B105FC" w:rsidP="00B105FC">
      <w:pPr>
        <w:pStyle w:val="Bibliography"/>
        <w:rPr>
          <w:rFonts w:ascii="Calibri" w:hAnsi="Calibri" w:cs="Calibri"/>
        </w:rPr>
      </w:pPr>
      <w:r w:rsidRPr="00B105FC">
        <w:rPr>
          <w:rFonts w:ascii="Calibri" w:hAnsi="Calibri" w:cs="Calibri"/>
        </w:rPr>
        <w:lastRenderedPageBreak/>
        <w:t>22.</w:t>
      </w:r>
      <w:r w:rsidRPr="00B105FC">
        <w:rPr>
          <w:rFonts w:ascii="Calibri" w:hAnsi="Calibri" w:cs="Calibri"/>
        </w:rPr>
        <w:tab/>
        <w:t xml:space="preserve">Sollid, L. M., Molberg, Ø., McADAM, S. &amp; Lundin, K. E. A. Autoantibodies in coeliac disease: tissue transglutaminase—guilt by association? </w:t>
      </w:r>
      <w:r w:rsidRPr="00B105FC">
        <w:rPr>
          <w:rFonts w:ascii="Calibri" w:hAnsi="Calibri" w:cs="Calibri"/>
          <w:i/>
          <w:iCs/>
        </w:rPr>
        <w:t>Gut</w:t>
      </w:r>
      <w:r w:rsidRPr="00B105FC">
        <w:rPr>
          <w:rFonts w:ascii="Calibri" w:hAnsi="Calibri" w:cs="Calibri"/>
        </w:rPr>
        <w:t xml:space="preserve"> </w:t>
      </w:r>
      <w:r w:rsidRPr="00B105FC">
        <w:rPr>
          <w:rFonts w:ascii="Calibri" w:hAnsi="Calibri" w:cs="Calibri"/>
          <w:b/>
          <w:bCs/>
        </w:rPr>
        <w:t>41</w:t>
      </w:r>
      <w:r w:rsidRPr="00B105FC">
        <w:rPr>
          <w:rFonts w:ascii="Calibri" w:hAnsi="Calibri" w:cs="Calibri"/>
        </w:rPr>
        <w:t>, 851–852 (1997).</w:t>
      </w:r>
    </w:p>
    <w:p w14:paraId="4C045742" w14:textId="77777777" w:rsidR="00B105FC" w:rsidRPr="00B105FC" w:rsidRDefault="00B105FC" w:rsidP="00B105FC">
      <w:pPr>
        <w:pStyle w:val="Bibliography"/>
        <w:rPr>
          <w:rFonts w:ascii="Calibri" w:hAnsi="Calibri" w:cs="Calibri"/>
        </w:rPr>
      </w:pPr>
      <w:r w:rsidRPr="00B105FC">
        <w:rPr>
          <w:rFonts w:ascii="Calibri" w:hAnsi="Calibri" w:cs="Calibri"/>
        </w:rPr>
        <w:t>23.</w:t>
      </w:r>
      <w:r w:rsidRPr="00B105FC">
        <w:rPr>
          <w:rFonts w:ascii="Calibri" w:hAnsi="Calibri" w:cs="Calibri"/>
        </w:rPr>
        <w:tab/>
        <w:t xml:space="preserve">Boquete Castro, A. &amp; Cortés Mejía, J. M. Adjuvanted AH1N1 influenza vaccine precipitating the appearance of narcolepsy. </w:t>
      </w:r>
      <w:r w:rsidRPr="00B105FC">
        <w:rPr>
          <w:rFonts w:ascii="Calibri" w:hAnsi="Calibri" w:cs="Calibri"/>
          <w:i/>
          <w:iCs/>
        </w:rPr>
        <w:t>Vacunas (English Edition)</w:t>
      </w:r>
      <w:r w:rsidRPr="00B105FC">
        <w:rPr>
          <w:rFonts w:ascii="Calibri" w:hAnsi="Calibri" w:cs="Calibri"/>
        </w:rPr>
        <w:t xml:space="preserve"> </w:t>
      </w:r>
      <w:r w:rsidRPr="00B105FC">
        <w:rPr>
          <w:rFonts w:ascii="Calibri" w:hAnsi="Calibri" w:cs="Calibri"/>
          <w:b/>
          <w:bCs/>
        </w:rPr>
        <w:t>22</w:t>
      </w:r>
      <w:r w:rsidRPr="00B105FC">
        <w:rPr>
          <w:rFonts w:ascii="Calibri" w:hAnsi="Calibri" w:cs="Calibri"/>
        </w:rPr>
        <w:t>, 119–124 (2021).</w:t>
      </w:r>
    </w:p>
    <w:p w14:paraId="5D946F71" w14:textId="77777777" w:rsidR="00B105FC" w:rsidRPr="00B105FC" w:rsidRDefault="00B105FC" w:rsidP="00B105FC">
      <w:pPr>
        <w:pStyle w:val="Bibliography"/>
        <w:rPr>
          <w:rFonts w:ascii="Calibri" w:hAnsi="Calibri" w:cs="Calibri"/>
        </w:rPr>
      </w:pPr>
      <w:r w:rsidRPr="00B105FC">
        <w:rPr>
          <w:rFonts w:ascii="Calibri" w:hAnsi="Calibri" w:cs="Calibri"/>
        </w:rPr>
        <w:t>24.</w:t>
      </w:r>
      <w:r w:rsidRPr="00B105FC">
        <w:rPr>
          <w:rFonts w:ascii="Calibri" w:hAnsi="Calibri" w:cs="Calibri"/>
        </w:rPr>
        <w:tab/>
        <w:t xml:space="preserve">Buonocore, S. M. &amp; van der Most, R. G. Narcolepsy and H1N1 influenza immunology a decade later: What have we learned? </w:t>
      </w:r>
      <w:r w:rsidRPr="00B105FC">
        <w:rPr>
          <w:rFonts w:ascii="Calibri" w:hAnsi="Calibri" w:cs="Calibri"/>
          <w:i/>
          <w:iCs/>
        </w:rPr>
        <w:t>Front Immunol</w:t>
      </w:r>
      <w:r w:rsidRPr="00B105FC">
        <w:rPr>
          <w:rFonts w:ascii="Calibri" w:hAnsi="Calibri" w:cs="Calibri"/>
        </w:rPr>
        <w:t xml:space="preserve"> </w:t>
      </w:r>
      <w:r w:rsidRPr="00B105FC">
        <w:rPr>
          <w:rFonts w:ascii="Calibri" w:hAnsi="Calibri" w:cs="Calibri"/>
          <w:b/>
          <w:bCs/>
        </w:rPr>
        <w:t>13</w:t>
      </w:r>
      <w:r w:rsidRPr="00B105FC">
        <w:rPr>
          <w:rFonts w:ascii="Calibri" w:hAnsi="Calibri" w:cs="Calibri"/>
        </w:rPr>
        <w:t>, 902840 (2022).</w:t>
      </w:r>
    </w:p>
    <w:p w14:paraId="2284348B" w14:textId="77777777" w:rsidR="00B105FC" w:rsidRPr="00B105FC" w:rsidRDefault="00B105FC" w:rsidP="00B105FC">
      <w:pPr>
        <w:pStyle w:val="Bibliography"/>
        <w:rPr>
          <w:rFonts w:ascii="Calibri" w:hAnsi="Calibri" w:cs="Calibri"/>
        </w:rPr>
      </w:pPr>
      <w:r w:rsidRPr="00B105FC">
        <w:rPr>
          <w:rFonts w:ascii="Calibri" w:hAnsi="Calibri" w:cs="Calibri"/>
        </w:rPr>
        <w:t>25.</w:t>
      </w:r>
      <w:r w:rsidRPr="00B105FC">
        <w:rPr>
          <w:rFonts w:ascii="Calibri" w:hAnsi="Calibri" w:cs="Calibri"/>
        </w:rPr>
        <w:tab/>
        <w:t xml:space="preserve">Mignot, E. </w:t>
      </w:r>
      <w:r w:rsidRPr="00B105FC">
        <w:rPr>
          <w:rFonts w:ascii="Calibri" w:hAnsi="Calibri" w:cs="Calibri"/>
          <w:i/>
          <w:iCs/>
        </w:rPr>
        <w:t>et al.</w:t>
      </w:r>
      <w:r w:rsidRPr="00B105FC">
        <w:rPr>
          <w:rFonts w:ascii="Calibri" w:hAnsi="Calibri" w:cs="Calibri"/>
        </w:rPr>
        <w:t xml:space="preserve"> Complex HLA-DR and -DQ Interactions Confer Risk of Narcolepsy-Cataplexy in Three Ethnic Groups. </w:t>
      </w:r>
      <w:r w:rsidRPr="00B105FC">
        <w:rPr>
          <w:rFonts w:ascii="Calibri" w:hAnsi="Calibri" w:cs="Calibri"/>
          <w:i/>
          <w:iCs/>
        </w:rPr>
        <w:t>Am J Hum Genet</w:t>
      </w:r>
      <w:r w:rsidRPr="00B105FC">
        <w:rPr>
          <w:rFonts w:ascii="Calibri" w:hAnsi="Calibri" w:cs="Calibri"/>
        </w:rPr>
        <w:t xml:space="preserve"> </w:t>
      </w:r>
      <w:r w:rsidRPr="00B105FC">
        <w:rPr>
          <w:rFonts w:ascii="Calibri" w:hAnsi="Calibri" w:cs="Calibri"/>
          <w:b/>
          <w:bCs/>
        </w:rPr>
        <w:t>68</w:t>
      </w:r>
      <w:r w:rsidRPr="00B105FC">
        <w:rPr>
          <w:rFonts w:ascii="Calibri" w:hAnsi="Calibri" w:cs="Calibri"/>
        </w:rPr>
        <w:t>, 686–699 (2001).</w:t>
      </w:r>
    </w:p>
    <w:p w14:paraId="44E080F4" w14:textId="77777777" w:rsidR="00B105FC" w:rsidRPr="00B105FC" w:rsidRDefault="00B105FC" w:rsidP="00B105FC">
      <w:pPr>
        <w:pStyle w:val="Bibliography"/>
        <w:rPr>
          <w:rFonts w:ascii="Calibri" w:hAnsi="Calibri" w:cs="Calibri"/>
        </w:rPr>
      </w:pPr>
      <w:r w:rsidRPr="00B105FC">
        <w:rPr>
          <w:rFonts w:ascii="Calibri" w:hAnsi="Calibri" w:cs="Calibri"/>
        </w:rPr>
        <w:t>26.</w:t>
      </w:r>
      <w:r w:rsidRPr="00B105FC">
        <w:rPr>
          <w:rFonts w:ascii="Calibri" w:hAnsi="Calibri" w:cs="Calibri"/>
        </w:rPr>
        <w:tab/>
        <w:t xml:space="preserve">Tafti, M. </w:t>
      </w:r>
      <w:r w:rsidRPr="00B105FC">
        <w:rPr>
          <w:rFonts w:ascii="Calibri" w:hAnsi="Calibri" w:cs="Calibri"/>
          <w:i/>
          <w:iCs/>
        </w:rPr>
        <w:t>et al.</w:t>
      </w:r>
      <w:r w:rsidRPr="00B105FC">
        <w:rPr>
          <w:rFonts w:ascii="Calibri" w:hAnsi="Calibri" w:cs="Calibri"/>
        </w:rPr>
        <w:t xml:space="preserve"> DQB1 locus alone explains most of the risk and protection in narcolepsy with cataplexy in Europe. </w:t>
      </w:r>
      <w:r w:rsidRPr="00B105FC">
        <w:rPr>
          <w:rFonts w:ascii="Calibri" w:hAnsi="Calibri" w:cs="Calibri"/>
          <w:i/>
          <w:iCs/>
        </w:rPr>
        <w:t>Sleep</w:t>
      </w:r>
      <w:r w:rsidRPr="00B105FC">
        <w:rPr>
          <w:rFonts w:ascii="Calibri" w:hAnsi="Calibri" w:cs="Calibri"/>
        </w:rPr>
        <w:t xml:space="preserve"> </w:t>
      </w:r>
      <w:r w:rsidRPr="00B105FC">
        <w:rPr>
          <w:rFonts w:ascii="Calibri" w:hAnsi="Calibri" w:cs="Calibri"/>
          <w:b/>
          <w:bCs/>
        </w:rPr>
        <w:t>37</w:t>
      </w:r>
      <w:r w:rsidRPr="00B105FC">
        <w:rPr>
          <w:rFonts w:ascii="Calibri" w:hAnsi="Calibri" w:cs="Calibri"/>
        </w:rPr>
        <w:t>, 19–25 (2014).</w:t>
      </w:r>
    </w:p>
    <w:p w14:paraId="73BFDCEA" w14:textId="77777777" w:rsidR="00B105FC" w:rsidRPr="00B105FC" w:rsidRDefault="00B105FC" w:rsidP="00B105FC">
      <w:pPr>
        <w:pStyle w:val="Bibliography"/>
        <w:rPr>
          <w:rFonts w:ascii="Calibri" w:hAnsi="Calibri" w:cs="Calibri"/>
        </w:rPr>
      </w:pPr>
      <w:r w:rsidRPr="00B105FC">
        <w:rPr>
          <w:rFonts w:ascii="Calibri" w:hAnsi="Calibri" w:cs="Calibri"/>
        </w:rPr>
        <w:t>27.</w:t>
      </w:r>
      <w:r w:rsidRPr="00B105FC">
        <w:rPr>
          <w:rFonts w:ascii="Calibri" w:hAnsi="Calibri" w:cs="Calibri"/>
        </w:rPr>
        <w:tab/>
        <w:t xml:space="preserve">Luo, G. </w:t>
      </w:r>
      <w:r w:rsidRPr="00B105FC">
        <w:rPr>
          <w:rFonts w:ascii="Calibri" w:hAnsi="Calibri" w:cs="Calibri"/>
          <w:i/>
          <w:iCs/>
        </w:rPr>
        <w:t>et al.</w:t>
      </w:r>
      <w:r w:rsidRPr="00B105FC">
        <w:rPr>
          <w:rFonts w:ascii="Calibri" w:hAnsi="Calibri" w:cs="Calibri"/>
        </w:rPr>
        <w:t xml:space="preserve"> Autoimmunity to hypocretin and molecular mimicry to flu in type 1 narcolepsy. </w:t>
      </w:r>
      <w:r w:rsidRPr="00B105FC">
        <w:rPr>
          <w:rFonts w:ascii="Calibri" w:hAnsi="Calibri" w:cs="Calibri"/>
          <w:i/>
          <w:iCs/>
        </w:rPr>
        <w:t>Proc Natl Acad Sci U S A</w:t>
      </w:r>
      <w:r w:rsidRPr="00B105FC">
        <w:rPr>
          <w:rFonts w:ascii="Calibri" w:hAnsi="Calibri" w:cs="Calibri"/>
        </w:rPr>
        <w:t xml:space="preserve"> </w:t>
      </w:r>
      <w:r w:rsidRPr="00B105FC">
        <w:rPr>
          <w:rFonts w:ascii="Calibri" w:hAnsi="Calibri" w:cs="Calibri"/>
          <w:b/>
          <w:bCs/>
        </w:rPr>
        <w:t>115</w:t>
      </w:r>
      <w:r w:rsidRPr="00B105FC">
        <w:rPr>
          <w:rFonts w:ascii="Calibri" w:hAnsi="Calibri" w:cs="Calibri"/>
        </w:rPr>
        <w:t>, E12323–E12332 (2018).</w:t>
      </w:r>
    </w:p>
    <w:p w14:paraId="228AF9C4" w14:textId="77777777" w:rsidR="00B105FC" w:rsidRPr="00B105FC" w:rsidRDefault="00B105FC" w:rsidP="00B105FC">
      <w:pPr>
        <w:pStyle w:val="Bibliography"/>
        <w:rPr>
          <w:rFonts w:ascii="Calibri" w:hAnsi="Calibri" w:cs="Calibri"/>
        </w:rPr>
      </w:pPr>
      <w:r w:rsidRPr="00B105FC">
        <w:rPr>
          <w:rFonts w:ascii="Calibri" w:hAnsi="Calibri" w:cs="Calibri"/>
        </w:rPr>
        <w:t>28.</w:t>
      </w:r>
      <w:r w:rsidRPr="00B105FC">
        <w:rPr>
          <w:rFonts w:ascii="Calibri" w:hAnsi="Calibri" w:cs="Calibri"/>
        </w:rPr>
        <w:tab/>
        <w:t xml:space="preserve">Bryant, P. A., Robins-Browne, R., Carapetis, J. R. &amp; Curtis, N. Some of the People, Some of the Time. </w:t>
      </w:r>
      <w:r w:rsidRPr="00B105FC">
        <w:rPr>
          <w:rFonts w:ascii="Calibri" w:hAnsi="Calibri" w:cs="Calibri"/>
          <w:i/>
          <w:iCs/>
        </w:rPr>
        <w:t>Circulation</w:t>
      </w:r>
      <w:r w:rsidRPr="00B105FC">
        <w:rPr>
          <w:rFonts w:ascii="Calibri" w:hAnsi="Calibri" w:cs="Calibri"/>
        </w:rPr>
        <w:t xml:space="preserve"> </w:t>
      </w:r>
      <w:r w:rsidRPr="00B105FC">
        <w:rPr>
          <w:rFonts w:ascii="Calibri" w:hAnsi="Calibri" w:cs="Calibri"/>
          <w:b/>
          <w:bCs/>
        </w:rPr>
        <w:t>119</w:t>
      </w:r>
      <w:r w:rsidRPr="00B105FC">
        <w:rPr>
          <w:rFonts w:ascii="Calibri" w:hAnsi="Calibri" w:cs="Calibri"/>
        </w:rPr>
        <w:t>, 742–753 (2009).</w:t>
      </w:r>
    </w:p>
    <w:p w14:paraId="489C9850" w14:textId="77777777" w:rsidR="00B105FC" w:rsidRDefault="00B105FC" w:rsidP="00B105FC">
      <w:pPr>
        <w:pStyle w:val="Bibliography"/>
        <w:rPr>
          <w:rFonts w:ascii="Calibri" w:hAnsi="Calibri" w:cs="Calibri"/>
        </w:rPr>
      </w:pPr>
      <w:r w:rsidRPr="00B105FC">
        <w:rPr>
          <w:rFonts w:ascii="Calibri" w:hAnsi="Calibri" w:cs="Calibri"/>
        </w:rPr>
        <w:t>29.</w:t>
      </w:r>
      <w:r w:rsidRPr="00B105FC">
        <w:rPr>
          <w:rFonts w:ascii="Calibri" w:hAnsi="Calibri" w:cs="Calibri"/>
        </w:rPr>
        <w:tab/>
        <w:t xml:space="preserve">Tandon, R. </w:t>
      </w:r>
      <w:r w:rsidRPr="00B105FC">
        <w:rPr>
          <w:rFonts w:ascii="Calibri" w:hAnsi="Calibri" w:cs="Calibri"/>
          <w:i/>
          <w:iCs/>
        </w:rPr>
        <w:t>et al.</w:t>
      </w:r>
      <w:r w:rsidRPr="00B105FC">
        <w:rPr>
          <w:rFonts w:ascii="Calibri" w:hAnsi="Calibri" w:cs="Calibri"/>
        </w:rPr>
        <w:t xml:space="preserve"> Revisiting the pathogenesis of rheumatic fever and carditis. </w:t>
      </w:r>
      <w:r w:rsidRPr="00B105FC">
        <w:rPr>
          <w:rFonts w:ascii="Calibri" w:hAnsi="Calibri" w:cs="Calibri"/>
          <w:i/>
          <w:iCs/>
        </w:rPr>
        <w:t>Nat Rev Cardiol</w:t>
      </w:r>
      <w:r w:rsidRPr="00B105FC">
        <w:rPr>
          <w:rFonts w:ascii="Calibri" w:hAnsi="Calibri" w:cs="Calibri"/>
        </w:rPr>
        <w:t xml:space="preserve"> </w:t>
      </w:r>
      <w:r w:rsidRPr="00B105FC">
        <w:rPr>
          <w:rFonts w:ascii="Calibri" w:hAnsi="Calibri" w:cs="Calibri"/>
          <w:b/>
          <w:bCs/>
        </w:rPr>
        <w:t>10</w:t>
      </w:r>
      <w:r w:rsidRPr="00B105FC">
        <w:rPr>
          <w:rFonts w:ascii="Calibri" w:hAnsi="Calibri" w:cs="Calibri"/>
        </w:rPr>
        <w:t>, 171–177 (2013).</w:t>
      </w:r>
    </w:p>
    <w:p w14:paraId="75F50109" w14:textId="77777777" w:rsidR="000D372C" w:rsidRDefault="000D372C" w:rsidP="000D372C"/>
    <w:p w14:paraId="4D2D8292" w14:textId="77777777" w:rsidR="000D372C" w:rsidRPr="000D372C" w:rsidRDefault="000D372C" w:rsidP="000D372C"/>
    <w:p w14:paraId="7BE53373" w14:textId="2AC85E38" w:rsidR="00EC5187" w:rsidRDefault="006A3F55" w:rsidP="005A2F51">
      <w:pPr>
        <w:spacing w:line="240" w:lineRule="auto"/>
      </w:pPr>
      <w:r>
        <w:fldChar w:fldCharType="end"/>
      </w:r>
    </w:p>
    <w:sectPr w:rsidR="00EC5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7EF6"/>
    <w:multiLevelType w:val="hybridMultilevel"/>
    <w:tmpl w:val="1BB8D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E77C97"/>
    <w:multiLevelType w:val="hybridMultilevel"/>
    <w:tmpl w:val="14D0F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1475EC"/>
    <w:multiLevelType w:val="hybridMultilevel"/>
    <w:tmpl w:val="2F22A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E246EA"/>
    <w:multiLevelType w:val="hybridMultilevel"/>
    <w:tmpl w:val="650623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082036"/>
    <w:multiLevelType w:val="hybridMultilevel"/>
    <w:tmpl w:val="CDC0E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1D4A5A"/>
    <w:multiLevelType w:val="hybridMultilevel"/>
    <w:tmpl w:val="3112E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48662E"/>
    <w:multiLevelType w:val="hybridMultilevel"/>
    <w:tmpl w:val="0A34E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2982475">
    <w:abstractNumId w:val="6"/>
  </w:num>
  <w:num w:numId="2" w16cid:durableId="1439325788">
    <w:abstractNumId w:val="5"/>
  </w:num>
  <w:num w:numId="3" w16cid:durableId="1722896729">
    <w:abstractNumId w:val="1"/>
  </w:num>
  <w:num w:numId="4" w16cid:durableId="816411312">
    <w:abstractNumId w:val="2"/>
  </w:num>
  <w:num w:numId="5" w16cid:durableId="1763452440">
    <w:abstractNumId w:val="3"/>
  </w:num>
  <w:num w:numId="6" w16cid:durableId="325667461">
    <w:abstractNumId w:val="0"/>
  </w:num>
  <w:num w:numId="7" w16cid:durableId="782572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0A"/>
    <w:rsid w:val="00001EA9"/>
    <w:rsid w:val="00007082"/>
    <w:rsid w:val="00010B2B"/>
    <w:rsid w:val="000332D7"/>
    <w:rsid w:val="00095C7A"/>
    <w:rsid w:val="000B1A3C"/>
    <w:rsid w:val="000B4CBD"/>
    <w:rsid w:val="000C3F01"/>
    <w:rsid w:val="000C526E"/>
    <w:rsid w:val="000D0813"/>
    <w:rsid w:val="000D1527"/>
    <w:rsid w:val="000D372C"/>
    <w:rsid w:val="000F2430"/>
    <w:rsid w:val="001107D4"/>
    <w:rsid w:val="0012230E"/>
    <w:rsid w:val="001344F1"/>
    <w:rsid w:val="00136A90"/>
    <w:rsid w:val="001434AD"/>
    <w:rsid w:val="001446EC"/>
    <w:rsid w:val="001455CA"/>
    <w:rsid w:val="001505E1"/>
    <w:rsid w:val="00151BE9"/>
    <w:rsid w:val="001708C6"/>
    <w:rsid w:val="00172C78"/>
    <w:rsid w:val="001C5A8B"/>
    <w:rsid w:val="001F3A13"/>
    <w:rsid w:val="001F4EAD"/>
    <w:rsid w:val="001F4EAE"/>
    <w:rsid w:val="002029C9"/>
    <w:rsid w:val="002105A8"/>
    <w:rsid w:val="002179D1"/>
    <w:rsid w:val="00217A14"/>
    <w:rsid w:val="002269C0"/>
    <w:rsid w:val="00250AA1"/>
    <w:rsid w:val="00252AA7"/>
    <w:rsid w:val="00253318"/>
    <w:rsid w:val="00266BF7"/>
    <w:rsid w:val="00280BEF"/>
    <w:rsid w:val="00281D73"/>
    <w:rsid w:val="002827B9"/>
    <w:rsid w:val="002A08F6"/>
    <w:rsid w:val="002B4B10"/>
    <w:rsid w:val="002D2F36"/>
    <w:rsid w:val="0030353D"/>
    <w:rsid w:val="00306F00"/>
    <w:rsid w:val="00316342"/>
    <w:rsid w:val="00346AC7"/>
    <w:rsid w:val="00351369"/>
    <w:rsid w:val="0035298F"/>
    <w:rsid w:val="00356A18"/>
    <w:rsid w:val="00360D8E"/>
    <w:rsid w:val="00381123"/>
    <w:rsid w:val="00385369"/>
    <w:rsid w:val="00395931"/>
    <w:rsid w:val="003A1034"/>
    <w:rsid w:val="003C6D2A"/>
    <w:rsid w:val="0041140F"/>
    <w:rsid w:val="00414A26"/>
    <w:rsid w:val="00414F28"/>
    <w:rsid w:val="00442D7B"/>
    <w:rsid w:val="004608F1"/>
    <w:rsid w:val="004667B4"/>
    <w:rsid w:val="004A5FA3"/>
    <w:rsid w:val="004A60E5"/>
    <w:rsid w:val="004E3324"/>
    <w:rsid w:val="004F382E"/>
    <w:rsid w:val="0051638B"/>
    <w:rsid w:val="0053002B"/>
    <w:rsid w:val="00542C75"/>
    <w:rsid w:val="005720F7"/>
    <w:rsid w:val="005A2F51"/>
    <w:rsid w:val="005A2F98"/>
    <w:rsid w:val="005B0B52"/>
    <w:rsid w:val="005C2D9E"/>
    <w:rsid w:val="005D01C9"/>
    <w:rsid w:val="00605822"/>
    <w:rsid w:val="006067B1"/>
    <w:rsid w:val="006120B7"/>
    <w:rsid w:val="00620F93"/>
    <w:rsid w:val="00634D8C"/>
    <w:rsid w:val="0065221B"/>
    <w:rsid w:val="00663D0A"/>
    <w:rsid w:val="00667FED"/>
    <w:rsid w:val="00675E0F"/>
    <w:rsid w:val="0068298B"/>
    <w:rsid w:val="006833FC"/>
    <w:rsid w:val="0069045B"/>
    <w:rsid w:val="006A3F55"/>
    <w:rsid w:val="006B26C7"/>
    <w:rsid w:val="006C2454"/>
    <w:rsid w:val="006D1A4E"/>
    <w:rsid w:val="006E1C53"/>
    <w:rsid w:val="006E51F2"/>
    <w:rsid w:val="006F3041"/>
    <w:rsid w:val="0072532A"/>
    <w:rsid w:val="00732EED"/>
    <w:rsid w:val="007364F6"/>
    <w:rsid w:val="00750AA1"/>
    <w:rsid w:val="00773A56"/>
    <w:rsid w:val="00776C29"/>
    <w:rsid w:val="007968B0"/>
    <w:rsid w:val="007B447D"/>
    <w:rsid w:val="007C5277"/>
    <w:rsid w:val="007E1E31"/>
    <w:rsid w:val="007E5BAC"/>
    <w:rsid w:val="007E621C"/>
    <w:rsid w:val="007F5F40"/>
    <w:rsid w:val="007F6EF4"/>
    <w:rsid w:val="008678B0"/>
    <w:rsid w:val="00870D11"/>
    <w:rsid w:val="00874E3B"/>
    <w:rsid w:val="008B7999"/>
    <w:rsid w:val="008C686D"/>
    <w:rsid w:val="008D6292"/>
    <w:rsid w:val="008F0047"/>
    <w:rsid w:val="00926E61"/>
    <w:rsid w:val="009305CB"/>
    <w:rsid w:val="00947299"/>
    <w:rsid w:val="00967089"/>
    <w:rsid w:val="00972322"/>
    <w:rsid w:val="00974F64"/>
    <w:rsid w:val="00977BC2"/>
    <w:rsid w:val="009A4AB5"/>
    <w:rsid w:val="009A7870"/>
    <w:rsid w:val="009B2B42"/>
    <w:rsid w:val="009C4275"/>
    <w:rsid w:val="009D0C90"/>
    <w:rsid w:val="009D1643"/>
    <w:rsid w:val="00A048B4"/>
    <w:rsid w:val="00A05500"/>
    <w:rsid w:val="00A346A0"/>
    <w:rsid w:val="00A40ACC"/>
    <w:rsid w:val="00A915B2"/>
    <w:rsid w:val="00AA08DC"/>
    <w:rsid w:val="00AB50B1"/>
    <w:rsid w:val="00AD31A6"/>
    <w:rsid w:val="00AD3F7C"/>
    <w:rsid w:val="00AD4051"/>
    <w:rsid w:val="00AE6469"/>
    <w:rsid w:val="00AF2A5A"/>
    <w:rsid w:val="00B105FC"/>
    <w:rsid w:val="00B15E67"/>
    <w:rsid w:val="00B168C3"/>
    <w:rsid w:val="00B20849"/>
    <w:rsid w:val="00B32268"/>
    <w:rsid w:val="00B439CA"/>
    <w:rsid w:val="00B47E4B"/>
    <w:rsid w:val="00B51AA6"/>
    <w:rsid w:val="00B57E86"/>
    <w:rsid w:val="00B616C0"/>
    <w:rsid w:val="00B730FB"/>
    <w:rsid w:val="00B82737"/>
    <w:rsid w:val="00B935DC"/>
    <w:rsid w:val="00B93AAC"/>
    <w:rsid w:val="00B97E52"/>
    <w:rsid w:val="00BC5E44"/>
    <w:rsid w:val="00BE19FF"/>
    <w:rsid w:val="00BF5AA4"/>
    <w:rsid w:val="00C06BE0"/>
    <w:rsid w:val="00C170CB"/>
    <w:rsid w:val="00C427AD"/>
    <w:rsid w:val="00C45E46"/>
    <w:rsid w:val="00C658CA"/>
    <w:rsid w:val="00C66B25"/>
    <w:rsid w:val="00C75431"/>
    <w:rsid w:val="00C9636B"/>
    <w:rsid w:val="00CA624E"/>
    <w:rsid w:val="00CC0D5C"/>
    <w:rsid w:val="00CD24AA"/>
    <w:rsid w:val="00CD31E5"/>
    <w:rsid w:val="00D51BED"/>
    <w:rsid w:val="00D5560A"/>
    <w:rsid w:val="00D74914"/>
    <w:rsid w:val="00D9794D"/>
    <w:rsid w:val="00DB5683"/>
    <w:rsid w:val="00DC0BD9"/>
    <w:rsid w:val="00DD5EFA"/>
    <w:rsid w:val="00E52769"/>
    <w:rsid w:val="00E53998"/>
    <w:rsid w:val="00E76B27"/>
    <w:rsid w:val="00EB4D38"/>
    <w:rsid w:val="00EC19B3"/>
    <w:rsid w:val="00EC3678"/>
    <w:rsid w:val="00EC5187"/>
    <w:rsid w:val="00EE26D5"/>
    <w:rsid w:val="00F06BF7"/>
    <w:rsid w:val="00F26BEC"/>
    <w:rsid w:val="00F401BE"/>
    <w:rsid w:val="00F5234D"/>
    <w:rsid w:val="00F64F36"/>
    <w:rsid w:val="00F67D5D"/>
    <w:rsid w:val="00F7024B"/>
    <w:rsid w:val="00F72245"/>
    <w:rsid w:val="00FC0D0E"/>
    <w:rsid w:val="00FF6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D470"/>
  <w15:chartTrackingRefBased/>
  <w15:docId w15:val="{D1257D54-1035-408F-B50F-48F91577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2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234D"/>
    <w:pPr>
      <w:ind w:left="720"/>
      <w:contextualSpacing/>
    </w:pPr>
  </w:style>
  <w:style w:type="paragraph" w:styleId="Bibliography">
    <w:name w:val="Bibliography"/>
    <w:basedOn w:val="Normal"/>
    <w:next w:val="Normal"/>
    <w:uiPriority w:val="37"/>
    <w:unhideWhenUsed/>
    <w:rsid w:val="006A3F55"/>
    <w:pPr>
      <w:tabs>
        <w:tab w:val="left" w:pos="384"/>
      </w:tabs>
      <w:spacing w:after="0" w:line="480" w:lineRule="auto"/>
      <w:ind w:left="384" w:hanging="384"/>
    </w:pPr>
  </w:style>
  <w:style w:type="character" w:styleId="Hyperlink">
    <w:name w:val="Hyperlink"/>
    <w:basedOn w:val="DefaultParagraphFont"/>
    <w:uiPriority w:val="99"/>
    <w:unhideWhenUsed/>
    <w:rsid w:val="00634D8C"/>
    <w:rPr>
      <w:color w:val="0563C1" w:themeColor="hyperlink"/>
      <w:u w:val="single"/>
    </w:rPr>
  </w:style>
  <w:style w:type="character" w:styleId="UnresolvedMention">
    <w:name w:val="Unresolved Mention"/>
    <w:basedOn w:val="DefaultParagraphFont"/>
    <w:uiPriority w:val="99"/>
    <w:semiHidden/>
    <w:unhideWhenUsed/>
    <w:rsid w:val="00634D8C"/>
    <w:rPr>
      <w:color w:val="605E5C"/>
      <w:shd w:val="clear" w:color="auto" w:fill="E1DFDD"/>
    </w:rPr>
  </w:style>
  <w:style w:type="character" w:styleId="FollowedHyperlink">
    <w:name w:val="FollowedHyperlink"/>
    <w:basedOn w:val="DefaultParagraphFont"/>
    <w:uiPriority w:val="99"/>
    <w:semiHidden/>
    <w:unhideWhenUsed/>
    <w:rsid w:val="00C427AD"/>
    <w:rPr>
      <w:color w:val="954F72" w:themeColor="followedHyperlink"/>
      <w:u w:val="single"/>
    </w:rPr>
  </w:style>
  <w:style w:type="character" w:styleId="CommentReference">
    <w:name w:val="annotation reference"/>
    <w:basedOn w:val="DefaultParagraphFont"/>
    <w:uiPriority w:val="99"/>
    <w:semiHidden/>
    <w:unhideWhenUsed/>
    <w:rsid w:val="00136A90"/>
    <w:rPr>
      <w:sz w:val="16"/>
      <w:szCs w:val="16"/>
    </w:rPr>
  </w:style>
  <w:style w:type="paragraph" w:styleId="CommentText">
    <w:name w:val="annotation text"/>
    <w:basedOn w:val="Normal"/>
    <w:link w:val="CommentTextChar"/>
    <w:uiPriority w:val="99"/>
    <w:unhideWhenUsed/>
    <w:rsid w:val="00136A90"/>
    <w:pPr>
      <w:spacing w:line="240" w:lineRule="auto"/>
    </w:pPr>
    <w:rPr>
      <w:sz w:val="20"/>
      <w:szCs w:val="20"/>
    </w:rPr>
  </w:style>
  <w:style w:type="character" w:customStyle="1" w:styleId="CommentTextChar">
    <w:name w:val="Comment Text Char"/>
    <w:basedOn w:val="DefaultParagraphFont"/>
    <w:link w:val="CommentText"/>
    <w:uiPriority w:val="99"/>
    <w:rsid w:val="00136A90"/>
    <w:rPr>
      <w:sz w:val="20"/>
      <w:szCs w:val="20"/>
    </w:rPr>
  </w:style>
  <w:style w:type="paragraph" w:styleId="CommentSubject">
    <w:name w:val="annotation subject"/>
    <w:basedOn w:val="CommentText"/>
    <w:next w:val="CommentText"/>
    <w:link w:val="CommentSubjectChar"/>
    <w:uiPriority w:val="99"/>
    <w:semiHidden/>
    <w:unhideWhenUsed/>
    <w:rsid w:val="00136A90"/>
    <w:rPr>
      <w:b/>
      <w:bCs/>
    </w:rPr>
  </w:style>
  <w:style w:type="character" w:customStyle="1" w:styleId="CommentSubjectChar">
    <w:name w:val="Comment Subject Char"/>
    <w:basedOn w:val="CommentTextChar"/>
    <w:link w:val="CommentSubject"/>
    <w:uiPriority w:val="99"/>
    <w:semiHidden/>
    <w:rsid w:val="00136A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3543">
      <w:bodyDiv w:val="1"/>
      <w:marLeft w:val="0"/>
      <w:marRight w:val="0"/>
      <w:marTop w:val="0"/>
      <w:marBottom w:val="0"/>
      <w:divBdr>
        <w:top w:val="none" w:sz="0" w:space="0" w:color="auto"/>
        <w:left w:val="none" w:sz="0" w:space="0" w:color="auto"/>
        <w:bottom w:val="none" w:sz="0" w:space="0" w:color="auto"/>
        <w:right w:val="none" w:sz="0" w:space="0" w:color="auto"/>
      </w:divBdr>
    </w:div>
    <w:div w:id="70548492">
      <w:bodyDiv w:val="1"/>
      <w:marLeft w:val="0"/>
      <w:marRight w:val="0"/>
      <w:marTop w:val="0"/>
      <w:marBottom w:val="0"/>
      <w:divBdr>
        <w:top w:val="none" w:sz="0" w:space="0" w:color="auto"/>
        <w:left w:val="none" w:sz="0" w:space="0" w:color="auto"/>
        <w:bottom w:val="none" w:sz="0" w:space="0" w:color="auto"/>
        <w:right w:val="none" w:sz="0" w:space="0" w:color="auto"/>
      </w:divBdr>
    </w:div>
    <w:div w:id="92632344">
      <w:bodyDiv w:val="1"/>
      <w:marLeft w:val="0"/>
      <w:marRight w:val="0"/>
      <w:marTop w:val="0"/>
      <w:marBottom w:val="0"/>
      <w:divBdr>
        <w:top w:val="none" w:sz="0" w:space="0" w:color="auto"/>
        <w:left w:val="none" w:sz="0" w:space="0" w:color="auto"/>
        <w:bottom w:val="none" w:sz="0" w:space="0" w:color="auto"/>
        <w:right w:val="none" w:sz="0" w:space="0" w:color="auto"/>
      </w:divBdr>
    </w:div>
    <w:div w:id="105318421">
      <w:bodyDiv w:val="1"/>
      <w:marLeft w:val="0"/>
      <w:marRight w:val="0"/>
      <w:marTop w:val="0"/>
      <w:marBottom w:val="0"/>
      <w:divBdr>
        <w:top w:val="none" w:sz="0" w:space="0" w:color="auto"/>
        <w:left w:val="none" w:sz="0" w:space="0" w:color="auto"/>
        <w:bottom w:val="none" w:sz="0" w:space="0" w:color="auto"/>
        <w:right w:val="none" w:sz="0" w:space="0" w:color="auto"/>
      </w:divBdr>
    </w:div>
    <w:div w:id="241187788">
      <w:bodyDiv w:val="1"/>
      <w:marLeft w:val="0"/>
      <w:marRight w:val="0"/>
      <w:marTop w:val="0"/>
      <w:marBottom w:val="0"/>
      <w:divBdr>
        <w:top w:val="none" w:sz="0" w:space="0" w:color="auto"/>
        <w:left w:val="none" w:sz="0" w:space="0" w:color="auto"/>
        <w:bottom w:val="none" w:sz="0" w:space="0" w:color="auto"/>
        <w:right w:val="none" w:sz="0" w:space="0" w:color="auto"/>
      </w:divBdr>
    </w:div>
    <w:div w:id="250555564">
      <w:bodyDiv w:val="1"/>
      <w:marLeft w:val="0"/>
      <w:marRight w:val="0"/>
      <w:marTop w:val="0"/>
      <w:marBottom w:val="0"/>
      <w:divBdr>
        <w:top w:val="none" w:sz="0" w:space="0" w:color="auto"/>
        <w:left w:val="none" w:sz="0" w:space="0" w:color="auto"/>
        <w:bottom w:val="none" w:sz="0" w:space="0" w:color="auto"/>
        <w:right w:val="none" w:sz="0" w:space="0" w:color="auto"/>
      </w:divBdr>
    </w:div>
    <w:div w:id="273219843">
      <w:bodyDiv w:val="1"/>
      <w:marLeft w:val="0"/>
      <w:marRight w:val="0"/>
      <w:marTop w:val="0"/>
      <w:marBottom w:val="0"/>
      <w:divBdr>
        <w:top w:val="none" w:sz="0" w:space="0" w:color="auto"/>
        <w:left w:val="none" w:sz="0" w:space="0" w:color="auto"/>
        <w:bottom w:val="none" w:sz="0" w:space="0" w:color="auto"/>
        <w:right w:val="none" w:sz="0" w:space="0" w:color="auto"/>
      </w:divBdr>
    </w:div>
    <w:div w:id="420686074">
      <w:bodyDiv w:val="1"/>
      <w:marLeft w:val="0"/>
      <w:marRight w:val="0"/>
      <w:marTop w:val="0"/>
      <w:marBottom w:val="0"/>
      <w:divBdr>
        <w:top w:val="none" w:sz="0" w:space="0" w:color="auto"/>
        <w:left w:val="none" w:sz="0" w:space="0" w:color="auto"/>
        <w:bottom w:val="none" w:sz="0" w:space="0" w:color="auto"/>
        <w:right w:val="none" w:sz="0" w:space="0" w:color="auto"/>
      </w:divBdr>
    </w:div>
    <w:div w:id="506405957">
      <w:bodyDiv w:val="1"/>
      <w:marLeft w:val="0"/>
      <w:marRight w:val="0"/>
      <w:marTop w:val="0"/>
      <w:marBottom w:val="0"/>
      <w:divBdr>
        <w:top w:val="none" w:sz="0" w:space="0" w:color="auto"/>
        <w:left w:val="none" w:sz="0" w:space="0" w:color="auto"/>
        <w:bottom w:val="none" w:sz="0" w:space="0" w:color="auto"/>
        <w:right w:val="none" w:sz="0" w:space="0" w:color="auto"/>
      </w:divBdr>
    </w:div>
    <w:div w:id="516119872">
      <w:bodyDiv w:val="1"/>
      <w:marLeft w:val="0"/>
      <w:marRight w:val="0"/>
      <w:marTop w:val="0"/>
      <w:marBottom w:val="0"/>
      <w:divBdr>
        <w:top w:val="none" w:sz="0" w:space="0" w:color="auto"/>
        <w:left w:val="none" w:sz="0" w:space="0" w:color="auto"/>
        <w:bottom w:val="none" w:sz="0" w:space="0" w:color="auto"/>
        <w:right w:val="none" w:sz="0" w:space="0" w:color="auto"/>
      </w:divBdr>
    </w:div>
    <w:div w:id="617223617">
      <w:bodyDiv w:val="1"/>
      <w:marLeft w:val="0"/>
      <w:marRight w:val="0"/>
      <w:marTop w:val="0"/>
      <w:marBottom w:val="0"/>
      <w:divBdr>
        <w:top w:val="none" w:sz="0" w:space="0" w:color="auto"/>
        <w:left w:val="none" w:sz="0" w:space="0" w:color="auto"/>
        <w:bottom w:val="none" w:sz="0" w:space="0" w:color="auto"/>
        <w:right w:val="none" w:sz="0" w:space="0" w:color="auto"/>
      </w:divBdr>
    </w:div>
    <w:div w:id="633609302">
      <w:bodyDiv w:val="1"/>
      <w:marLeft w:val="0"/>
      <w:marRight w:val="0"/>
      <w:marTop w:val="0"/>
      <w:marBottom w:val="0"/>
      <w:divBdr>
        <w:top w:val="none" w:sz="0" w:space="0" w:color="auto"/>
        <w:left w:val="none" w:sz="0" w:space="0" w:color="auto"/>
        <w:bottom w:val="none" w:sz="0" w:space="0" w:color="auto"/>
        <w:right w:val="none" w:sz="0" w:space="0" w:color="auto"/>
      </w:divBdr>
    </w:div>
    <w:div w:id="788161871">
      <w:bodyDiv w:val="1"/>
      <w:marLeft w:val="0"/>
      <w:marRight w:val="0"/>
      <w:marTop w:val="0"/>
      <w:marBottom w:val="0"/>
      <w:divBdr>
        <w:top w:val="none" w:sz="0" w:space="0" w:color="auto"/>
        <w:left w:val="none" w:sz="0" w:space="0" w:color="auto"/>
        <w:bottom w:val="none" w:sz="0" w:space="0" w:color="auto"/>
        <w:right w:val="none" w:sz="0" w:space="0" w:color="auto"/>
      </w:divBdr>
    </w:div>
    <w:div w:id="924534733">
      <w:bodyDiv w:val="1"/>
      <w:marLeft w:val="0"/>
      <w:marRight w:val="0"/>
      <w:marTop w:val="0"/>
      <w:marBottom w:val="0"/>
      <w:divBdr>
        <w:top w:val="none" w:sz="0" w:space="0" w:color="auto"/>
        <w:left w:val="none" w:sz="0" w:space="0" w:color="auto"/>
        <w:bottom w:val="none" w:sz="0" w:space="0" w:color="auto"/>
        <w:right w:val="none" w:sz="0" w:space="0" w:color="auto"/>
      </w:divBdr>
      <w:divsChild>
        <w:div w:id="636885185">
          <w:marLeft w:val="0"/>
          <w:marRight w:val="0"/>
          <w:marTop w:val="0"/>
          <w:marBottom w:val="0"/>
          <w:divBdr>
            <w:top w:val="none" w:sz="0" w:space="0" w:color="auto"/>
            <w:left w:val="none" w:sz="0" w:space="0" w:color="auto"/>
            <w:bottom w:val="none" w:sz="0" w:space="0" w:color="auto"/>
            <w:right w:val="none" w:sz="0" w:space="0" w:color="auto"/>
          </w:divBdr>
          <w:divsChild>
            <w:div w:id="19796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0973">
      <w:bodyDiv w:val="1"/>
      <w:marLeft w:val="0"/>
      <w:marRight w:val="0"/>
      <w:marTop w:val="0"/>
      <w:marBottom w:val="0"/>
      <w:divBdr>
        <w:top w:val="none" w:sz="0" w:space="0" w:color="auto"/>
        <w:left w:val="none" w:sz="0" w:space="0" w:color="auto"/>
        <w:bottom w:val="none" w:sz="0" w:space="0" w:color="auto"/>
        <w:right w:val="none" w:sz="0" w:space="0" w:color="auto"/>
      </w:divBdr>
      <w:divsChild>
        <w:div w:id="2067874302">
          <w:marLeft w:val="0"/>
          <w:marRight w:val="0"/>
          <w:marTop w:val="0"/>
          <w:marBottom w:val="0"/>
          <w:divBdr>
            <w:top w:val="none" w:sz="0" w:space="0" w:color="auto"/>
            <w:left w:val="none" w:sz="0" w:space="0" w:color="auto"/>
            <w:bottom w:val="none" w:sz="0" w:space="0" w:color="auto"/>
            <w:right w:val="none" w:sz="0" w:space="0" w:color="auto"/>
          </w:divBdr>
          <w:divsChild>
            <w:div w:id="17699773">
              <w:marLeft w:val="0"/>
              <w:marRight w:val="0"/>
              <w:marTop w:val="0"/>
              <w:marBottom w:val="0"/>
              <w:divBdr>
                <w:top w:val="none" w:sz="0" w:space="0" w:color="auto"/>
                <w:left w:val="none" w:sz="0" w:space="0" w:color="auto"/>
                <w:bottom w:val="none" w:sz="0" w:space="0" w:color="auto"/>
                <w:right w:val="none" w:sz="0" w:space="0" w:color="auto"/>
              </w:divBdr>
            </w:div>
            <w:div w:id="1087533033">
              <w:marLeft w:val="0"/>
              <w:marRight w:val="0"/>
              <w:marTop w:val="0"/>
              <w:marBottom w:val="0"/>
              <w:divBdr>
                <w:top w:val="none" w:sz="0" w:space="0" w:color="auto"/>
                <w:left w:val="none" w:sz="0" w:space="0" w:color="auto"/>
                <w:bottom w:val="none" w:sz="0" w:space="0" w:color="auto"/>
                <w:right w:val="none" w:sz="0" w:space="0" w:color="auto"/>
              </w:divBdr>
            </w:div>
            <w:div w:id="1819765221">
              <w:marLeft w:val="0"/>
              <w:marRight w:val="0"/>
              <w:marTop w:val="0"/>
              <w:marBottom w:val="0"/>
              <w:divBdr>
                <w:top w:val="none" w:sz="0" w:space="0" w:color="auto"/>
                <w:left w:val="none" w:sz="0" w:space="0" w:color="auto"/>
                <w:bottom w:val="none" w:sz="0" w:space="0" w:color="auto"/>
                <w:right w:val="none" w:sz="0" w:space="0" w:color="auto"/>
              </w:divBdr>
            </w:div>
            <w:div w:id="4206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7573">
      <w:bodyDiv w:val="1"/>
      <w:marLeft w:val="0"/>
      <w:marRight w:val="0"/>
      <w:marTop w:val="0"/>
      <w:marBottom w:val="0"/>
      <w:divBdr>
        <w:top w:val="none" w:sz="0" w:space="0" w:color="auto"/>
        <w:left w:val="none" w:sz="0" w:space="0" w:color="auto"/>
        <w:bottom w:val="none" w:sz="0" w:space="0" w:color="auto"/>
        <w:right w:val="none" w:sz="0" w:space="0" w:color="auto"/>
      </w:divBdr>
      <w:divsChild>
        <w:div w:id="932014533">
          <w:marLeft w:val="0"/>
          <w:marRight w:val="0"/>
          <w:marTop w:val="0"/>
          <w:marBottom w:val="0"/>
          <w:divBdr>
            <w:top w:val="none" w:sz="0" w:space="0" w:color="auto"/>
            <w:left w:val="none" w:sz="0" w:space="0" w:color="auto"/>
            <w:bottom w:val="none" w:sz="0" w:space="0" w:color="auto"/>
            <w:right w:val="none" w:sz="0" w:space="0" w:color="auto"/>
          </w:divBdr>
          <w:divsChild>
            <w:div w:id="14086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3261">
      <w:bodyDiv w:val="1"/>
      <w:marLeft w:val="0"/>
      <w:marRight w:val="0"/>
      <w:marTop w:val="0"/>
      <w:marBottom w:val="0"/>
      <w:divBdr>
        <w:top w:val="none" w:sz="0" w:space="0" w:color="auto"/>
        <w:left w:val="none" w:sz="0" w:space="0" w:color="auto"/>
        <w:bottom w:val="none" w:sz="0" w:space="0" w:color="auto"/>
        <w:right w:val="none" w:sz="0" w:space="0" w:color="auto"/>
      </w:divBdr>
      <w:divsChild>
        <w:div w:id="739601494">
          <w:marLeft w:val="0"/>
          <w:marRight w:val="0"/>
          <w:marTop w:val="0"/>
          <w:marBottom w:val="0"/>
          <w:divBdr>
            <w:top w:val="none" w:sz="0" w:space="0" w:color="auto"/>
            <w:left w:val="none" w:sz="0" w:space="0" w:color="auto"/>
            <w:bottom w:val="none" w:sz="0" w:space="0" w:color="auto"/>
            <w:right w:val="none" w:sz="0" w:space="0" w:color="auto"/>
          </w:divBdr>
          <w:divsChild>
            <w:div w:id="1389646865">
              <w:marLeft w:val="0"/>
              <w:marRight w:val="0"/>
              <w:marTop w:val="0"/>
              <w:marBottom w:val="0"/>
              <w:divBdr>
                <w:top w:val="none" w:sz="0" w:space="0" w:color="auto"/>
                <w:left w:val="none" w:sz="0" w:space="0" w:color="auto"/>
                <w:bottom w:val="none" w:sz="0" w:space="0" w:color="auto"/>
                <w:right w:val="none" w:sz="0" w:space="0" w:color="auto"/>
              </w:divBdr>
            </w:div>
            <w:div w:id="687416796">
              <w:marLeft w:val="0"/>
              <w:marRight w:val="0"/>
              <w:marTop w:val="0"/>
              <w:marBottom w:val="0"/>
              <w:divBdr>
                <w:top w:val="none" w:sz="0" w:space="0" w:color="auto"/>
                <w:left w:val="none" w:sz="0" w:space="0" w:color="auto"/>
                <w:bottom w:val="none" w:sz="0" w:space="0" w:color="auto"/>
                <w:right w:val="none" w:sz="0" w:space="0" w:color="auto"/>
              </w:divBdr>
            </w:div>
            <w:div w:id="1809853619">
              <w:marLeft w:val="0"/>
              <w:marRight w:val="0"/>
              <w:marTop w:val="0"/>
              <w:marBottom w:val="0"/>
              <w:divBdr>
                <w:top w:val="none" w:sz="0" w:space="0" w:color="auto"/>
                <w:left w:val="none" w:sz="0" w:space="0" w:color="auto"/>
                <w:bottom w:val="none" w:sz="0" w:space="0" w:color="auto"/>
                <w:right w:val="none" w:sz="0" w:space="0" w:color="auto"/>
              </w:divBdr>
            </w:div>
            <w:div w:id="15582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1628">
      <w:bodyDiv w:val="1"/>
      <w:marLeft w:val="0"/>
      <w:marRight w:val="0"/>
      <w:marTop w:val="0"/>
      <w:marBottom w:val="0"/>
      <w:divBdr>
        <w:top w:val="none" w:sz="0" w:space="0" w:color="auto"/>
        <w:left w:val="none" w:sz="0" w:space="0" w:color="auto"/>
        <w:bottom w:val="none" w:sz="0" w:space="0" w:color="auto"/>
        <w:right w:val="none" w:sz="0" w:space="0" w:color="auto"/>
      </w:divBdr>
    </w:div>
    <w:div w:id="1181970369">
      <w:bodyDiv w:val="1"/>
      <w:marLeft w:val="0"/>
      <w:marRight w:val="0"/>
      <w:marTop w:val="0"/>
      <w:marBottom w:val="0"/>
      <w:divBdr>
        <w:top w:val="none" w:sz="0" w:space="0" w:color="auto"/>
        <w:left w:val="none" w:sz="0" w:space="0" w:color="auto"/>
        <w:bottom w:val="none" w:sz="0" w:space="0" w:color="auto"/>
        <w:right w:val="none" w:sz="0" w:space="0" w:color="auto"/>
      </w:divBdr>
    </w:div>
    <w:div w:id="1341395768">
      <w:bodyDiv w:val="1"/>
      <w:marLeft w:val="0"/>
      <w:marRight w:val="0"/>
      <w:marTop w:val="0"/>
      <w:marBottom w:val="0"/>
      <w:divBdr>
        <w:top w:val="none" w:sz="0" w:space="0" w:color="auto"/>
        <w:left w:val="none" w:sz="0" w:space="0" w:color="auto"/>
        <w:bottom w:val="none" w:sz="0" w:space="0" w:color="auto"/>
        <w:right w:val="none" w:sz="0" w:space="0" w:color="auto"/>
      </w:divBdr>
    </w:div>
    <w:div w:id="1392460999">
      <w:bodyDiv w:val="1"/>
      <w:marLeft w:val="0"/>
      <w:marRight w:val="0"/>
      <w:marTop w:val="0"/>
      <w:marBottom w:val="0"/>
      <w:divBdr>
        <w:top w:val="none" w:sz="0" w:space="0" w:color="auto"/>
        <w:left w:val="none" w:sz="0" w:space="0" w:color="auto"/>
        <w:bottom w:val="none" w:sz="0" w:space="0" w:color="auto"/>
        <w:right w:val="none" w:sz="0" w:space="0" w:color="auto"/>
      </w:divBdr>
      <w:divsChild>
        <w:div w:id="1399210661">
          <w:marLeft w:val="0"/>
          <w:marRight w:val="0"/>
          <w:marTop w:val="0"/>
          <w:marBottom w:val="0"/>
          <w:divBdr>
            <w:top w:val="none" w:sz="0" w:space="0" w:color="auto"/>
            <w:left w:val="none" w:sz="0" w:space="0" w:color="auto"/>
            <w:bottom w:val="none" w:sz="0" w:space="0" w:color="auto"/>
            <w:right w:val="none" w:sz="0" w:space="0" w:color="auto"/>
          </w:divBdr>
          <w:divsChild>
            <w:div w:id="1063791728">
              <w:marLeft w:val="0"/>
              <w:marRight w:val="0"/>
              <w:marTop w:val="0"/>
              <w:marBottom w:val="0"/>
              <w:divBdr>
                <w:top w:val="none" w:sz="0" w:space="0" w:color="auto"/>
                <w:left w:val="none" w:sz="0" w:space="0" w:color="auto"/>
                <w:bottom w:val="none" w:sz="0" w:space="0" w:color="auto"/>
                <w:right w:val="none" w:sz="0" w:space="0" w:color="auto"/>
              </w:divBdr>
            </w:div>
            <w:div w:id="1738942475">
              <w:marLeft w:val="0"/>
              <w:marRight w:val="0"/>
              <w:marTop w:val="0"/>
              <w:marBottom w:val="0"/>
              <w:divBdr>
                <w:top w:val="none" w:sz="0" w:space="0" w:color="auto"/>
                <w:left w:val="none" w:sz="0" w:space="0" w:color="auto"/>
                <w:bottom w:val="none" w:sz="0" w:space="0" w:color="auto"/>
                <w:right w:val="none" w:sz="0" w:space="0" w:color="auto"/>
              </w:divBdr>
            </w:div>
            <w:div w:id="995111674">
              <w:marLeft w:val="0"/>
              <w:marRight w:val="0"/>
              <w:marTop w:val="0"/>
              <w:marBottom w:val="0"/>
              <w:divBdr>
                <w:top w:val="none" w:sz="0" w:space="0" w:color="auto"/>
                <w:left w:val="none" w:sz="0" w:space="0" w:color="auto"/>
                <w:bottom w:val="none" w:sz="0" w:space="0" w:color="auto"/>
                <w:right w:val="none" w:sz="0" w:space="0" w:color="auto"/>
              </w:divBdr>
            </w:div>
            <w:div w:id="1077751249">
              <w:marLeft w:val="0"/>
              <w:marRight w:val="0"/>
              <w:marTop w:val="0"/>
              <w:marBottom w:val="0"/>
              <w:divBdr>
                <w:top w:val="none" w:sz="0" w:space="0" w:color="auto"/>
                <w:left w:val="none" w:sz="0" w:space="0" w:color="auto"/>
                <w:bottom w:val="none" w:sz="0" w:space="0" w:color="auto"/>
                <w:right w:val="none" w:sz="0" w:space="0" w:color="auto"/>
              </w:divBdr>
            </w:div>
            <w:div w:id="838302624">
              <w:marLeft w:val="0"/>
              <w:marRight w:val="0"/>
              <w:marTop w:val="0"/>
              <w:marBottom w:val="0"/>
              <w:divBdr>
                <w:top w:val="none" w:sz="0" w:space="0" w:color="auto"/>
                <w:left w:val="none" w:sz="0" w:space="0" w:color="auto"/>
                <w:bottom w:val="none" w:sz="0" w:space="0" w:color="auto"/>
                <w:right w:val="none" w:sz="0" w:space="0" w:color="auto"/>
              </w:divBdr>
            </w:div>
            <w:div w:id="14970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0337">
      <w:bodyDiv w:val="1"/>
      <w:marLeft w:val="0"/>
      <w:marRight w:val="0"/>
      <w:marTop w:val="0"/>
      <w:marBottom w:val="0"/>
      <w:divBdr>
        <w:top w:val="none" w:sz="0" w:space="0" w:color="auto"/>
        <w:left w:val="none" w:sz="0" w:space="0" w:color="auto"/>
        <w:bottom w:val="none" w:sz="0" w:space="0" w:color="auto"/>
        <w:right w:val="none" w:sz="0" w:space="0" w:color="auto"/>
      </w:divBdr>
    </w:div>
    <w:div w:id="1621914270">
      <w:bodyDiv w:val="1"/>
      <w:marLeft w:val="0"/>
      <w:marRight w:val="0"/>
      <w:marTop w:val="0"/>
      <w:marBottom w:val="0"/>
      <w:divBdr>
        <w:top w:val="none" w:sz="0" w:space="0" w:color="auto"/>
        <w:left w:val="none" w:sz="0" w:space="0" w:color="auto"/>
        <w:bottom w:val="none" w:sz="0" w:space="0" w:color="auto"/>
        <w:right w:val="none" w:sz="0" w:space="0" w:color="auto"/>
      </w:divBdr>
    </w:div>
    <w:div w:id="1715618353">
      <w:bodyDiv w:val="1"/>
      <w:marLeft w:val="0"/>
      <w:marRight w:val="0"/>
      <w:marTop w:val="0"/>
      <w:marBottom w:val="0"/>
      <w:divBdr>
        <w:top w:val="none" w:sz="0" w:space="0" w:color="auto"/>
        <w:left w:val="none" w:sz="0" w:space="0" w:color="auto"/>
        <w:bottom w:val="none" w:sz="0" w:space="0" w:color="auto"/>
        <w:right w:val="none" w:sz="0" w:space="0" w:color="auto"/>
      </w:divBdr>
      <w:divsChild>
        <w:div w:id="2002731319">
          <w:marLeft w:val="0"/>
          <w:marRight w:val="0"/>
          <w:marTop w:val="0"/>
          <w:marBottom w:val="0"/>
          <w:divBdr>
            <w:top w:val="none" w:sz="0" w:space="0" w:color="auto"/>
            <w:left w:val="none" w:sz="0" w:space="0" w:color="auto"/>
            <w:bottom w:val="none" w:sz="0" w:space="0" w:color="auto"/>
            <w:right w:val="none" w:sz="0" w:space="0" w:color="auto"/>
          </w:divBdr>
          <w:divsChild>
            <w:div w:id="1033306123">
              <w:marLeft w:val="0"/>
              <w:marRight w:val="0"/>
              <w:marTop w:val="0"/>
              <w:marBottom w:val="0"/>
              <w:divBdr>
                <w:top w:val="none" w:sz="0" w:space="0" w:color="auto"/>
                <w:left w:val="none" w:sz="0" w:space="0" w:color="auto"/>
                <w:bottom w:val="none" w:sz="0" w:space="0" w:color="auto"/>
                <w:right w:val="none" w:sz="0" w:space="0" w:color="auto"/>
              </w:divBdr>
            </w:div>
            <w:div w:id="500701403">
              <w:marLeft w:val="0"/>
              <w:marRight w:val="0"/>
              <w:marTop w:val="0"/>
              <w:marBottom w:val="0"/>
              <w:divBdr>
                <w:top w:val="none" w:sz="0" w:space="0" w:color="auto"/>
                <w:left w:val="none" w:sz="0" w:space="0" w:color="auto"/>
                <w:bottom w:val="none" w:sz="0" w:space="0" w:color="auto"/>
                <w:right w:val="none" w:sz="0" w:space="0" w:color="auto"/>
              </w:divBdr>
            </w:div>
            <w:div w:id="149443251">
              <w:marLeft w:val="0"/>
              <w:marRight w:val="0"/>
              <w:marTop w:val="0"/>
              <w:marBottom w:val="0"/>
              <w:divBdr>
                <w:top w:val="none" w:sz="0" w:space="0" w:color="auto"/>
                <w:left w:val="none" w:sz="0" w:space="0" w:color="auto"/>
                <w:bottom w:val="none" w:sz="0" w:space="0" w:color="auto"/>
                <w:right w:val="none" w:sz="0" w:space="0" w:color="auto"/>
              </w:divBdr>
            </w:div>
            <w:div w:id="850874746">
              <w:marLeft w:val="0"/>
              <w:marRight w:val="0"/>
              <w:marTop w:val="0"/>
              <w:marBottom w:val="0"/>
              <w:divBdr>
                <w:top w:val="none" w:sz="0" w:space="0" w:color="auto"/>
                <w:left w:val="none" w:sz="0" w:space="0" w:color="auto"/>
                <w:bottom w:val="none" w:sz="0" w:space="0" w:color="auto"/>
                <w:right w:val="none" w:sz="0" w:space="0" w:color="auto"/>
              </w:divBdr>
            </w:div>
            <w:div w:id="1166363574">
              <w:marLeft w:val="0"/>
              <w:marRight w:val="0"/>
              <w:marTop w:val="0"/>
              <w:marBottom w:val="0"/>
              <w:divBdr>
                <w:top w:val="none" w:sz="0" w:space="0" w:color="auto"/>
                <w:left w:val="none" w:sz="0" w:space="0" w:color="auto"/>
                <w:bottom w:val="none" w:sz="0" w:space="0" w:color="auto"/>
                <w:right w:val="none" w:sz="0" w:space="0" w:color="auto"/>
              </w:divBdr>
            </w:div>
            <w:div w:id="3516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0142">
      <w:bodyDiv w:val="1"/>
      <w:marLeft w:val="0"/>
      <w:marRight w:val="0"/>
      <w:marTop w:val="0"/>
      <w:marBottom w:val="0"/>
      <w:divBdr>
        <w:top w:val="none" w:sz="0" w:space="0" w:color="auto"/>
        <w:left w:val="none" w:sz="0" w:space="0" w:color="auto"/>
        <w:bottom w:val="none" w:sz="0" w:space="0" w:color="auto"/>
        <w:right w:val="none" w:sz="0" w:space="0" w:color="auto"/>
      </w:divBdr>
    </w:div>
    <w:div w:id="1830093402">
      <w:bodyDiv w:val="1"/>
      <w:marLeft w:val="0"/>
      <w:marRight w:val="0"/>
      <w:marTop w:val="0"/>
      <w:marBottom w:val="0"/>
      <w:divBdr>
        <w:top w:val="none" w:sz="0" w:space="0" w:color="auto"/>
        <w:left w:val="none" w:sz="0" w:space="0" w:color="auto"/>
        <w:bottom w:val="none" w:sz="0" w:space="0" w:color="auto"/>
        <w:right w:val="none" w:sz="0" w:space="0" w:color="auto"/>
      </w:divBdr>
    </w:div>
    <w:div w:id="1882549905">
      <w:bodyDiv w:val="1"/>
      <w:marLeft w:val="0"/>
      <w:marRight w:val="0"/>
      <w:marTop w:val="0"/>
      <w:marBottom w:val="0"/>
      <w:divBdr>
        <w:top w:val="none" w:sz="0" w:space="0" w:color="auto"/>
        <w:left w:val="none" w:sz="0" w:space="0" w:color="auto"/>
        <w:bottom w:val="none" w:sz="0" w:space="0" w:color="auto"/>
        <w:right w:val="none" w:sz="0" w:space="0" w:color="auto"/>
      </w:divBdr>
    </w:div>
    <w:div w:id="2023051110">
      <w:bodyDiv w:val="1"/>
      <w:marLeft w:val="0"/>
      <w:marRight w:val="0"/>
      <w:marTop w:val="0"/>
      <w:marBottom w:val="0"/>
      <w:divBdr>
        <w:top w:val="none" w:sz="0" w:space="0" w:color="auto"/>
        <w:left w:val="none" w:sz="0" w:space="0" w:color="auto"/>
        <w:bottom w:val="none" w:sz="0" w:space="0" w:color="auto"/>
        <w:right w:val="none" w:sz="0" w:space="0" w:color="auto"/>
      </w:divBdr>
    </w:div>
    <w:div w:id="2106345168">
      <w:bodyDiv w:val="1"/>
      <w:marLeft w:val="0"/>
      <w:marRight w:val="0"/>
      <w:marTop w:val="0"/>
      <w:marBottom w:val="0"/>
      <w:divBdr>
        <w:top w:val="none" w:sz="0" w:space="0" w:color="auto"/>
        <w:left w:val="none" w:sz="0" w:space="0" w:color="auto"/>
        <w:bottom w:val="none" w:sz="0" w:space="0" w:color="auto"/>
        <w:right w:val="none" w:sz="0" w:space="0" w:color="auto"/>
      </w:divBdr>
    </w:div>
    <w:div w:id="214087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es.healthtech.dtu.dk/services/NetChop-3.1/" TargetMode="External"/><Relationship Id="rId13" Type="http://schemas.openxmlformats.org/officeDocument/2006/relationships/hyperlink" Target="https://www.ncbi.nlm.nih.gov/pmc/articles/PMC380844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iralzone.expasy.org/678" TargetMode="External"/><Relationship Id="rId12" Type="http://schemas.openxmlformats.org/officeDocument/2006/relationships/hyperlink" Target="https://www.bv-brc.org/" TargetMode="External"/><Relationship Id="rId17" Type="http://schemas.openxmlformats.org/officeDocument/2006/relationships/hyperlink" Target="https://www.nature.com/articles/s41569-019-0258-2" TargetMode="External"/><Relationship Id="rId2" Type="http://schemas.openxmlformats.org/officeDocument/2006/relationships/numbering" Target="numbering.xml"/><Relationship Id="rId16" Type="http://schemas.openxmlformats.org/officeDocument/2006/relationships/hyperlink" Target="https://www.mblbio.com/bio/g/product/allergy-Immunology/pickup/mhctetramer-feature.html" TargetMode="External"/><Relationship Id="rId1" Type="http://schemas.openxmlformats.org/officeDocument/2006/relationships/customXml" Target="../customXml/item1.xml"/><Relationship Id="rId6" Type="http://schemas.openxmlformats.org/officeDocument/2006/relationships/hyperlink" Target="https://nextgen-tools.iedb.org/pipeline" TargetMode="External"/><Relationship Id="rId11" Type="http://schemas.openxmlformats.org/officeDocument/2006/relationships/hyperlink" Target="https://services.healthtech.dtu.dk/services/NetMHCpan-4.1/" TargetMode="External"/><Relationship Id="rId5" Type="http://schemas.openxmlformats.org/officeDocument/2006/relationships/webSettings" Target="webSettings.xml"/><Relationship Id="rId15" Type="http://schemas.openxmlformats.org/officeDocument/2006/relationships/hyperlink" Target="https://services.healthtech.dtu.dk/services/NetMHCIIpan-4.0/" TargetMode="External"/><Relationship Id="rId10" Type="http://schemas.openxmlformats.org/officeDocument/2006/relationships/hyperlink" Target="http://www.imtech.res.in/raghava/pcleav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med.med.ucm.es/Tools/pcps/" TargetMode="External"/><Relationship Id="rId14" Type="http://schemas.openxmlformats.org/officeDocument/2006/relationships/hyperlink" Target="https://viralzone.expasy.org/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6EC7C-AE10-4FC5-AF3F-227E64131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11794</TotalTime>
  <Pages>1</Pages>
  <Words>15083</Words>
  <Characters>85977</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Muhammad</dc:creator>
  <cp:keywords/>
  <dc:description/>
  <cp:lastModifiedBy>Shaikh, Muhammad</cp:lastModifiedBy>
  <cp:revision>141</cp:revision>
  <dcterms:created xsi:type="dcterms:W3CDTF">2023-05-02T14:15:00Z</dcterms:created>
  <dcterms:modified xsi:type="dcterms:W3CDTF">2023-06-30T08:38:00Z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id="hd7qp0pI"/&gt;&lt;style id="http://www.zotero.org/styles/nature" hasBibliography="1" bibliographyStyleHasBeenSet="1"/&gt;&lt;prefs&gt;&lt;pref name="fieldType" value="Field"/&gt;&lt;/prefs&gt;&lt;/data&gt;</vt:lpwstr>
  </property>
</Properties>
</file>