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sz w:val="32"/>
        </w:rPr>
        <w:t>UNIVERSITY OF VAASA</w:t>
      </w:r>
    </w:p>
    <w:p>
      <w:pPr>
        <w:jc w:val="center"/>
      </w:pPr>
      <w:r>
        <w:rPr>
          <w:rFonts w:ascii="Calibri" w:hAnsi="Calibri"/>
          <w:sz w:val="24"/>
        </w:rPr>
        <w:t>School of Technology and Innovations</w:t>
      </w:r>
    </w:p>
    <w:p>
      <w:pPr>
        <w:spacing w:after="720"/>
      </w:pPr>
    </w:p>
    <w:p>
      <w:pPr>
        <w:spacing w:after="600"/>
        <w:jc w:val="center"/>
      </w:pPr>
      <w:r>
        <w:rPr>
          <w:rFonts w:ascii="Calibri" w:hAnsi="Calibri"/>
          <w:b/>
          <w:sz w:val="36"/>
        </w:rPr>
        <w:t>Design and Implementation of a Hybrid Earth Observation Data Infrastructure for Research and Education: A Case Study of Kvarken Space Center</w:t>
      </w:r>
    </w:p>
    <w:p>
      <w:pPr>
        <w:jc w:val="center"/>
      </w:pPr>
      <w:r>
        <w:rPr>
          <w:rFonts w:ascii="Calibri" w:hAnsi="Calibri"/>
          <w:b/>
          <w:sz w:val="26"/>
        </w:rPr>
        <w:t>Master's Thesis</w:t>
      </w:r>
    </w:p>
    <w:p>
      <w:pPr>
        <w:jc w:val="center"/>
      </w:pPr>
      <w:r>
        <w:rPr>
          <w:rFonts w:ascii="Calibri" w:hAnsi="Calibri"/>
          <w:sz w:val="24"/>
        </w:rPr>
        <w:t>Master's Degree Programme in Computing Sciences</w:t>
        <w:br/>
      </w:r>
      <w:r>
        <w:rPr>
          <w:rFonts w:ascii="Calibri" w:hAnsi="Calibri"/>
          <w:sz w:val="24"/>
        </w:rPr>
        <w:t>Major: Artificial Intelligence and Data Engineering</w:t>
        <w:br/>
      </w:r>
      <w:r>
        <w:rPr>
          <w:rFonts w:ascii="Calibri" w:hAnsi="Calibri"/>
          <w:sz w:val="24"/>
        </w:rPr>
        <w:br/>
      </w:r>
      <w:r>
        <w:rPr>
          <w:rFonts w:ascii="Calibri" w:hAnsi="Calibri"/>
          <w:sz w:val="24"/>
        </w:rPr>
        <w:t>Daniel Ebrahimzadeh Esfahani</w:t>
        <w:br/>
      </w:r>
      <w:r>
        <w:rPr>
          <w:rFonts w:ascii="Calibri" w:hAnsi="Calibri"/>
          <w:sz w:val="24"/>
        </w:rPr>
        <w:br/>
      </w:r>
      <w:r>
        <w:rPr>
          <w:rFonts w:ascii="Calibri" w:hAnsi="Calibri"/>
          <w:sz w:val="24"/>
        </w:rPr>
        <w:t>Supervisor: Professor Ali Nadir Arslan</w:t>
        <w:br/>
      </w:r>
    </w:p>
    <w:p>
      <w:pPr>
        <w:spacing w:after="1080"/>
      </w:pPr>
    </w:p>
    <w:p>
      <w:pPr>
        <w:jc w:val="center"/>
      </w:pPr>
      <w:r>
        <w:rPr>
          <w:rFonts w:ascii="Calibri" w:hAnsi="Calibri"/>
          <w:sz w:val="24"/>
        </w:rPr>
        <w:t>Vaasa 2026</w:t>
      </w:r>
    </w:p>
    <w:p>
      <w:pPr>
        <w:sectPr>
          <w:footerReference w:type="default" r:id="rId10"/>
          <w:pgSz w:w="11906" w:h="16838"/>
          <w:pgMar w:top="1701" w:right="1701" w:bottom="1701" w:left="1701" w:header="850" w:footer="850" w:gutter="0"/>
          <w:cols w:space="720"/>
          <w:titlePg/>
          <w:docGrid w:linePitch="360"/>
        </w:sectPr>
      </w:pPr>
    </w:p>
    <w:p>
      <w:pPr>
        <w:pStyle w:val="Heading1"/>
        <w:jc w:val="left"/>
        <w:keepNext/>
      </w:pPr>
      <w:r>
        <w:t>ABSTRACT</w:t>
      </w:r>
    </w:p>
    <w:tbl>
      <w:tblPr>
        <w:tblStyle w:val="TableGrid"/>
        <w:tblW w:type="auto" w:w="0"/>
        <w:jc w:val="center"/>
        <w:tblLayout w:type="fixed"/>
        <w:tblLook w:firstColumn="1" w:firstRow="1" w:lastColumn="0" w:lastRow="0" w:noHBand="0" w:noVBand="1" w:val="04A0"/>
      </w:tblPr>
      <w:tblGrid>
        <w:gridCol w:w="4252"/>
        <w:gridCol w:w="4252"/>
      </w:tblGrid>
      <w:tr>
        <w:tc>
          <w:tcPr>
            <w:tcW w:type="dxa" w:w="1928"/>
            <w:tcMar>
              <w:top w:w="15" w:type="dxa"/>
              <w:start w:w="50" w:type="dxa"/>
              <w:bottom w:w="15" w:type="dxa"/>
              <w:end w:w="50" w:type="dxa"/>
            </w:tcMar>
          </w:tcPr>
          <w:p>
            <w:pPr>
              <w:spacing w:line="240" w:lineRule="auto" w:after="0"/>
            </w:pPr>
            <w:r>
              <w:rPr>
                <w:rFonts w:ascii="Calibri" w:hAnsi="Calibri"/>
                <w:b/>
                <w:sz w:val="17"/>
              </w:rPr>
              <w:t>Author</w:t>
            </w:r>
          </w:p>
        </w:tc>
        <w:tc>
          <w:tcPr>
            <w:tcW w:type="dxa" w:w="6576"/>
            <w:tcMar>
              <w:top w:w="15" w:type="dxa"/>
              <w:start w:w="50" w:type="dxa"/>
              <w:bottom w:w="15" w:type="dxa"/>
              <w:end w:w="50" w:type="dxa"/>
            </w:tcMar>
          </w:tcPr>
          <w:p>
            <w:pPr>
              <w:spacing w:line="240" w:lineRule="auto" w:after="0"/>
            </w:pPr>
            <w:r>
              <w:rPr>
                <w:rFonts w:ascii="Calibri" w:hAnsi="Calibri"/>
                <w:sz w:val="17"/>
              </w:rPr>
              <w:t>Daniel Ebrahimzadeh Esfahani</w:t>
            </w:r>
          </w:p>
        </w:tc>
      </w:tr>
      <w:tr>
        <w:tc>
          <w:tcPr>
            <w:tcW w:type="dxa" w:w="1928"/>
            <w:tcMar>
              <w:top w:w="15" w:type="dxa"/>
              <w:start w:w="50" w:type="dxa"/>
              <w:bottom w:w="15" w:type="dxa"/>
              <w:end w:w="50" w:type="dxa"/>
            </w:tcMar>
          </w:tcPr>
          <w:p>
            <w:pPr>
              <w:spacing w:line="240" w:lineRule="auto" w:after="0"/>
            </w:pPr>
            <w:r>
              <w:rPr>
                <w:rFonts w:ascii="Calibri" w:hAnsi="Calibri"/>
                <w:b/>
                <w:sz w:val="17"/>
              </w:rPr>
              <w:t>Title</w:t>
            </w:r>
          </w:p>
        </w:tc>
        <w:tc>
          <w:tcPr>
            <w:tcW w:type="dxa" w:w="6576"/>
            <w:tcMar>
              <w:top w:w="15" w:type="dxa"/>
              <w:start w:w="50" w:type="dxa"/>
              <w:bottom w:w="15" w:type="dxa"/>
              <w:end w:w="50" w:type="dxa"/>
            </w:tcMar>
          </w:tcPr>
          <w:p>
            <w:pPr>
              <w:spacing w:line="240" w:lineRule="auto" w:after="0"/>
            </w:pPr>
            <w:r>
              <w:rPr>
                <w:rFonts w:ascii="Calibri" w:hAnsi="Calibri"/>
                <w:sz w:val="17"/>
              </w:rPr>
              <w:t>Design and Implementation of a Hybrid Earth Observation Data Infrastructure for Research and Education: A Case Study of Kvarken Space Center</w:t>
            </w:r>
          </w:p>
        </w:tc>
      </w:tr>
      <w:tr>
        <w:tc>
          <w:tcPr>
            <w:tcW w:type="dxa" w:w="1928"/>
            <w:tcMar>
              <w:top w:w="15" w:type="dxa"/>
              <w:start w:w="50" w:type="dxa"/>
              <w:bottom w:w="15" w:type="dxa"/>
              <w:end w:w="50" w:type="dxa"/>
            </w:tcMar>
          </w:tcPr>
          <w:p>
            <w:pPr>
              <w:spacing w:line="240" w:lineRule="auto" w:after="0"/>
            </w:pPr>
            <w:r>
              <w:rPr>
                <w:rFonts w:ascii="Calibri" w:hAnsi="Calibri"/>
                <w:b/>
                <w:sz w:val="17"/>
              </w:rPr>
              <w:t>Degree programme</w:t>
            </w:r>
          </w:p>
        </w:tc>
        <w:tc>
          <w:tcPr>
            <w:tcW w:type="dxa" w:w="6576"/>
            <w:tcMar>
              <w:top w:w="15" w:type="dxa"/>
              <w:start w:w="50" w:type="dxa"/>
              <w:bottom w:w="15" w:type="dxa"/>
              <w:end w:w="50" w:type="dxa"/>
            </w:tcMar>
          </w:tcPr>
          <w:p>
            <w:pPr>
              <w:spacing w:line="240" w:lineRule="auto" w:after="0"/>
            </w:pPr>
            <w:r>
              <w:rPr>
                <w:rFonts w:ascii="Calibri" w:hAnsi="Calibri"/>
                <w:sz w:val="17"/>
              </w:rPr>
              <w:t>Master's Degree Programme in Computing Sciences</w:t>
            </w:r>
          </w:p>
        </w:tc>
      </w:tr>
      <w:tr>
        <w:tc>
          <w:tcPr>
            <w:tcW w:type="dxa" w:w="1928"/>
            <w:tcMar>
              <w:top w:w="15" w:type="dxa"/>
              <w:start w:w="50" w:type="dxa"/>
              <w:bottom w:w="15" w:type="dxa"/>
              <w:end w:w="50" w:type="dxa"/>
            </w:tcMar>
          </w:tcPr>
          <w:p>
            <w:pPr>
              <w:spacing w:line="240" w:lineRule="auto" w:after="0"/>
            </w:pPr>
            <w:r>
              <w:rPr>
                <w:rFonts w:ascii="Calibri" w:hAnsi="Calibri"/>
                <w:b/>
                <w:sz w:val="17"/>
              </w:rPr>
              <w:t>Major</w:t>
            </w:r>
          </w:p>
        </w:tc>
        <w:tc>
          <w:tcPr>
            <w:tcW w:type="dxa" w:w="6576"/>
            <w:tcMar>
              <w:top w:w="15" w:type="dxa"/>
              <w:start w:w="50" w:type="dxa"/>
              <w:bottom w:w="15" w:type="dxa"/>
              <w:end w:w="50" w:type="dxa"/>
            </w:tcMar>
          </w:tcPr>
          <w:p>
            <w:pPr>
              <w:spacing w:line="240" w:lineRule="auto" w:after="0"/>
            </w:pPr>
            <w:r>
              <w:rPr>
                <w:rFonts w:ascii="Calibri" w:hAnsi="Calibri"/>
                <w:sz w:val="17"/>
              </w:rPr>
              <w:t>Artificial Intelligence and Data Engineering</w:t>
            </w:r>
          </w:p>
        </w:tc>
      </w:tr>
      <w:tr>
        <w:tc>
          <w:tcPr>
            <w:tcW w:type="dxa" w:w="1928"/>
            <w:tcMar>
              <w:top w:w="15" w:type="dxa"/>
              <w:start w:w="50" w:type="dxa"/>
              <w:bottom w:w="15" w:type="dxa"/>
              <w:end w:w="50" w:type="dxa"/>
            </w:tcMar>
          </w:tcPr>
          <w:p>
            <w:pPr>
              <w:spacing w:line="240" w:lineRule="auto" w:after="0"/>
            </w:pPr>
            <w:r>
              <w:rPr>
                <w:rFonts w:ascii="Calibri" w:hAnsi="Calibri"/>
                <w:b/>
                <w:sz w:val="17"/>
              </w:rPr>
              <w:t>Supervisor</w:t>
            </w:r>
          </w:p>
        </w:tc>
        <w:tc>
          <w:tcPr>
            <w:tcW w:type="dxa" w:w="6576"/>
            <w:tcMar>
              <w:top w:w="15" w:type="dxa"/>
              <w:start w:w="50" w:type="dxa"/>
              <w:bottom w:w="15" w:type="dxa"/>
              <w:end w:w="50" w:type="dxa"/>
            </w:tcMar>
          </w:tcPr>
          <w:p>
            <w:pPr>
              <w:spacing w:line="240" w:lineRule="auto" w:after="0"/>
            </w:pPr>
            <w:r>
              <w:rPr>
                <w:rFonts w:ascii="Calibri" w:hAnsi="Calibri"/>
                <w:sz w:val="17"/>
              </w:rPr>
              <w:t>Professor Ali Nadir Arslan</w:t>
            </w:r>
          </w:p>
        </w:tc>
      </w:tr>
      <w:tr>
        <w:tc>
          <w:tcPr>
            <w:tcW w:type="dxa" w:w="1928"/>
            <w:tcMar>
              <w:top w:w="15" w:type="dxa"/>
              <w:start w:w="50" w:type="dxa"/>
              <w:bottom w:w="15" w:type="dxa"/>
              <w:end w:w="50" w:type="dxa"/>
            </w:tcMar>
          </w:tcPr>
          <w:p>
            <w:pPr>
              <w:spacing w:line="240" w:lineRule="auto" w:after="0"/>
            </w:pPr>
            <w:r>
              <w:rPr>
                <w:rFonts w:ascii="Calibri" w:hAnsi="Calibri"/>
                <w:b/>
                <w:sz w:val="17"/>
              </w:rPr>
              <w:t>Year</w:t>
            </w:r>
          </w:p>
        </w:tc>
        <w:tc>
          <w:tcPr>
            <w:tcW w:type="dxa" w:w="6576"/>
            <w:tcMar>
              <w:top w:w="15" w:type="dxa"/>
              <w:start w:w="50" w:type="dxa"/>
              <w:bottom w:w="15" w:type="dxa"/>
              <w:end w:w="50" w:type="dxa"/>
            </w:tcMar>
          </w:tcPr>
          <w:p>
            <w:pPr>
              <w:spacing w:line="240" w:lineRule="auto" w:after="0"/>
            </w:pPr>
            <w:r>
              <w:rPr>
                <w:rFonts w:ascii="Calibri" w:hAnsi="Calibri"/>
                <w:sz w:val="17"/>
              </w:rPr>
              <w:t>2026</w:t>
            </w:r>
          </w:p>
        </w:tc>
      </w:tr>
      <w:tr>
        <w:tc>
          <w:tcPr>
            <w:tcW w:type="dxa" w:w="1928"/>
            <w:tcMar>
              <w:top w:w="15" w:type="dxa"/>
              <w:start w:w="50" w:type="dxa"/>
              <w:bottom w:w="15" w:type="dxa"/>
              <w:end w:w="50" w:type="dxa"/>
            </w:tcMar>
          </w:tcPr>
          <w:p>
            <w:pPr>
              <w:spacing w:line="240" w:lineRule="auto" w:after="0"/>
            </w:pPr>
            <w:r>
              <w:rPr>
                <w:rFonts w:ascii="Calibri" w:hAnsi="Calibri"/>
                <w:b/>
                <w:sz w:val="17"/>
              </w:rPr>
              <w:t>Keywords</w:t>
            </w:r>
          </w:p>
        </w:tc>
        <w:tc>
          <w:tcPr>
            <w:tcW w:type="dxa" w:w="6576"/>
            <w:tcMar>
              <w:top w:w="15" w:type="dxa"/>
              <w:start w:w="50" w:type="dxa"/>
              <w:bottom w:w="15" w:type="dxa"/>
              <w:end w:w="50" w:type="dxa"/>
            </w:tcMar>
          </w:tcPr>
          <w:p>
            <w:pPr>
              <w:spacing w:line="240" w:lineRule="auto" w:after="0"/>
            </w:pPr>
            <w:r>
              <w:rPr>
                <w:rFonts w:ascii="Calibri" w:hAnsi="Calibri"/>
                <w:sz w:val="17"/>
              </w:rPr>
              <w:t>Earth Observation; STAC; CDSE; data infrastructure; provenance; SQLite; bounded concurrency; reproducible research</w:t>
            </w:r>
          </w:p>
        </w:tc>
      </w:tr>
    </w:tbl>
    <w:p>
      <w:pPr>
        <w:spacing w:after="40"/>
      </w:pPr>
    </w:p>
    <w:p>
      <w:pPr>
        <w:spacing w:line="240" w:lineRule="auto" w:after="60"/>
        <w:jc w:val="both"/>
      </w:pPr>
      <w:r>
        <w:rPr>
          <w:rFonts w:ascii="Calibri" w:hAnsi="Calibri"/>
          <w:sz w:val="22"/>
        </w:rPr>
        <w:t>Earth Observation data infrastructures must connect external data providers, geospatial metadata, local storage, analytical processing, and reproducibility requirements. For a university research environment, this task is complicated by changing provider interfaces, authentication, rate limits, network failures, large raster products, and limited operational resources. This thesis designs and evaluates a hybrid Earth Observation data infrastructure in the Kvarken Space Center context. In this work, hybrid refers to the combination of external standards-based data access with local, reproducible storage and processing paths that can also operate with offline fixtures when live provider access is unavailable. The objective is to create an auditable research baseline that can ingest and validate Earth Observation metadata, preserve provenance, support regional queries, provide a lightweight analytical path, and remain understandable for research and educational demonstrations.</w:t>
      </w:r>
    </w:p>
    <w:p>
      <w:pPr>
        <w:spacing w:line="240" w:lineRule="auto" w:after="60"/>
        <w:jc w:val="both"/>
      </w:pPr>
      <w:r>
        <w:rPr>
          <w:rFonts w:ascii="Calibri" w:hAnsi="Calibri"/>
          <w:sz w:val="22"/>
        </w:rPr>
        <w:t>The study uses a design-and-evaluation engineering approach. Provider-specific responses are validated at the system boundary and transformed into a provider-neutral EOScene model. The implemented architecture includes STAC and Copernicus Data Space Ecosystem access concepts, OAuth2 token handling, bounded asynchronous ingestion, SHA-256 content addressing, append-only provenance manifests, a SQLite spatial catalog using write-ahead logging, deterministic Kvarken regional filtering, metadata quality profiling, range-based raster retrieval, NDVI calculation, reproducible experiment reports, and a read-only educational HTTP interface. The evaluation combines deterministic automated tests with a frozen synthetic metadata benchmark and a dated offline-fallback experiment artifact.</w:t>
      </w:r>
    </w:p>
    <w:p>
      <w:pPr>
        <w:spacing w:line="240" w:lineRule="auto" w:after="60"/>
        <w:jc w:val="both"/>
      </w:pPr>
      <w:r>
        <w:rPr>
          <w:rFonts w:ascii="Calibri" w:hAnsi="Calibri"/>
          <w:sz w:val="22"/>
        </w:rPr>
        <w:t>The results show that the implemented baseline can complete the controlled metadata ingestion path without losing valid scenes, can produce deterministic provenance and catalog records, and can support regional and quality queries in the tested local environment. Fault-oriented tests cover malformed payloads, timeouts, rate-limit recovery, token refresh, SQLite contention, raster calculations, and report stability. The evaluation does not demonstrate production Copernicus Data Space Ecosystem performance, full GeoTIFF processing, distributed scalability, or educational learning outcomes. These limitations are treated as part of the scientific boundary of the work rather than hidden behind broader performance claims.</w:t>
      </w:r>
    </w:p>
    <w:p>
      <w:pPr>
        <w:spacing w:line="240" w:lineRule="auto" w:after="60"/>
        <w:jc w:val="both"/>
      </w:pPr>
      <w:r>
        <w:rPr>
          <w:rFonts w:ascii="Calibri" w:hAnsi="Calibri"/>
          <w:sz w:val="22"/>
        </w:rPr>
        <w:t>The main contribution is an explicit and reproducible architecture for small-scale Earth Observation data engineering in a research setting. The work demonstrates how provider decoupling, typed validation, bounded concurrency, provenance preservation, embedded spatial indexing, lightweight raster analysis, and educational access can be integrated into one auditable pipeline. The thesis therefore contributes primarily an architectural and reproducibility baseline rather than a new remote-sensing algorithm.</w:t>
      </w:r>
    </w:p>
    <w:p>
      <w:pPr>
        <w:pStyle w:val="Heading1"/>
        <w:pageBreakBefore/>
        <w:jc w:val="left"/>
        <w:keepNext/>
      </w:pPr>
      <w:r>
        <w:t>CONTENTS</w:t>
      </w:r>
    </w:p>
    <w:p>
      <w:pPr>
        <w:tabs>
          <w:tab w:pos="8220" w:val="right" w:leader="dot"/>
        </w:tabs>
        <w:spacing w:line="240" w:lineRule="auto" w:before="0" w:after="0"/>
        <w:ind w:left="0"/>
      </w:pPr>
      <w:r>
        <w:rPr>
          <w:rFonts w:ascii="Calibri" w:hAnsi="Calibri"/>
          <w:b/>
          <w:sz w:val="19"/>
        </w:rPr>
        <w:t>ACKNOWLEDGEMENTS</w:t>
      </w:r>
      <w:r>
        <w:rPr>
          <w:rFonts w:ascii="Calibri" w:hAnsi="Calibri"/>
          <w:sz w:val="19"/>
        </w:rPr>
        <w:tab/>
        <w:t>5</w:t>
      </w:r>
    </w:p>
    <w:p>
      <w:pPr>
        <w:tabs>
          <w:tab w:pos="8220" w:val="right" w:leader="dot"/>
        </w:tabs>
        <w:spacing w:line="240" w:lineRule="auto" w:before="0" w:after="0"/>
        <w:ind w:left="0"/>
      </w:pPr>
      <w:r>
        <w:rPr>
          <w:rFonts w:ascii="Calibri" w:hAnsi="Calibri"/>
          <w:b/>
          <w:sz w:val="19"/>
        </w:rPr>
        <w:t>ABBREVIATIONS</w:t>
      </w:r>
      <w:r>
        <w:rPr>
          <w:rFonts w:ascii="Calibri" w:hAnsi="Calibri"/>
          <w:sz w:val="19"/>
        </w:rPr>
        <w:tab/>
        <w:t>6</w:t>
      </w:r>
    </w:p>
    <w:p>
      <w:pPr>
        <w:tabs>
          <w:tab w:pos="8220" w:val="right" w:leader="dot"/>
        </w:tabs>
        <w:spacing w:line="240" w:lineRule="auto" w:before="0" w:after="0"/>
        <w:ind w:left="0"/>
      </w:pPr>
      <w:r>
        <w:rPr>
          <w:rFonts w:ascii="Calibri" w:hAnsi="Calibri"/>
          <w:b/>
          <w:sz w:val="19"/>
        </w:rPr>
        <w:t>1 INTRODUCTION</w:t>
      </w:r>
      <w:r>
        <w:rPr>
          <w:rFonts w:ascii="Calibri" w:hAnsi="Calibri"/>
          <w:sz w:val="19"/>
        </w:rPr>
        <w:tab/>
        <w:t>7</w:t>
      </w:r>
    </w:p>
    <w:p>
      <w:pPr>
        <w:tabs>
          <w:tab w:pos="8220" w:val="right" w:leader="dot"/>
        </w:tabs>
        <w:spacing w:line="240" w:lineRule="auto" w:before="0" w:after="0"/>
        <w:ind w:left="369"/>
      </w:pPr>
      <w:r>
        <w:rPr>
          <w:rFonts w:ascii="Calibri" w:hAnsi="Calibri"/>
          <w:sz w:val="19"/>
        </w:rPr>
        <w:t>1.1 Motivation and research context</w:t>
      </w:r>
      <w:r>
        <w:rPr>
          <w:rFonts w:ascii="Calibri" w:hAnsi="Calibri"/>
          <w:sz w:val="19"/>
        </w:rPr>
        <w:tab/>
        <w:t>7</w:t>
      </w:r>
    </w:p>
    <w:p>
      <w:pPr>
        <w:tabs>
          <w:tab w:pos="8220" w:val="right" w:leader="dot"/>
        </w:tabs>
        <w:spacing w:line="240" w:lineRule="auto" w:before="0" w:after="0"/>
        <w:ind w:left="369"/>
      </w:pPr>
      <w:r>
        <w:rPr>
          <w:rFonts w:ascii="Calibri" w:hAnsi="Calibri"/>
          <w:sz w:val="19"/>
        </w:rPr>
        <w:t>1.2 Problem statement and research gap</w:t>
      </w:r>
      <w:r>
        <w:rPr>
          <w:rFonts w:ascii="Calibri" w:hAnsi="Calibri"/>
          <w:sz w:val="19"/>
        </w:rPr>
        <w:tab/>
        <w:t>8</w:t>
      </w:r>
    </w:p>
    <w:p>
      <w:pPr>
        <w:tabs>
          <w:tab w:pos="8220" w:val="right" w:leader="dot"/>
        </w:tabs>
        <w:spacing w:line="240" w:lineRule="auto" w:before="0" w:after="0"/>
        <w:ind w:left="369"/>
      </w:pPr>
      <w:r>
        <w:rPr>
          <w:rFonts w:ascii="Calibri" w:hAnsi="Calibri"/>
          <w:sz w:val="19"/>
        </w:rPr>
        <w:t>1.3 Objective and scope</w:t>
      </w:r>
      <w:r>
        <w:rPr>
          <w:rFonts w:ascii="Calibri" w:hAnsi="Calibri"/>
          <w:sz w:val="19"/>
        </w:rPr>
        <w:tab/>
        <w:t>9</w:t>
      </w:r>
    </w:p>
    <w:p>
      <w:pPr>
        <w:tabs>
          <w:tab w:pos="8220" w:val="right" w:leader="dot"/>
        </w:tabs>
        <w:spacing w:line="240" w:lineRule="auto" w:before="0" w:after="0"/>
        <w:ind w:left="369"/>
      </w:pPr>
      <w:r>
        <w:rPr>
          <w:rFonts w:ascii="Calibri" w:hAnsi="Calibri"/>
          <w:sz w:val="19"/>
        </w:rPr>
        <w:t>1.4 Research questions</w:t>
      </w:r>
      <w:r>
        <w:rPr>
          <w:rFonts w:ascii="Calibri" w:hAnsi="Calibri"/>
          <w:sz w:val="19"/>
        </w:rPr>
        <w:tab/>
        <w:t>9</w:t>
      </w:r>
    </w:p>
    <w:p>
      <w:pPr>
        <w:tabs>
          <w:tab w:pos="8220" w:val="right" w:leader="dot"/>
        </w:tabs>
        <w:spacing w:line="240" w:lineRule="auto" w:before="0" w:after="0"/>
        <w:ind w:left="369"/>
      </w:pPr>
      <w:r>
        <w:rPr>
          <w:rFonts w:ascii="Calibri" w:hAnsi="Calibri"/>
          <w:sz w:val="19"/>
        </w:rPr>
        <w:t>1.5 Contributions</w:t>
      </w:r>
      <w:r>
        <w:rPr>
          <w:rFonts w:ascii="Calibri" w:hAnsi="Calibri"/>
          <w:sz w:val="19"/>
        </w:rPr>
        <w:tab/>
        <w:t>10</w:t>
      </w:r>
    </w:p>
    <w:p>
      <w:pPr>
        <w:tabs>
          <w:tab w:pos="8220" w:val="right" w:leader="dot"/>
        </w:tabs>
        <w:spacing w:line="240" w:lineRule="auto" w:before="0" w:after="0"/>
        <w:ind w:left="369"/>
      </w:pPr>
      <w:r>
        <w:rPr>
          <w:rFonts w:ascii="Calibri" w:hAnsi="Calibri"/>
          <w:sz w:val="19"/>
        </w:rPr>
        <w:t>1.6 Structure of the thesis</w:t>
      </w:r>
      <w:r>
        <w:rPr>
          <w:rFonts w:ascii="Calibri" w:hAnsi="Calibri"/>
          <w:sz w:val="19"/>
        </w:rPr>
        <w:tab/>
        <w:t>10</w:t>
      </w:r>
    </w:p>
    <w:p>
      <w:pPr>
        <w:tabs>
          <w:tab w:pos="8220" w:val="right" w:leader="dot"/>
        </w:tabs>
        <w:spacing w:line="240" w:lineRule="auto" w:before="0" w:after="0"/>
        <w:ind w:left="0"/>
      </w:pPr>
      <w:r>
        <w:rPr>
          <w:rFonts w:ascii="Calibri" w:hAnsi="Calibri"/>
          <w:b/>
          <w:sz w:val="19"/>
        </w:rPr>
        <w:t>2 BACKGROUND AND LITERATURE REVIEW</w:t>
      </w:r>
      <w:r>
        <w:rPr>
          <w:rFonts w:ascii="Calibri" w:hAnsi="Calibri"/>
          <w:sz w:val="19"/>
        </w:rPr>
        <w:tab/>
        <w:t>10</w:t>
      </w:r>
    </w:p>
    <w:p>
      <w:pPr>
        <w:tabs>
          <w:tab w:pos="8220" w:val="right" w:leader="dot"/>
        </w:tabs>
        <w:spacing w:line="240" w:lineRule="auto" w:before="0" w:after="0"/>
        <w:ind w:left="369"/>
      </w:pPr>
      <w:r>
        <w:rPr>
          <w:rFonts w:ascii="Calibri" w:hAnsi="Calibri"/>
          <w:sz w:val="19"/>
        </w:rPr>
        <w:t>2.1 Earth Observation data as a research infrastructure problem</w:t>
      </w:r>
      <w:r>
        <w:rPr>
          <w:rFonts w:ascii="Calibri" w:hAnsi="Calibri"/>
          <w:sz w:val="19"/>
        </w:rPr>
        <w:tab/>
        <w:t>10</w:t>
      </w:r>
    </w:p>
    <w:p>
      <w:pPr>
        <w:tabs>
          <w:tab w:pos="8220" w:val="right" w:leader="dot"/>
        </w:tabs>
        <w:spacing w:line="240" w:lineRule="auto" w:before="0" w:after="0"/>
        <w:ind w:left="369"/>
      </w:pPr>
      <w:r>
        <w:rPr>
          <w:rFonts w:ascii="Calibri" w:hAnsi="Calibri"/>
          <w:sz w:val="19"/>
        </w:rPr>
        <w:t>2.2 Metadata interoperability: STAC and OGC</w:t>
      </w:r>
      <w:r>
        <w:rPr>
          <w:rFonts w:ascii="Calibri" w:hAnsi="Calibri"/>
          <w:sz w:val="19"/>
        </w:rPr>
        <w:tab/>
        <w:t>11</w:t>
      </w:r>
    </w:p>
    <w:p>
      <w:pPr>
        <w:tabs>
          <w:tab w:pos="8220" w:val="right" w:leader="dot"/>
        </w:tabs>
        <w:spacing w:line="240" w:lineRule="auto" w:before="0" w:after="0"/>
        <w:ind w:left="369"/>
      </w:pPr>
      <w:r>
        <w:rPr>
          <w:rFonts w:ascii="Calibri" w:hAnsi="Calibri"/>
          <w:sz w:val="19"/>
        </w:rPr>
        <w:t>2.3 Copernicus Data Space Ecosystem and authenticated access</w:t>
      </w:r>
      <w:r>
        <w:rPr>
          <w:rFonts w:ascii="Calibri" w:hAnsi="Calibri"/>
          <w:sz w:val="19"/>
        </w:rPr>
        <w:tab/>
        <w:t>12</w:t>
      </w:r>
    </w:p>
    <w:p>
      <w:pPr>
        <w:tabs>
          <w:tab w:pos="8220" w:val="right" w:leader="dot"/>
        </w:tabs>
        <w:spacing w:line="240" w:lineRule="auto" w:before="0" w:after="0"/>
        <w:ind w:left="369"/>
      </w:pPr>
      <w:r>
        <w:rPr>
          <w:rFonts w:ascii="Calibri" w:hAnsi="Calibri"/>
          <w:sz w:val="19"/>
        </w:rPr>
        <w:t>2.4 Provenance and reproducibility</w:t>
      </w:r>
      <w:r>
        <w:rPr>
          <w:rFonts w:ascii="Calibri" w:hAnsi="Calibri"/>
          <w:sz w:val="19"/>
        </w:rPr>
        <w:tab/>
        <w:t>12</w:t>
      </w:r>
    </w:p>
    <w:p>
      <w:pPr>
        <w:tabs>
          <w:tab w:pos="8220" w:val="right" w:leader="dot"/>
        </w:tabs>
        <w:spacing w:line="240" w:lineRule="auto" w:before="0" w:after="0"/>
        <w:ind w:left="369"/>
      </w:pPr>
      <w:r>
        <w:rPr>
          <w:rFonts w:ascii="Calibri" w:hAnsi="Calibri"/>
          <w:sz w:val="19"/>
        </w:rPr>
        <w:t>2.5 Embedded spatial persistence and SQLite WAL</w:t>
      </w:r>
      <w:r>
        <w:rPr>
          <w:rFonts w:ascii="Calibri" w:hAnsi="Calibri"/>
          <w:sz w:val="19"/>
        </w:rPr>
        <w:tab/>
        <w:t>13</w:t>
      </w:r>
    </w:p>
    <w:p>
      <w:pPr>
        <w:tabs>
          <w:tab w:pos="8220" w:val="right" w:leader="dot"/>
        </w:tabs>
        <w:spacing w:line="240" w:lineRule="auto" w:before="0" w:after="0"/>
        <w:ind w:left="369"/>
      </w:pPr>
      <w:r>
        <w:rPr>
          <w:rFonts w:ascii="Calibri" w:hAnsi="Calibri"/>
          <w:sz w:val="19"/>
        </w:rPr>
        <w:t>2.6 Operational definition of a hybrid EO infrastructure</w:t>
      </w:r>
      <w:r>
        <w:rPr>
          <w:rFonts w:ascii="Calibri" w:hAnsi="Calibri"/>
          <w:sz w:val="19"/>
        </w:rPr>
        <w:tab/>
        <w:t>13</w:t>
      </w:r>
    </w:p>
    <w:p>
      <w:pPr>
        <w:tabs>
          <w:tab w:pos="8220" w:val="right" w:leader="dot"/>
        </w:tabs>
        <w:spacing w:line="240" w:lineRule="auto" w:before="0" w:after="0"/>
        <w:ind w:left="369"/>
      </w:pPr>
      <w:r>
        <w:rPr>
          <w:rFonts w:ascii="Calibri" w:hAnsi="Calibri"/>
          <w:sz w:val="19"/>
        </w:rPr>
        <w:t>2.7 Literature synthesis and research gap</w:t>
      </w:r>
      <w:r>
        <w:rPr>
          <w:rFonts w:ascii="Calibri" w:hAnsi="Calibri"/>
          <w:sz w:val="19"/>
        </w:rPr>
        <w:tab/>
        <w:t>14</w:t>
      </w:r>
    </w:p>
    <w:p>
      <w:pPr>
        <w:tabs>
          <w:tab w:pos="8220" w:val="right" w:leader="dot"/>
        </w:tabs>
        <w:spacing w:line="240" w:lineRule="auto" w:before="0" w:after="0"/>
        <w:ind w:left="0"/>
      </w:pPr>
      <w:r>
        <w:rPr>
          <w:rFonts w:ascii="Calibri" w:hAnsi="Calibri"/>
          <w:b/>
          <w:sz w:val="19"/>
        </w:rPr>
        <w:t>3 METHODOLOGY</w:t>
      </w:r>
      <w:r>
        <w:rPr>
          <w:rFonts w:ascii="Calibri" w:hAnsi="Calibri"/>
          <w:sz w:val="19"/>
        </w:rPr>
        <w:tab/>
        <w:t>14</w:t>
      </w:r>
    </w:p>
    <w:p>
      <w:pPr>
        <w:tabs>
          <w:tab w:pos="8220" w:val="right" w:leader="dot"/>
        </w:tabs>
        <w:spacing w:line="240" w:lineRule="auto" w:before="0" w:after="0"/>
        <w:ind w:left="369"/>
      </w:pPr>
      <w:r>
        <w:rPr>
          <w:rFonts w:ascii="Calibri" w:hAnsi="Calibri"/>
          <w:sz w:val="19"/>
        </w:rPr>
        <w:t>3.1 Research design</w:t>
      </w:r>
      <w:r>
        <w:rPr>
          <w:rFonts w:ascii="Calibri" w:hAnsi="Calibri"/>
          <w:sz w:val="19"/>
        </w:rPr>
        <w:tab/>
        <w:t>14</w:t>
      </w:r>
    </w:p>
    <w:p>
      <w:pPr>
        <w:tabs>
          <w:tab w:pos="8220" w:val="right" w:leader="dot"/>
        </w:tabs>
        <w:spacing w:line="240" w:lineRule="auto" w:before="0" w:after="0"/>
        <w:ind w:left="369"/>
      </w:pPr>
      <w:r>
        <w:rPr>
          <w:rFonts w:ascii="Calibri" w:hAnsi="Calibri"/>
          <w:sz w:val="19"/>
        </w:rPr>
        <w:t>3.2 Research questions and evidence mapping</w:t>
      </w:r>
      <w:r>
        <w:rPr>
          <w:rFonts w:ascii="Calibri" w:hAnsi="Calibri"/>
          <w:sz w:val="19"/>
        </w:rPr>
        <w:tab/>
        <w:t>15</w:t>
      </w:r>
    </w:p>
    <w:p>
      <w:pPr>
        <w:tabs>
          <w:tab w:pos="8220" w:val="right" w:leader="dot"/>
        </w:tabs>
        <w:spacing w:line="240" w:lineRule="auto" w:before="0" w:after="0"/>
        <w:ind w:left="369"/>
      </w:pPr>
      <w:r>
        <w:rPr>
          <w:rFonts w:ascii="Calibri" w:hAnsi="Calibri"/>
          <w:sz w:val="19"/>
        </w:rPr>
        <w:t>3.3 Study context and system boundaries</w:t>
      </w:r>
      <w:r>
        <w:rPr>
          <w:rFonts w:ascii="Calibri" w:hAnsi="Calibri"/>
          <w:sz w:val="19"/>
        </w:rPr>
        <w:tab/>
        <w:t>15</w:t>
      </w:r>
    </w:p>
    <w:p>
      <w:pPr>
        <w:tabs>
          <w:tab w:pos="8220" w:val="right" w:leader="dot"/>
        </w:tabs>
        <w:spacing w:line="240" w:lineRule="auto" w:before="0" w:after="0"/>
        <w:ind w:left="369"/>
      </w:pPr>
      <w:r>
        <w:rPr>
          <w:rFonts w:ascii="Calibri" w:hAnsi="Calibri"/>
          <w:sz w:val="19"/>
        </w:rPr>
        <w:t>3.4 Implementation method</w:t>
      </w:r>
      <w:r>
        <w:rPr>
          <w:rFonts w:ascii="Calibri" w:hAnsi="Calibri"/>
          <w:sz w:val="19"/>
        </w:rPr>
        <w:tab/>
        <w:t>16</w:t>
      </w:r>
    </w:p>
    <w:p>
      <w:pPr>
        <w:tabs>
          <w:tab w:pos="8220" w:val="right" w:leader="dot"/>
        </w:tabs>
        <w:spacing w:line="240" w:lineRule="auto" w:before="0" w:after="0"/>
        <w:ind w:left="369"/>
      </w:pPr>
      <w:r>
        <w:rPr>
          <w:rFonts w:ascii="Calibri" w:hAnsi="Calibri"/>
          <w:sz w:val="19"/>
        </w:rPr>
        <w:t>3.5 Evaluation strategy</w:t>
      </w:r>
      <w:r>
        <w:rPr>
          <w:rFonts w:ascii="Calibri" w:hAnsi="Calibri"/>
          <w:sz w:val="19"/>
        </w:rPr>
        <w:tab/>
        <w:t>16</w:t>
      </w:r>
    </w:p>
    <w:p>
      <w:pPr>
        <w:tabs>
          <w:tab w:pos="8220" w:val="right" w:leader="dot"/>
        </w:tabs>
        <w:spacing w:line="240" w:lineRule="auto" w:before="0" w:after="0"/>
        <w:ind w:left="369"/>
      </w:pPr>
      <w:r>
        <w:rPr>
          <w:rFonts w:ascii="Calibri" w:hAnsi="Calibri"/>
          <w:sz w:val="19"/>
        </w:rPr>
        <w:t>3.6 Metrics and interpretation rules</w:t>
      </w:r>
      <w:r>
        <w:rPr>
          <w:rFonts w:ascii="Calibri" w:hAnsi="Calibri"/>
          <w:sz w:val="19"/>
        </w:rPr>
        <w:tab/>
        <w:t>17</w:t>
      </w:r>
    </w:p>
    <w:p>
      <w:pPr>
        <w:tabs>
          <w:tab w:pos="8220" w:val="right" w:leader="dot"/>
        </w:tabs>
        <w:spacing w:line="240" w:lineRule="auto" w:before="0" w:after="0"/>
        <w:ind w:left="369"/>
      </w:pPr>
      <w:r>
        <w:rPr>
          <w:rFonts w:ascii="Calibri" w:hAnsi="Calibri"/>
          <w:sz w:val="19"/>
        </w:rPr>
        <w:t>3.7 Research integrity, validity, and AI-assisted work</w:t>
      </w:r>
      <w:r>
        <w:rPr>
          <w:rFonts w:ascii="Calibri" w:hAnsi="Calibri"/>
          <w:sz w:val="19"/>
        </w:rPr>
        <w:tab/>
        <w:t>17</w:t>
      </w:r>
    </w:p>
    <w:p>
      <w:pPr>
        <w:tabs>
          <w:tab w:pos="8220" w:val="right" w:leader="dot"/>
        </w:tabs>
        <w:spacing w:line="240" w:lineRule="auto" w:before="0" w:after="0"/>
        <w:ind w:left="0"/>
      </w:pPr>
      <w:r>
        <w:rPr>
          <w:rFonts w:ascii="Calibri" w:hAnsi="Calibri"/>
          <w:b/>
          <w:sz w:val="19"/>
        </w:rPr>
        <w:t>4 SYSTEM ARCHITECTURE</w:t>
      </w:r>
      <w:r>
        <w:rPr>
          <w:rFonts w:ascii="Calibri" w:hAnsi="Calibri"/>
          <w:sz w:val="19"/>
        </w:rPr>
        <w:tab/>
        <w:t>18</w:t>
      </w:r>
    </w:p>
    <w:p>
      <w:pPr>
        <w:tabs>
          <w:tab w:pos="8220" w:val="right" w:leader="dot"/>
        </w:tabs>
        <w:spacing w:line="240" w:lineRule="auto" w:before="0" w:after="0"/>
        <w:ind w:left="369"/>
      </w:pPr>
      <w:r>
        <w:rPr>
          <w:rFonts w:ascii="Calibri" w:hAnsi="Calibri"/>
          <w:sz w:val="19"/>
        </w:rPr>
        <w:t>4.1 Architectural objectives and invariants</w:t>
      </w:r>
      <w:r>
        <w:rPr>
          <w:rFonts w:ascii="Calibri" w:hAnsi="Calibri"/>
          <w:sz w:val="19"/>
        </w:rPr>
        <w:tab/>
        <w:t>18</w:t>
      </w:r>
    </w:p>
    <w:p>
      <w:pPr>
        <w:tabs>
          <w:tab w:pos="8220" w:val="right" w:leader="dot"/>
        </w:tabs>
        <w:spacing w:line="240" w:lineRule="auto" w:before="0" w:after="0"/>
        <w:ind w:left="369"/>
      </w:pPr>
      <w:r>
        <w:rPr>
          <w:rFonts w:ascii="Calibri" w:hAnsi="Calibri"/>
          <w:sz w:val="19"/>
        </w:rPr>
        <w:t>4.2 Provider boundary and transport decoupling</w:t>
      </w:r>
      <w:r>
        <w:rPr>
          <w:rFonts w:ascii="Calibri" w:hAnsi="Calibri"/>
          <w:sz w:val="19"/>
        </w:rPr>
        <w:tab/>
        <w:t>18</w:t>
      </w:r>
    </w:p>
    <w:p>
      <w:pPr>
        <w:tabs>
          <w:tab w:pos="8220" w:val="right" w:leader="dot"/>
        </w:tabs>
        <w:spacing w:line="240" w:lineRule="auto" w:before="0" w:after="0"/>
        <w:ind w:left="369"/>
      </w:pPr>
      <w:r>
        <w:rPr>
          <w:rFonts w:ascii="Calibri" w:hAnsi="Calibri"/>
          <w:sz w:val="19"/>
        </w:rPr>
        <w:t>4.3 Typed domain model</w:t>
      </w:r>
      <w:r>
        <w:rPr>
          <w:rFonts w:ascii="Calibri" w:hAnsi="Calibri"/>
          <w:sz w:val="19"/>
        </w:rPr>
        <w:tab/>
        <w:t>19</w:t>
      </w:r>
    </w:p>
    <w:p>
      <w:pPr>
        <w:tabs>
          <w:tab w:pos="8220" w:val="right" w:leader="dot"/>
        </w:tabs>
        <w:spacing w:line="240" w:lineRule="auto" w:before="0" w:after="0"/>
        <w:ind w:left="369"/>
      </w:pPr>
      <w:r>
        <w:rPr>
          <w:rFonts w:ascii="Calibri" w:hAnsi="Calibri"/>
          <w:sz w:val="19"/>
        </w:rPr>
        <w:t>4.4 Bounded asynchronous ingestion</w:t>
      </w:r>
      <w:r>
        <w:rPr>
          <w:rFonts w:ascii="Calibri" w:hAnsi="Calibri"/>
          <w:sz w:val="19"/>
        </w:rPr>
        <w:tab/>
        <w:t>19</w:t>
      </w:r>
    </w:p>
    <w:p>
      <w:pPr>
        <w:tabs>
          <w:tab w:pos="8220" w:val="right" w:leader="dot"/>
        </w:tabs>
        <w:spacing w:line="240" w:lineRule="auto" w:before="0" w:after="0"/>
        <w:ind w:left="369"/>
      </w:pPr>
      <w:r>
        <w:rPr>
          <w:rFonts w:ascii="Calibri" w:hAnsi="Calibri"/>
          <w:sz w:val="19"/>
        </w:rPr>
        <w:t>4.5 Provenance and content addressing</w:t>
      </w:r>
      <w:r>
        <w:rPr>
          <w:rFonts w:ascii="Calibri" w:hAnsi="Calibri"/>
          <w:sz w:val="19"/>
        </w:rPr>
        <w:tab/>
        <w:t>20</w:t>
      </w:r>
    </w:p>
    <w:p>
      <w:pPr>
        <w:tabs>
          <w:tab w:pos="8220" w:val="right" w:leader="dot"/>
        </w:tabs>
        <w:spacing w:line="240" w:lineRule="auto" w:before="0" w:after="0"/>
        <w:ind w:left="369"/>
      </w:pPr>
      <w:r>
        <w:rPr>
          <w:rFonts w:ascii="Calibri" w:hAnsi="Calibri"/>
          <w:sz w:val="19"/>
        </w:rPr>
        <w:t>4.6 Spatial catalog</w:t>
      </w:r>
      <w:r>
        <w:rPr>
          <w:rFonts w:ascii="Calibri" w:hAnsi="Calibri"/>
          <w:sz w:val="19"/>
        </w:rPr>
        <w:tab/>
        <w:t>20</w:t>
      </w:r>
    </w:p>
    <w:p>
      <w:pPr>
        <w:tabs>
          <w:tab w:pos="8220" w:val="right" w:leader="dot"/>
        </w:tabs>
        <w:spacing w:line="240" w:lineRule="auto" w:before="0" w:after="0"/>
        <w:ind w:left="369"/>
      </w:pPr>
      <w:r>
        <w:rPr>
          <w:rFonts w:ascii="Calibri" w:hAnsi="Calibri"/>
          <w:sz w:val="19"/>
        </w:rPr>
        <w:t>4.7 Metadata quality profiling</w:t>
      </w:r>
      <w:r>
        <w:rPr>
          <w:rFonts w:ascii="Calibri" w:hAnsi="Calibri"/>
          <w:sz w:val="19"/>
        </w:rPr>
        <w:tab/>
        <w:t>20</w:t>
      </w:r>
    </w:p>
    <w:p>
      <w:pPr>
        <w:tabs>
          <w:tab w:pos="8220" w:val="right" w:leader="dot"/>
        </w:tabs>
        <w:spacing w:line="240" w:lineRule="auto" w:before="0" w:after="0"/>
        <w:ind w:left="369"/>
      </w:pPr>
      <w:r>
        <w:rPr>
          <w:rFonts w:ascii="Calibri" w:hAnsi="Calibri"/>
          <w:sz w:val="19"/>
        </w:rPr>
        <w:t>4.8 Raster and NDVI slice</w:t>
      </w:r>
      <w:r>
        <w:rPr>
          <w:rFonts w:ascii="Calibri" w:hAnsi="Calibri"/>
          <w:sz w:val="19"/>
        </w:rPr>
        <w:tab/>
        <w:t>21</w:t>
      </w:r>
    </w:p>
    <w:p>
      <w:pPr>
        <w:tabs>
          <w:tab w:pos="8220" w:val="right" w:leader="dot"/>
        </w:tabs>
        <w:spacing w:line="240" w:lineRule="auto" w:before="0" w:after="0"/>
        <w:ind w:left="369"/>
      </w:pPr>
      <w:r>
        <w:rPr>
          <w:rFonts w:ascii="Calibri" w:hAnsi="Calibri"/>
          <w:sz w:val="19"/>
        </w:rPr>
        <w:t>4.9 Educational HTTP interface</w:t>
      </w:r>
      <w:r>
        <w:rPr>
          <w:rFonts w:ascii="Calibri" w:hAnsi="Calibri"/>
          <w:sz w:val="19"/>
        </w:rPr>
        <w:tab/>
        <w:t>21</w:t>
      </w:r>
    </w:p>
    <w:p>
      <w:pPr>
        <w:tabs>
          <w:tab w:pos="8220" w:val="right" w:leader="dot"/>
        </w:tabs>
        <w:spacing w:line="240" w:lineRule="auto" w:before="0" w:after="0"/>
        <w:ind w:left="369"/>
      </w:pPr>
      <w:r>
        <w:rPr>
          <w:rFonts w:ascii="Calibri" w:hAnsi="Calibri"/>
          <w:sz w:val="19"/>
        </w:rPr>
        <w:t>4.10 Hybrid execution model</w:t>
      </w:r>
      <w:r>
        <w:rPr>
          <w:rFonts w:ascii="Calibri" w:hAnsi="Calibri"/>
          <w:sz w:val="19"/>
        </w:rPr>
        <w:tab/>
        <w:t>21</w:t>
      </w:r>
    </w:p>
    <w:p>
      <w:pPr>
        <w:tabs>
          <w:tab w:pos="8220" w:val="right" w:leader="dot"/>
        </w:tabs>
        <w:spacing w:line="240" w:lineRule="auto" w:before="0" w:after="0"/>
        <w:ind w:left="0"/>
      </w:pPr>
      <w:r>
        <w:rPr>
          <w:rFonts w:ascii="Calibri" w:hAnsi="Calibri"/>
          <w:b/>
          <w:sz w:val="19"/>
        </w:rPr>
        <w:t>5 IMPLEMENTATION</w:t>
      </w:r>
      <w:r>
        <w:rPr>
          <w:rFonts w:ascii="Calibri" w:hAnsi="Calibri"/>
          <w:sz w:val="19"/>
        </w:rPr>
        <w:tab/>
        <w:t>22</w:t>
      </w:r>
    </w:p>
    <w:p>
      <w:pPr>
        <w:tabs>
          <w:tab w:pos="8220" w:val="right" w:leader="dot"/>
        </w:tabs>
        <w:spacing w:line="240" w:lineRule="auto" w:before="0" w:after="0"/>
        <w:ind w:left="369"/>
      </w:pPr>
      <w:r>
        <w:rPr>
          <w:rFonts w:ascii="Calibri" w:hAnsi="Calibri"/>
          <w:sz w:val="19"/>
        </w:rPr>
        <w:t>5.1 Release baseline and software organization</w:t>
      </w:r>
      <w:r>
        <w:rPr>
          <w:rFonts w:ascii="Calibri" w:hAnsi="Calibri"/>
          <w:sz w:val="19"/>
        </w:rPr>
        <w:tab/>
        <w:t>22</w:t>
      </w:r>
    </w:p>
    <w:p>
      <w:pPr>
        <w:tabs>
          <w:tab w:pos="8220" w:val="right" w:leader="dot"/>
        </w:tabs>
        <w:spacing w:line="240" w:lineRule="auto" w:before="0" w:after="0"/>
        <w:ind w:left="369"/>
      </w:pPr>
      <w:r>
        <w:rPr>
          <w:rFonts w:ascii="Calibri" w:hAnsi="Calibri"/>
          <w:sz w:val="19"/>
        </w:rPr>
        <w:t>5.2 STAC search and transformation</w:t>
      </w:r>
      <w:r>
        <w:rPr>
          <w:rFonts w:ascii="Calibri" w:hAnsi="Calibri"/>
          <w:sz w:val="19"/>
        </w:rPr>
        <w:tab/>
        <w:t>22</w:t>
      </w:r>
    </w:p>
    <w:p>
      <w:pPr>
        <w:tabs>
          <w:tab w:pos="8220" w:val="right" w:leader="dot"/>
        </w:tabs>
        <w:spacing w:line="240" w:lineRule="auto" w:before="0" w:after="0"/>
        <w:ind w:left="369"/>
      </w:pPr>
      <w:r>
        <w:rPr>
          <w:rFonts w:ascii="Calibri" w:hAnsi="Calibri"/>
          <w:sz w:val="19"/>
        </w:rPr>
        <w:t>5.3 CDSE token and provider integration</w:t>
      </w:r>
      <w:r>
        <w:rPr>
          <w:rFonts w:ascii="Calibri" w:hAnsi="Calibri"/>
          <w:sz w:val="19"/>
        </w:rPr>
        <w:tab/>
        <w:t>22</w:t>
      </w:r>
    </w:p>
    <w:p>
      <w:pPr>
        <w:tabs>
          <w:tab w:pos="8220" w:val="right" w:leader="dot"/>
        </w:tabs>
        <w:spacing w:line="240" w:lineRule="auto" w:before="0" w:after="0"/>
        <w:ind w:left="369"/>
      </w:pPr>
      <w:r>
        <w:rPr>
          <w:rFonts w:ascii="Calibri" w:hAnsi="Calibri"/>
          <w:sz w:val="19"/>
        </w:rPr>
        <w:t>5.4 Provenance sink and retention</w:t>
      </w:r>
      <w:r>
        <w:rPr>
          <w:rFonts w:ascii="Calibri" w:hAnsi="Calibri"/>
          <w:sz w:val="19"/>
        </w:rPr>
        <w:tab/>
        <w:t>23</w:t>
      </w:r>
    </w:p>
    <w:p>
      <w:pPr>
        <w:tabs>
          <w:tab w:pos="8220" w:val="right" w:leader="dot"/>
        </w:tabs>
        <w:spacing w:line="240" w:lineRule="auto" w:before="0" w:after="0"/>
        <w:ind w:left="369"/>
      </w:pPr>
      <w:r>
        <w:rPr>
          <w:rFonts w:ascii="Calibri" w:hAnsi="Calibri"/>
          <w:sz w:val="19"/>
        </w:rPr>
        <w:t>5.5 Spatial queries and quality filters</w:t>
      </w:r>
      <w:r>
        <w:rPr>
          <w:rFonts w:ascii="Calibri" w:hAnsi="Calibri"/>
          <w:sz w:val="19"/>
        </w:rPr>
        <w:tab/>
        <w:t>23</w:t>
      </w:r>
    </w:p>
    <w:p>
      <w:pPr>
        <w:tabs>
          <w:tab w:pos="8220" w:val="right" w:leader="dot"/>
        </w:tabs>
        <w:spacing w:line="240" w:lineRule="auto" w:before="0" w:after="0"/>
        <w:ind w:left="369"/>
      </w:pPr>
      <w:r>
        <w:rPr>
          <w:rFonts w:ascii="Calibri" w:hAnsi="Calibri"/>
          <w:sz w:val="19"/>
        </w:rPr>
        <w:t>5.6 Health verification and experiment commands</w:t>
      </w:r>
      <w:r>
        <w:rPr>
          <w:rFonts w:ascii="Calibri" w:hAnsi="Calibri"/>
          <w:sz w:val="19"/>
        </w:rPr>
        <w:tab/>
        <w:t>23</w:t>
      </w:r>
    </w:p>
    <w:p>
      <w:pPr>
        <w:tabs>
          <w:tab w:pos="8220" w:val="right" w:leader="dot"/>
        </w:tabs>
        <w:spacing w:line="240" w:lineRule="auto" w:before="0" w:after="0"/>
        <w:ind w:left="0"/>
      </w:pPr>
      <w:r>
        <w:rPr>
          <w:rFonts w:ascii="Calibri" w:hAnsi="Calibri"/>
          <w:b/>
          <w:sz w:val="19"/>
        </w:rPr>
        <w:t>6 RESULTS</w:t>
      </w:r>
      <w:r>
        <w:rPr>
          <w:rFonts w:ascii="Calibri" w:hAnsi="Calibri"/>
          <w:sz w:val="19"/>
        </w:rPr>
        <w:tab/>
        <w:t>24</w:t>
      </w:r>
    </w:p>
    <w:p>
      <w:pPr>
        <w:tabs>
          <w:tab w:pos="8220" w:val="right" w:leader="dot"/>
        </w:tabs>
        <w:spacing w:line="240" w:lineRule="auto" w:before="0" w:after="0"/>
        <w:ind w:left="369"/>
      </w:pPr>
      <w:r>
        <w:rPr>
          <w:rFonts w:ascii="Calibri" w:hAnsi="Calibri"/>
          <w:sz w:val="19"/>
        </w:rPr>
        <w:t>6.1 Frozen synthetic baseline</w:t>
      </w:r>
      <w:r>
        <w:rPr>
          <w:rFonts w:ascii="Calibri" w:hAnsi="Calibri"/>
          <w:sz w:val="19"/>
        </w:rPr>
        <w:tab/>
        <w:t>24</w:t>
      </w:r>
    </w:p>
    <w:p>
      <w:pPr>
        <w:tabs>
          <w:tab w:pos="8220" w:val="right" w:leader="dot"/>
        </w:tabs>
        <w:spacing w:line="240" w:lineRule="auto" w:before="0" w:after="0"/>
        <w:ind w:left="369"/>
      </w:pPr>
      <w:r>
        <w:rPr>
          <w:rFonts w:ascii="Calibri" w:hAnsi="Calibri"/>
          <w:sz w:val="19"/>
        </w:rPr>
        <w:t>6.2 Automated validation evidence</w:t>
      </w:r>
      <w:r>
        <w:rPr>
          <w:rFonts w:ascii="Calibri" w:hAnsi="Calibri"/>
          <w:sz w:val="19"/>
        </w:rPr>
        <w:tab/>
        <w:t>25</w:t>
      </w:r>
    </w:p>
    <w:p>
      <w:pPr>
        <w:tabs>
          <w:tab w:pos="8220" w:val="right" w:leader="dot"/>
        </w:tabs>
        <w:spacing w:line="240" w:lineRule="auto" w:before="0" w:after="0"/>
        <w:ind w:left="369"/>
      </w:pPr>
      <w:r>
        <w:rPr>
          <w:rFonts w:ascii="Calibri" w:hAnsi="Calibri"/>
          <w:sz w:val="19"/>
        </w:rPr>
        <w:t>6.3 Dated offline-fallback experiment</w:t>
      </w:r>
      <w:r>
        <w:rPr>
          <w:rFonts w:ascii="Calibri" w:hAnsi="Calibri"/>
          <w:sz w:val="19"/>
        </w:rPr>
        <w:tab/>
        <w:t>26</w:t>
      </w:r>
    </w:p>
    <w:p>
      <w:pPr>
        <w:tabs>
          <w:tab w:pos="8220" w:val="right" w:leader="dot"/>
        </w:tabs>
        <w:spacing w:line="240" w:lineRule="auto" w:before="0" w:after="0"/>
        <w:ind w:left="369"/>
      </w:pPr>
      <w:r>
        <w:rPr>
          <w:rFonts w:ascii="Calibri" w:hAnsi="Calibri"/>
          <w:sz w:val="19"/>
        </w:rPr>
        <w:t>6.4 Evidence by research question</w:t>
      </w:r>
      <w:r>
        <w:rPr>
          <w:rFonts w:ascii="Calibri" w:hAnsi="Calibri"/>
          <w:sz w:val="19"/>
        </w:rPr>
        <w:tab/>
        <w:t>26</w:t>
      </w:r>
    </w:p>
    <w:p>
      <w:pPr>
        <w:tabs>
          <w:tab w:pos="8220" w:val="right" w:leader="dot"/>
        </w:tabs>
        <w:spacing w:line="240" w:lineRule="auto" w:before="0" w:after="0"/>
        <w:ind w:left="0"/>
      </w:pPr>
      <w:r>
        <w:rPr>
          <w:rFonts w:ascii="Calibri" w:hAnsi="Calibri"/>
          <w:b/>
          <w:sz w:val="19"/>
        </w:rPr>
        <w:t>7 ANALYSIS</w:t>
      </w:r>
      <w:r>
        <w:rPr>
          <w:rFonts w:ascii="Calibri" w:hAnsi="Calibri"/>
          <w:sz w:val="19"/>
        </w:rPr>
        <w:tab/>
        <w:t>27</w:t>
      </w:r>
    </w:p>
    <w:p>
      <w:pPr>
        <w:tabs>
          <w:tab w:pos="8220" w:val="right" w:leader="dot"/>
        </w:tabs>
        <w:spacing w:line="240" w:lineRule="auto" w:before="0" w:after="0"/>
        <w:ind w:left="369"/>
      </w:pPr>
      <w:r>
        <w:rPr>
          <w:rFonts w:ascii="Calibri" w:hAnsi="Calibri"/>
          <w:sz w:val="19"/>
        </w:rPr>
        <w:t>7.1 Analysis of RQ1: provider-neutral validation and provenance</w:t>
      </w:r>
      <w:r>
        <w:rPr>
          <w:rFonts w:ascii="Calibri" w:hAnsi="Calibri"/>
          <w:sz w:val="19"/>
        </w:rPr>
        <w:tab/>
        <w:t>27</w:t>
      </w:r>
    </w:p>
    <w:p>
      <w:pPr>
        <w:tabs>
          <w:tab w:pos="8220" w:val="right" w:leader="dot"/>
        </w:tabs>
        <w:spacing w:line="240" w:lineRule="auto" w:before="0" w:after="0"/>
        <w:ind w:left="369"/>
      </w:pPr>
      <w:r>
        <w:rPr>
          <w:rFonts w:ascii="Calibri" w:hAnsi="Calibri"/>
          <w:sz w:val="19"/>
        </w:rPr>
        <w:t>7.2 Analysis of RQ2: bounded concurrency and failure recovery</w:t>
      </w:r>
      <w:r>
        <w:rPr>
          <w:rFonts w:ascii="Calibri" w:hAnsi="Calibri"/>
          <w:sz w:val="19"/>
        </w:rPr>
        <w:tab/>
        <w:t>28</w:t>
      </w:r>
    </w:p>
    <w:p>
      <w:pPr>
        <w:tabs>
          <w:tab w:pos="8220" w:val="right" w:leader="dot"/>
        </w:tabs>
        <w:spacing w:line="240" w:lineRule="auto" w:before="0" w:after="0"/>
        <w:ind w:left="369"/>
      </w:pPr>
      <w:r>
        <w:rPr>
          <w:rFonts w:ascii="Calibri" w:hAnsi="Calibri"/>
          <w:sz w:val="19"/>
        </w:rPr>
        <w:t>7.3 Analysis of RQ3: SQLite catalog effectiveness</w:t>
      </w:r>
      <w:r>
        <w:rPr>
          <w:rFonts w:ascii="Calibri" w:hAnsi="Calibri"/>
          <w:sz w:val="19"/>
        </w:rPr>
        <w:tab/>
        <w:t>28</w:t>
      </w:r>
    </w:p>
    <w:p>
      <w:pPr>
        <w:tabs>
          <w:tab w:pos="8220" w:val="right" w:leader="dot"/>
        </w:tabs>
        <w:spacing w:line="240" w:lineRule="auto" w:before="0" w:after="0"/>
        <w:ind w:left="369"/>
      </w:pPr>
      <w:r>
        <w:rPr>
          <w:rFonts w:ascii="Calibri" w:hAnsi="Calibri"/>
          <w:sz w:val="19"/>
        </w:rPr>
        <w:t>7.4 Analysis of RQ4: reproducibility</w:t>
      </w:r>
      <w:r>
        <w:rPr>
          <w:rFonts w:ascii="Calibri" w:hAnsi="Calibri"/>
          <w:sz w:val="19"/>
        </w:rPr>
        <w:tab/>
        <w:t>29</w:t>
      </w:r>
    </w:p>
    <w:p>
      <w:pPr>
        <w:tabs>
          <w:tab w:pos="8220" w:val="right" w:leader="dot"/>
        </w:tabs>
        <w:spacing w:line="240" w:lineRule="auto" w:before="0" w:after="0"/>
        <w:ind w:left="369"/>
      </w:pPr>
      <w:r>
        <w:rPr>
          <w:rFonts w:ascii="Calibri" w:hAnsi="Calibri"/>
          <w:sz w:val="19"/>
        </w:rPr>
        <w:t>7.5 Cross-cutting interpretation</w:t>
      </w:r>
      <w:r>
        <w:rPr>
          <w:rFonts w:ascii="Calibri" w:hAnsi="Calibri"/>
          <w:sz w:val="19"/>
        </w:rPr>
        <w:tab/>
        <w:t>29</w:t>
      </w:r>
    </w:p>
    <w:p>
      <w:pPr>
        <w:tabs>
          <w:tab w:pos="8220" w:val="right" w:leader="dot"/>
        </w:tabs>
        <w:spacing w:line="240" w:lineRule="auto" w:before="0" w:after="0"/>
        <w:ind w:left="0"/>
      </w:pPr>
      <w:r>
        <w:rPr>
          <w:rFonts w:ascii="Calibri" w:hAnsi="Calibri"/>
          <w:b/>
          <w:sz w:val="19"/>
        </w:rPr>
        <w:t>8 DISCUSSION</w:t>
      </w:r>
      <w:r>
        <w:rPr>
          <w:rFonts w:ascii="Calibri" w:hAnsi="Calibri"/>
          <w:sz w:val="19"/>
        </w:rPr>
        <w:tab/>
        <w:t>30</w:t>
      </w:r>
    </w:p>
    <w:p>
      <w:pPr>
        <w:tabs>
          <w:tab w:pos="8220" w:val="right" w:leader="dot"/>
        </w:tabs>
        <w:spacing w:line="240" w:lineRule="auto" w:before="0" w:after="0"/>
        <w:ind w:left="369"/>
      </w:pPr>
      <w:r>
        <w:rPr>
          <w:rFonts w:ascii="Calibri" w:hAnsi="Calibri"/>
          <w:sz w:val="19"/>
        </w:rPr>
        <w:t>8.1 Scientific contribution</w:t>
      </w:r>
      <w:r>
        <w:rPr>
          <w:rFonts w:ascii="Calibri" w:hAnsi="Calibri"/>
          <w:sz w:val="19"/>
        </w:rPr>
        <w:tab/>
        <w:t>30</w:t>
      </w:r>
    </w:p>
    <w:p>
      <w:pPr>
        <w:tabs>
          <w:tab w:pos="8220" w:val="right" w:leader="dot"/>
        </w:tabs>
        <w:spacing w:line="240" w:lineRule="auto" w:before="0" w:after="0"/>
        <w:ind w:left="369"/>
      </w:pPr>
      <w:r>
        <w:rPr>
          <w:rFonts w:ascii="Calibri" w:hAnsi="Calibri"/>
          <w:sz w:val="19"/>
        </w:rPr>
        <w:t>8.2 Engineering contribution</w:t>
      </w:r>
      <w:r>
        <w:rPr>
          <w:rFonts w:ascii="Calibri" w:hAnsi="Calibri"/>
          <w:sz w:val="19"/>
        </w:rPr>
        <w:tab/>
        <w:t>30</w:t>
      </w:r>
    </w:p>
    <w:p>
      <w:pPr>
        <w:tabs>
          <w:tab w:pos="8220" w:val="right" w:leader="dot"/>
        </w:tabs>
        <w:spacing w:line="240" w:lineRule="auto" w:before="0" w:after="0"/>
        <w:ind w:left="369"/>
      </w:pPr>
      <w:r>
        <w:rPr>
          <w:rFonts w:ascii="Calibri" w:hAnsi="Calibri"/>
          <w:sz w:val="19"/>
        </w:rPr>
        <w:t>8.3 Educational contribution</w:t>
      </w:r>
      <w:r>
        <w:rPr>
          <w:rFonts w:ascii="Calibri" w:hAnsi="Calibri"/>
          <w:sz w:val="19"/>
        </w:rPr>
        <w:tab/>
        <w:t>31</w:t>
      </w:r>
    </w:p>
    <w:p>
      <w:pPr>
        <w:tabs>
          <w:tab w:pos="8220" w:val="right" w:leader="dot"/>
        </w:tabs>
        <w:spacing w:line="240" w:lineRule="auto" w:before="0" w:after="0"/>
        <w:ind w:left="369"/>
      </w:pPr>
      <w:r>
        <w:rPr>
          <w:rFonts w:ascii="Calibri" w:hAnsi="Calibri"/>
          <w:sz w:val="19"/>
        </w:rPr>
        <w:t>8.4 Reproducibility contribution</w:t>
      </w:r>
      <w:r>
        <w:rPr>
          <w:rFonts w:ascii="Calibri" w:hAnsi="Calibri"/>
          <w:sz w:val="19"/>
        </w:rPr>
        <w:tab/>
        <w:t>31</w:t>
      </w:r>
    </w:p>
    <w:p>
      <w:pPr>
        <w:tabs>
          <w:tab w:pos="8220" w:val="right" w:leader="dot"/>
        </w:tabs>
        <w:spacing w:line="240" w:lineRule="auto" w:before="0" w:after="0"/>
        <w:ind w:left="369"/>
      </w:pPr>
      <w:r>
        <w:rPr>
          <w:rFonts w:ascii="Calibri" w:hAnsi="Calibri"/>
          <w:sz w:val="19"/>
        </w:rPr>
        <w:t>8.5 Threats to validity</w:t>
      </w:r>
      <w:r>
        <w:rPr>
          <w:rFonts w:ascii="Calibri" w:hAnsi="Calibri"/>
          <w:sz w:val="19"/>
        </w:rPr>
        <w:tab/>
        <w:t>31</w:t>
      </w:r>
    </w:p>
    <w:p>
      <w:pPr>
        <w:tabs>
          <w:tab w:pos="8220" w:val="right" w:leader="dot"/>
        </w:tabs>
        <w:spacing w:line="240" w:lineRule="auto" w:before="0" w:after="0"/>
        <w:ind w:left="369"/>
      </w:pPr>
      <w:r>
        <w:rPr>
          <w:rFonts w:ascii="Calibri" w:hAnsi="Calibri"/>
          <w:sz w:val="19"/>
        </w:rPr>
        <w:t>8.6 Implications for the Kvarken Space Center context</w:t>
      </w:r>
      <w:r>
        <w:rPr>
          <w:rFonts w:ascii="Calibri" w:hAnsi="Calibri"/>
          <w:sz w:val="19"/>
        </w:rPr>
        <w:tab/>
        <w:t>32</w:t>
      </w:r>
    </w:p>
    <w:p>
      <w:pPr>
        <w:tabs>
          <w:tab w:pos="8220" w:val="right" w:leader="dot"/>
        </w:tabs>
        <w:spacing w:line="240" w:lineRule="auto" w:before="0" w:after="0"/>
        <w:ind w:left="369"/>
      </w:pPr>
      <w:r>
        <w:rPr>
          <w:rFonts w:ascii="Calibri" w:hAnsi="Calibri"/>
          <w:sz w:val="19"/>
        </w:rPr>
        <w:t>8.7 Relationship to the supplied literature</w:t>
      </w:r>
      <w:r>
        <w:rPr>
          <w:rFonts w:ascii="Calibri" w:hAnsi="Calibri"/>
          <w:sz w:val="19"/>
        </w:rPr>
        <w:tab/>
        <w:t>33</w:t>
      </w:r>
    </w:p>
    <w:p>
      <w:pPr>
        <w:tabs>
          <w:tab w:pos="8220" w:val="right" w:leader="dot"/>
        </w:tabs>
        <w:spacing w:line="240" w:lineRule="auto" w:before="0" w:after="0"/>
        <w:ind w:left="0"/>
      </w:pPr>
      <w:r>
        <w:rPr>
          <w:rFonts w:ascii="Calibri" w:hAnsi="Calibri"/>
          <w:b/>
          <w:sz w:val="19"/>
        </w:rPr>
        <w:t>9 CONCLUSION AND FUTURE WORK</w:t>
      </w:r>
      <w:r>
        <w:rPr>
          <w:rFonts w:ascii="Calibri" w:hAnsi="Calibri"/>
          <w:sz w:val="19"/>
        </w:rPr>
        <w:tab/>
        <w:t>33</w:t>
      </w:r>
    </w:p>
    <w:p>
      <w:pPr>
        <w:tabs>
          <w:tab w:pos="8220" w:val="right" w:leader="dot"/>
        </w:tabs>
        <w:spacing w:line="240" w:lineRule="auto" w:before="0" w:after="0"/>
        <w:ind w:left="369"/>
      </w:pPr>
      <w:r>
        <w:rPr>
          <w:rFonts w:ascii="Calibri" w:hAnsi="Calibri"/>
          <w:sz w:val="19"/>
        </w:rPr>
        <w:t>9.1 Answer to RQ1</w:t>
      </w:r>
      <w:r>
        <w:rPr>
          <w:rFonts w:ascii="Calibri" w:hAnsi="Calibri"/>
          <w:sz w:val="19"/>
        </w:rPr>
        <w:tab/>
        <w:t>33</w:t>
      </w:r>
    </w:p>
    <w:p>
      <w:pPr>
        <w:tabs>
          <w:tab w:pos="8220" w:val="right" w:leader="dot"/>
        </w:tabs>
        <w:spacing w:line="240" w:lineRule="auto" w:before="0" w:after="0"/>
        <w:ind w:left="369"/>
      </w:pPr>
      <w:r>
        <w:rPr>
          <w:rFonts w:ascii="Calibri" w:hAnsi="Calibri"/>
          <w:sz w:val="19"/>
        </w:rPr>
        <w:t>9.2 Answer to RQ2</w:t>
      </w:r>
      <w:r>
        <w:rPr>
          <w:rFonts w:ascii="Calibri" w:hAnsi="Calibri"/>
          <w:sz w:val="19"/>
        </w:rPr>
        <w:tab/>
        <w:t>34</w:t>
      </w:r>
    </w:p>
    <w:p>
      <w:pPr>
        <w:tabs>
          <w:tab w:pos="8220" w:val="right" w:leader="dot"/>
        </w:tabs>
        <w:spacing w:line="240" w:lineRule="auto" w:before="0" w:after="0"/>
        <w:ind w:left="369"/>
      </w:pPr>
      <w:r>
        <w:rPr>
          <w:rFonts w:ascii="Calibri" w:hAnsi="Calibri"/>
          <w:sz w:val="19"/>
        </w:rPr>
        <w:t>9.3 Answer to RQ3</w:t>
      </w:r>
      <w:r>
        <w:rPr>
          <w:rFonts w:ascii="Calibri" w:hAnsi="Calibri"/>
          <w:sz w:val="19"/>
        </w:rPr>
        <w:tab/>
        <w:t>34</w:t>
      </w:r>
    </w:p>
    <w:p>
      <w:pPr>
        <w:tabs>
          <w:tab w:pos="8220" w:val="right" w:leader="dot"/>
        </w:tabs>
        <w:spacing w:line="240" w:lineRule="auto" w:before="0" w:after="0"/>
        <w:ind w:left="369"/>
      </w:pPr>
      <w:r>
        <w:rPr>
          <w:rFonts w:ascii="Calibri" w:hAnsi="Calibri"/>
          <w:sz w:val="19"/>
        </w:rPr>
        <w:t>9.4 Answer to RQ4</w:t>
      </w:r>
      <w:r>
        <w:rPr>
          <w:rFonts w:ascii="Calibri" w:hAnsi="Calibri"/>
          <w:sz w:val="19"/>
        </w:rPr>
        <w:tab/>
        <w:t>34</w:t>
      </w:r>
    </w:p>
    <w:p>
      <w:pPr>
        <w:tabs>
          <w:tab w:pos="8220" w:val="right" w:leader="dot"/>
        </w:tabs>
        <w:spacing w:line="240" w:lineRule="auto" w:before="0" w:after="0"/>
        <w:ind w:left="369"/>
      </w:pPr>
      <w:r>
        <w:rPr>
          <w:rFonts w:ascii="Calibri" w:hAnsi="Calibri"/>
          <w:sz w:val="19"/>
        </w:rPr>
        <w:t>9.5 Overall conclusion</w:t>
      </w:r>
      <w:r>
        <w:rPr>
          <w:rFonts w:ascii="Calibri" w:hAnsi="Calibri"/>
          <w:sz w:val="19"/>
        </w:rPr>
        <w:tab/>
        <w:t>35</w:t>
      </w:r>
    </w:p>
    <w:p>
      <w:pPr>
        <w:tabs>
          <w:tab w:pos="8220" w:val="right" w:leader="dot"/>
        </w:tabs>
        <w:spacing w:line="240" w:lineRule="auto" w:before="0" w:after="0"/>
        <w:ind w:left="369"/>
      </w:pPr>
      <w:r>
        <w:rPr>
          <w:rFonts w:ascii="Calibri" w:hAnsi="Calibri"/>
          <w:sz w:val="19"/>
        </w:rPr>
        <w:t>9.6 Future work</w:t>
      </w:r>
      <w:r>
        <w:rPr>
          <w:rFonts w:ascii="Calibri" w:hAnsi="Calibri"/>
          <w:sz w:val="19"/>
        </w:rPr>
        <w:tab/>
        <w:t>35</w:t>
      </w:r>
    </w:p>
    <w:p>
      <w:pPr>
        <w:tabs>
          <w:tab w:pos="8220" w:val="right" w:leader="dot"/>
        </w:tabs>
        <w:spacing w:line="240" w:lineRule="auto" w:before="0" w:after="0"/>
        <w:ind w:left="0"/>
      </w:pPr>
      <w:r>
        <w:rPr>
          <w:rFonts w:ascii="Calibri" w:hAnsi="Calibri"/>
          <w:b/>
          <w:sz w:val="19"/>
        </w:rPr>
        <w:t>REFERENCES</w:t>
      </w:r>
      <w:r>
        <w:rPr>
          <w:rFonts w:ascii="Calibri" w:hAnsi="Calibri"/>
          <w:sz w:val="19"/>
        </w:rPr>
        <w:tab/>
        <w:t>37</w:t>
      </w:r>
    </w:p>
    <w:p>
      <w:pPr>
        <w:tabs>
          <w:tab w:pos="8220" w:val="right" w:leader="dot"/>
        </w:tabs>
        <w:spacing w:line="240" w:lineRule="auto" w:before="0" w:after="0"/>
        <w:ind w:left="0"/>
      </w:pPr>
      <w:r>
        <w:rPr>
          <w:rFonts w:ascii="Calibri" w:hAnsi="Calibri"/>
          <w:b/>
          <w:sz w:val="19"/>
        </w:rPr>
        <w:t>APPENDIX A. DISCLOSURE OF AI-ASSISTED WORK</w:t>
      </w:r>
      <w:r>
        <w:rPr>
          <w:rFonts w:ascii="Calibri" w:hAnsi="Calibri"/>
          <w:sz w:val="19"/>
        </w:rPr>
        <w:tab/>
        <w:t>38</w:t>
      </w:r>
    </w:p>
    <w:p>
      <w:pPr>
        <w:tabs>
          <w:tab w:pos="8220" w:val="right" w:leader="dot"/>
        </w:tabs>
        <w:spacing w:line="240" w:lineRule="auto" w:before="0" w:after="0"/>
        <w:ind w:left="0"/>
      </w:pPr>
      <w:r>
        <w:rPr>
          <w:rFonts w:ascii="Calibri" w:hAnsi="Calibri"/>
          <w:b/>
          <w:sz w:val="19"/>
        </w:rPr>
        <w:t>APPENDIX B. REPRODUCIBILITY AND CLAIM BOUNDARIES</w:t>
      </w:r>
      <w:r>
        <w:rPr>
          <w:rFonts w:ascii="Calibri" w:hAnsi="Calibri"/>
          <w:sz w:val="19"/>
        </w:rPr>
        <w:tab/>
        <w:t>38</w:t>
      </w:r>
    </w:p>
    <w:p>
      <w:r>
        <w:br w:type="page"/>
      </w:r>
    </w:p>
    <w:p>
      <w:pPr>
        <w:pStyle w:val="Heading1"/>
        <w:jc w:val="left"/>
        <w:keepNext/>
      </w:pPr>
      <w:r>
        <w:t>ACKNOWLEDGEMENTS</w:t>
      </w:r>
    </w:p>
    <w:p>
      <w:pPr>
        <w:spacing w:line="360" w:lineRule="auto" w:after="120"/>
        <w:jc w:val="both"/>
      </w:pPr>
      <w:r>
        <w:rPr>
          <w:rFonts w:ascii="Calibri" w:hAnsi="Calibri"/>
          <w:i w:val="0"/>
          <w:sz w:val="24"/>
        </w:rPr>
        <w:t>I would like to thank Professor Ali Nadir Arslan for the supervision and scientific direction of this thesis and the Kvarken Space Center context for giving the work a concrete research setting. I also thank the University of Vaasa for providing an academic environment in which software engineering, Earth Observation, and reproducible research can be studied together.</w:t>
      </w:r>
    </w:p>
    <w:p>
      <w:pPr>
        <w:spacing w:line="360" w:lineRule="auto" w:after="120"/>
        <w:jc w:val="both"/>
      </w:pPr>
      <w:r>
        <w:rPr>
          <w:rFonts w:ascii="Calibri" w:hAnsi="Calibri"/>
          <w:i w:val="0"/>
          <w:sz w:val="24"/>
        </w:rPr>
        <w:t>The practical orientation of this work reflects my interest in building systems that are technically clear, maintainable, and useful to other researchers. I am grateful to the people who supported the development, review, and completion of the thesis.</w:t>
      </w:r>
    </w:p>
    <w:p>
      <w:r>
        <w:br w:type="page"/>
      </w:r>
    </w:p>
    <w:p>
      <w:pPr>
        <w:pStyle w:val="Heading1"/>
        <w:jc w:val="left"/>
        <w:keepNext/>
      </w:pPr>
      <w:r>
        <w:t>ABBREVIATIONS</w:t>
      </w:r>
    </w:p>
    <w:tbl>
      <w:tblPr>
        <w:tblW w:type="auto" w:w="0"/>
        <w:jc w:val="left"/>
        <w:tblLook w:firstColumn="1" w:firstRow="1" w:lastColumn="0" w:lastRow="0" w:noHBand="0" w:noVBand="1" w:val="04A0"/>
      </w:tblPr>
      <w:tblGrid>
        <w:gridCol w:w="4252"/>
        <w:gridCol w:w="4252"/>
      </w:tblGrid>
      <w:tr>
        <w:tc>
          <w:tcPr>
            <w:tcW w:type="dxa" w:w="1814"/>
            <w:tcMar>
              <w:top w:w="60" w:type="dxa"/>
              <w:start w:w="60" w:type="dxa"/>
              <w:bottom w:w="60" w:type="dxa"/>
              <w:end w:w="60" w:type="dxa"/>
            </w:tcMar>
          </w:tcPr>
          <w:p>
            <w:pPr>
              <w:spacing w:line="240" w:lineRule="auto" w:after="0"/>
            </w:pPr>
            <w:r>
              <w:rPr>
                <w:rFonts w:ascii="Calibri" w:hAnsi="Calibri"/>
                <w:sz w:val="22"/>
              </w:rPr>
              <w:t>ACID</w:t>
            </w:r>
          </w:p>
        </w:tc>
        <w:tc>
          <w:tcPr>
            <w:tcW w:type="dxa" w:w="6236"/>
            <w:tcMar>
              <w:top w:w="60" w:type="dxa"/>
              <w:start w:w="60" w:type="dxa"/>
              <w:bottom w:w="60" w:type="dxa"/>
              <w:end w:w="60" w:type="dxa"/>
            </w:tcMar>
          </w:tcPr>
          <w:p>
            <w:pPr>
              <w:spacing w:line="240" w:lineRule="auto" w:after="0"/>
            </w:pPr>
            <w:r>
              <w:rPr>
                <w:rFonts w:ascii="Calibri" w:hAnsi="Calibri"/>
                <w:sz w:val="22"/>
              </w:rPr>
              <w:t>Atomicity, Consistency, Isolation, and Durability</w:t>
            </w:r>
          </w:p>
        </w:tc>
      </w:tr>
      <w:tr>
        <w:tc>
          <w:tcPr>
            <w:tcW w:type="dxa" w:w="1814"/>
            <w:tcMar>
              <w:top w:w="60" w:type="dxa"/>
              <w:start w:w="60" w:type="dxa"/>
              <w:bottom w:w="60" w:type="dxa"/>
              <w:end w:w="60" w:type="dxa"/>
            </w:tcMar>
          </w:tcPr>
          <w:p>
            <w:pPr>
              <w:spacing w:line="240" w:lineRule="auto" w:after="0"/>
            </w:pPr>
            <w:r>
              <w:rPr>
                <w:rFonts w:ascii="Calibri" w:hAnsi="Calibri"/>
                <w:sz w:val="22"/>
              </w:rPr>
              <w:t>API</w:t>
            </w:r>
          </w:p>
        </w:tc>
        <w:tc>
          <w:tcPr>
            <w:tcW w:type="dxa" w:w="6236"/>
            <w:tcMar>
              <w:top w:w="60" w:type="dxa"/>
              <w:start w:w="60" w:type="dxa"/>
              <w:bottom w:w="60" w:type="dxa"/>
              <w:end w:w="60" w:type="dxa"/>
            </w:tcMar>
          </w:tcPr>
          <w:p>
            <w:pPr>
              <w:spacing w:line="240" w:lineRule="auto" w:after="0"/>
            </w:pPr>
            <w:r>
              <w:rPr>
                <w:rFonts w:ascii="Calibri" w:hAnsi="Calibri"/>
                <w:sz w:val="22"/>
              </w:rPr>
              <w:t>Application Programming Interface</w:t>
            </w:r>
          </w:p>
        </w:tc>
      </w:tr>
      <w:tr>
        <w:tc>
          <w:tcPr>
            <w:tcW w:type="dxa" w:w="1814"/>
            <w:tcMar>
              <w:top w:w="60" w:type="dxa"/>
              <w:start w:w="60" w:type="dxa"/>
              <w:bottom w:w="60" w:type="dxa"/>
              <w:end w:w="60" w:type="dxa"/>
            </w:tcMar>
          </w:tcPr>
          <w:p>
            <w:pPr>
              <w:spacing w:line="240" w:lineRule="auto" w:after="0"/>
            </w:pPr>
            <w:r>
              <w:rPr>
                <w:rFonts w:ascii="Calibri" w:hAnsi="Calibri"/>
                <w:sz w:val="22"/>
              </w:rPr>
              <w:t>CDSE</w:t>
            </w:r>
          </w:p>
        </w:tc>
        <w:tc>
          <w:tcPr>
            <w:tcW w:type="dxa" w:w="6236"/>
            <w:tcMar>
              <w:top w:w="60" w:type="dxa"/>
              <w:start w:w="60" w:type="dxa"/>
              <w:bottom w:w="60" w:type="dxa"/>
              <w:end w:w="60" w:type="dxa"/>
            </w:tcMar>
          </w:tcPr>
          <w:p>
            <w:pPr>
              <w:spacing w:line="240" w:lineRule="auto" w:after="0"/>
            </w:pPr>
            <w:r>
              <w:rPr>
                <w:rFonts w:ascii="Calibri" w:hAnsi="Calibri"/>
                <w:sz w:val="22"/>
              </w:rPr>
              <w:t>Copernicus Data Space Ecosystem</w:t>
            </w:r>
          </w:p>
        </w:tc>
      </w:tr>
      <w:tr>
        <w:tc>
          <w:tcPr>
            <w:tcW w:type="dxa" w:w="1814"/>
            <w:tcMar>
              <w:top w:w="60" w:type="dxa"/>
              <w:start w:w="60" w:type="dxa"/>
              <w:bottom w:w="60" w:type="dxa"/>
              <w:end w:w="60" w:type="dxa"/>
            </w:tcMar>
          </w:tcPr>
          <w:p>
            <w:pPr>
              <w:spacing w:line="240" w:lineRule="auto" w:after="0"/>
            </w:pPr>
            <w:r>
              <w:rPr>
                <w:rFonts w:ascii="Calibri" w:hAnsi="Calibri"/>
                <w:sz w:val="22"/>
              </w:rPr>
              <w:t>CI</w:t>
            </w:r>
          </w:p>
        </w:tc>
        <w:tc>
          <w:tcPr>
            <w:tcW w:type="dxa" w:w="6236"/>
            <w:tcMar>
              <w:top w:w="60" w:type="dxa"/>
              <w:start w:w="60" w:type="dxa"/>
              <w:bottom w:w="60" w:type="dxa"/>
              <w:end w:w="60" w:type="dxa"/>
            </w:tcMar>
          </w:tcPr>
          <w:p>
            <w:pPr>
              <w:spacing w:line="240" w:lineRule="auto" w:after="0"/>
            </w:pPr>
            <w:r>
              <w:rPr>
                <w:rFonts w:ascii="Calibri" w:hAnsi="Calibri"/>
                <w:sz w:val="22"/>
              </w:rPr>
              <w:t>Continuous Integration</w:t>
            </w:r>
          </w:p>
        </w:tc>
      </w:tr>
      <w:tr>
        <w:tc>
          <w:tcPr>
            <w:tcW w:type="dxa" w:w="1814"/>
            <w:tcMar>
              <w:top w:w="60" w:type="dxa"/>
              <w:start w:w="60" w:type="dxa"/>
              <w:bottom w:w="60" w:type="dxa"/>
              <w:end w:w="60" w:type="dxa"/>
            </w:tcMar>
          </w:tcPr>
          <w:p>
            <w:pPr>
              <w:spacing w:line="240" w:lineRule="auto" w:after="0"/>
            </w:pPr>
            <w:r>
              <w:rPr>
                <w:rFonts w:ascii="Calibri" w:hAnsi="Calibri"/>
                <w:sz w:val="22"/>
              </w:rPr>
              <w:t>COG</w:t>
            </w:r>
          </w:p>
        </w:tc>
        <w:tc>
          <w:tcPr>
            <w:tcW w:type="dxa" w:w="6236"/>
            <w:tcMar>
              <w:top w:w="60" w:type="dxa"/>
              <w:start w:w="60" w:type="dxa"/>
              <w:bottom w:w="60" w:type="dxa"/>
              <w:end w:w="60" w:type="dxa"/>
            </w:tcMar>
          </w:tcPr>
          <w:p>
            <w:pPr>
              <w:spacing w:line="240" w:lineRule="auto" w:after="0"/>
            </w:pPr>
            <w:r>
              <w:rPr>
                <w:rFonts w:ascii="Calibri" w:hAnsi="Calibri"/>
                <w:sz w:val="22"/>
              </w:rPr>
              <w:t>Cloud Optimized GeoTIFF</w:t>
            </w:r>
          </w:p>
        </w:tc>
      </w:tr>
      <w:tr>
        <w:tc>
          <w:tcPr>
            <w:tcW w:type="dxa" w:w="1814"/>
            <w:tcMar>
              <w:top w:w="60" w:type="dxa"/>
              <w:start w:w="60" w:type="dxa"/>
              <w:bottom w:w="60" w:type="dxa"/>
              <w:end w:w="60" w:type="dxa"/>
            </w:tcMar>
          </w:tcPr>
          <w:p>
            <w:pPr>
              <w:spacing w:line="240" w:lineRule="auto" w:after="0"/>
            </w:pPr>
            <w:r>
              <w:rPr>
                <w:rFonts w:ascii="Calibri" w:hAnsi="Calibri"/>
                <w:sz w:val="22"/>
              </w:rPr>
              <w:t>EO</w:t>
            </w:r>
          </w:p>
        </w:tc>
        <w:tc>
          <w:tcPr>
            <w:tcW w:type="dxa" w:w="6236"/>
            <w:tcMar>
              <w:top w:w="60" w:type="dxa"/>
              <w:start w:w="60" w:type="dxa"/>
              <w:bottom w:w="60" w:type="dxa"/>
              <w:end w:w="60" w:type="dxa"/>
            </w:tcMar>
          </w:tcPr>
          <w:p>
            <w:pPr>
              <w:spacing w:line="240" w:lineRule="auto" w:after="0"/>
            </w:pPr>
            <w:r>
              <w:rPr>
                <w:rFonts w:ascii="Calibri" w:hAnsi="Calibri"/>
                <w:sz w:val="22"/>
              </w:rPr>
              <w:t>Earth Observation</w:t>
            </w:r>
          </w:p>
        </w:tc>
      </w:tr>
      <w:tr>
        <w:tc>
          <w:tcPr>
            <w:tcW w:type="dxa" w:w="1814"/>
            <w:tcMar>
              <w:top w:w="60" w:type="dxa"/>
              <w:start w:w="60" w:type="dxa"/>
              <w:bottom w:w="60" w:type="dxa"/>
              <w:end w:w="60" w:type="dxa"/>
            </w:tcMar>
          </w:tcPr>
          <w:p>
            <w:pPr>
              <w:spacing w:line="240" w:lineRule="auto" w:after="0"/>
            </w:pPr>
            <w:r>
              <w:rPr>
                <w:rFonts w:ascii="Calibri" w:hAnsi="Calibri"/>
                <w:sz w:val="22"/>
              </w:rPr>
              <w:t>EPSG</w:t>
            </w:r>
          </w:p>
        </w:tc>
        <w:tc>
          <w:tcPr>
            <w:tcW w:type="dxa" w:w="6236"/>
            <w:tcMar>
              <w:top w:w="60" w:type="dxa"/>
              <w:start w:w="60" w:type="dxa"/>
              <w:bottom w:w="60" w:type="dxa"/>
              <w:end w:w="60" w:type="dxa"/>
            </w:tcMar>
          </w:tcPr>
          <w:p>
            <w:pPr>
              <w:spacing w:line="240" w:lineRule="auto" w:after="0"/>
            </w:pPr>
            <w:r>
              <w:rPr>
                <w:rFonts w:ascii="Calibri" w:hAnsi="Calibri"/>
                <w:sz w:val="22"/>
              </w:rPr>
              <w:t>European Petroleum Survey Group coordinate reference code</w:t>
            </w:r>
          </w:p>
        </w:tc>
      </w:tr>
      <w:tr>
        <w:tc>
          <w:tcPr>
            <w:tcW w:type="dxa" w:w="1814"/>
            <w:tcMar>
              <w:top w:w="60" w:type="dxa"/>
              <w:start w:w="60" w:type="dxa"/>
              <w:bottom w:w="60" w:type="dxa"/>
              <w:end w:w="60" w:type="dxa"/>
            </w:tcMar>
          </w:tcPr>
          <w:p>
            <w:pPr>
              <w:spacing w:line="240" w:lineRule="auto" w:after="0"/>
            </w:pPr>
            <w:r>
              <w:rPr>
                <w:rFonts w:ascii="Calibri" w:hAnsi="Calibri"/>
                <w:sz w:val="22"/>
              </w:rPr>
              <w:t>HTTP</w:t>
            </w:r>
          </w:p>
        </w:tc>
        <w:tc>
          <w:tcPr>
            <w:tcW w:type="dxa" w:w="6236"/>
            <w:tcMar>
              <w:top w:w="60" w:type="dxa"/>
              <w:start w:w="60" w:type="dxa"/>
              <w:bottom w:w="60" w:type="dxa"/>
              <w:end w:w="60" w:type="dxa"/>
            </w:tcMar>
          </w:tcPr>
          <w:p>
            <w:pPr>
              <w:spacing w:line="240" w:lineRule="auto" w:after="0"/>
            </w:pPr>
            <w:r>
              <w:rPr>
                <w:rFonts w:ascii="Calibri" w:hAnsi="Calibri"/>
                <w:sz w:val="22"/>
              </w:rPr>
              <w:t>Hypertext Transfer Protocol</w:t>
            </w:r>
          </w:p>
        </w:tc>
      </w:tr>
      <w:tr>
        <w:tc>
          <w:tcPr>
            <w:tcW w:type="dxa" w:w="1814"/>
            <w:tcMar>
              <w:top w:w="60" w:type="dxa"/>
              <w:start w:w="60" w:type="dxa"/>
              <w:bottom w:w="60" w:type="dxa"/>
              <w:end w:w="60" w:type="dxa"/>
            </w:tcMar>
          </w:tcPr>
          <w:p>
            <w:pPr>
              <w:spacing w:line="240" w:lineRule="auto" w:after="0"/>
            </w:pPr>
            <w:r>
              <w:rPr>
                <w:rFonts w:ascii="Calibri" w:hAnsi="Calibri"/>
                <w:sz w:val="22"/>
              </w:rPr>
              <w:t>NDVI</w:t>
            </w:r>
          </w:p>
        </w:tc>
        <w:tc>
          <w:tcPr>
            <w:tcW w:type="dxa" w:w="6236"/>
            <w:tcMar>
              <w:top w:w="60" w:type="dxa"/>
              <w:start w:w="60" w:type="dxa"/>
              <w:bottom w:w="60" w:type="dxa"/>
              <w:end w:w="60" w:type="dxa"/>
            </w:tcMar>
          </w:tcPr>
          <w:p>
            <w:pPr>
              <w:spacing w:line="240" w:lineRule="auto" w:after="0"/>
            </w:pPr>
            <w:r>
              <w:rPr>
                <w:rFonts w:ascii="Calibri" w:hAnsi="Calibri"/>
                <w:sz w:val="22"/>
              </w:rPr>
              <w:t>Normalized Difference Vegetation Index</w:t>
            </w:r>
          </w:p>
        </w:tc>
      </w:tr>
      <w:tr>
        <w:tc>
          <w:tcPr>
            <w:tcW w:type="dxa" w:w="1814"/>
            <w:tcMar>
              <w:top w:w="60" w:type="dxa"/>
              <w:start w:w="60" w:type="dxa"/>
              <w:bottom w:w="60" w:type="dxa"/>
              <w:end w:w="60" w:type="dxa"/>
            </w:tcMar>
          </w:tcPr>
          <w:p>
            <w:pPr>
              <w:spacing w:line="240" w:lineRule="auto" w:after="0"/>
            </w:pPr>
            <w:r>
              <w:rPr>
                <w:rFonts w:ascii="Calibri" w:hAnsi="Calibri"/>
                <w:sz w:val="22"/>
              </w:rPr>
              <w:t>OAuth2</w:t>
            </w:r>
          </w:p>
        </w:tc>
        <w:tc>
          <w:tcPr>
            <w:tcW w:type="dxa" w:w="6236"/>
            <w:tcMar>
              <w:top w:w="60" w:type="dxa"/>
              <w:start w:w="60" w:type="dxa"/>
              <w:bottom w:w="60" w:type="dxa"/>
              <w:end w:w="60" w:type="dxa"/>
            </w:tcMar>
          </w:tcPr>
          <w:p>
            <w:pPr>
              <w:spacing w:line="240" w:lineRule="auto" w:after="0"/>
            </w:pPr>
            <w:r>
              <w:rPr>
                <w:rFonts w:ascii="Calibri" w:hAnsi="Calibri"/>
                <w:sz w:val="22"/>
              </w:rPr>
              <w:t>Open Authorization 2.0</w:t>
            </w:r>
          </w:p>
        </w:tc>
      </w:tr>
      <w:tr>
        <w:tc>
          <w:tcPr>
            <w:tcW w:type="dxa" w:w="1814"/>
            <w:tcMar>
              <w:top w:w="60" w:type="dxa"/>
              <w:start w:w="60" w:type="dxa"/>
              <w:bottom w:w="60" w:type="dxa"/>
              <w:end w:w="60" w:type="dxa"/>
            </w:tcMar>
          </w:tcPr>
          <w:p>
            <w:pPr>
              <w:spacing w:line="240" w:lineRule="auto" w:after="0"/>
            </w:pPr>
            <w:r>
              <w:rPr>
                <w:rFonts w:ascii="Calibri" w:hAnsi="Calibri"/>
                <w:sz w:val="22"/>
              </w:rPr>
              <w:t>OGC</w:t>
            </w:r>
          </w:p>
        </w:tc>
        <w:tc>
          <w:tcPr>
            <w:tcW w:type="dxa" w:w="6236"/>
            <w:tcMar>
              <w:top w:w="60" w:type="dxa"/>
              <w:start w:w="60" w:type="dxa"/>
              <w:bottom w:w="60" w:type="dxa"/>
              <w:end w:w="60" w:type="dxa"/>
            </w:tcMar>
          </w:tcPr>
          <w:p>
            <w:pPr>
              <w:spacing w:line="240" w:lineRule="auto" w:after="0"/>
            </w:pPr>
            <w:r>
              <w:rPr>
                <w:rFonts w:ascii="Calibri" w:hAnsi="Calibri"/>
                <w:sz w:val="22"/>
              </w:rPr>
              <w:t>Open Geospatial Consortium</w:t>
            </w:r>
          </w:p>
        </w:tc>
      </w:tr>
      <w:tr>
        <w:tc>
          <w:tcPr>
            <w:tcW w:type="dxa" w:w="1814"/>
            <w:tcMar>
              <w:top w:w="60" w:type="dxa"/>
              <w:start w:w="60" w:type="dxa"/>
              <w:bottom w:w="60" w:type="dxa"/>
              <w:end w:w="60" w:type="dxa"/>
            </w:tcMar>
          </w:tcPr>
          <w:p>
            <w:pPr>
              <w:spacing w:line="240" w:lineRule="auto" w:after="0"/>
            </w:pPr>
            <w:r>
              <w:rPr>
                <w:rFonts w:ascii="Calibri" w:hAnsi="Calibri"/>
                <w:sz w:val="22"/>
              </w:rPr>
              <w:t>ROI</w:t>
            </w:r>
          </w:p>
        </w:tc>
        <w:tc>
          <w:tcPr>
            <w:tcW w:type="dxa" w:w="6236"/>
            <w:tcMar>
              <w:top w:w="60" w:type="dxa"/>
              <w:start w:w="60" w:type="dxa"/>
              <w:bottom w:w="60" w:type="dxa"/>
              <w:end w:w="60" w:type="dxa"/>
            </w:tcMar>
          </w:tcPr>
          <w:p>
            <w:pPr>
              <w:spacing w:line="240" w:lineRule="auto" w:after="0"/>
            </w:pPr>
            <w:r>
              <w:rPr>
                <w:rFonts w:ascii="Calibri" w:hAnsi="Calibri"/>
                <w:sz w:val="22"/>
              </w:rPr>
              <w:t>Region of Interest</w:t>
            </w:r>
          </w:p>
        </w:tc>
      </w:tr>
      <w:tr>
        <w:tc>
          <w:tcPr>
            <w:tcW w:type="dxa" w:w="1814"/>
            <w:tcMar>
              <w:top w:w="60" w:type="dxa"/>
              <w:start w:w="60" w:type="dxa"/>
              <w:bottom w:w="60" w:type="dxa"/>
              <w:end w:w="60" w:type="dxa"/>
            </w:tcMar>
          </w:tcPr>
          <w:p>
            <w:pPr>
              <w:spacing w:line="240" w:lineRule="auto" w:after="0"/>
            </w:pPr>
            <w:r>
              <w:rPr>
                <w:rFonts w:ascii="Calibri" w:hAnsi="Calibri"/>
                <w:sz w:val="22"/>
              </w:rPr>
              <w:t>SHA-256</w:t>
            </w:r>
          </w:p>
        </w:tc>
        <w:tc>
          <w:tcPr>
            <w:tcW w:type="dxa" w:w="6236"/>
            <w:tcMar>
              <w:top w:w="60" w:type="dxa"/>
              <w:start w:w="60" w:type="dxa"/>
              <w:bottom w:w="60" w:type="dxa"/>
              <w:end w:w="60" w:type="dxa"/>
            </w:tcMar>
          </w:tcPr>
          <w:p>
            <w:pPr>
              <w:spacing w:line="240" w:lineRule="auto" w:after="0"/>
            </w:pPr>
            <w:r>
              <w:rPr>
                <w:rFonts w:ascii="Calibri" w:hAnsi="Calibri"/>
                <w:sz w:val="22"/>
              </w:rPr>
              <w:t>Secure Hash Algorithm 256-bit digest</w:t>
            </w:r>
          </w:p>
        </w:tc>
      </w:tr>
      <w:tr>
        <w:tc>
          <w:tcPr>
            <w:tcW w:type="dxa" w:w="1814"/>
            <w:tcMar>
              <w:top w:w="60" w:type="dxa"/>
              <w:start w:w="60" w:type="dxa"/>
              <w:bottom w:w="60" w:type="dxa"/>
              <w:end w:w="60" w:type="dxa"/>
            </w:tcMar>
          </w:tcPr>
          <w:p>
            <w:pPr>
              <w:spacing w:line="240" w:lineRule="auto" w:after="0"/>
            </w:pPr>
            <w:r>
              <w:rPr>
                <w:rFonts w:ascii="Calibri" w:hAnsi="Calibri"/>
                <w:sz w:val="22"/>
              </w:rPr>
              <w:t>SQLite WAL</w:t>
            </w:r>
          </w:p>
        </w:tc>
        <w:tc>
          <w:tcPr>
            <w:tcW w:type="dxa" w:w="6236"/>
            <w:tcMar>
              <w:top w:w="60" w:type="dxa"/>
              <w:start w:w="60" w:type="dxa"/>
              <w:bottom w:w="60" w:type="dxa"/>
              <w:end w:w="60" w:type="dxa"/>
            </w:tcMar>
          </w:tcPr>
          <w:p>
            <w:pPr>
              <w:spacing w:line="240" w:lineRule="auto" w:after="0"/>
            </w:pPr>
            <w:r>
              <w:rPr>
                <w:rFonts w:ascii="Calibri" w:hAnsi="Calibri"/>
                <w:sz w:val="22"/>
              </w:rPr>
              <w:t>SQLite Write-Ahead Logging mode</w:t>
            </w:r>
          </w:p>
        </w:tc>
      </w:tr>
      <w:tr>
        <w:tc>
          <w:tcPr>
            <w:tcW w:type="dxa" w:w="1814"/>
            <w:tcMar>
              <w:top w:w="60" w:type="dxa"/>
              <w:start w:w="60" w:type="dxa"/>
              <w:bottom w:w="60" w:type="dxa"/>
              <w:end w:w="60" w:type="dxa"/>
            </w:tcMar>
          </w:tcPr>
          <w:p>
            <w:pPr>
              <w:spacing w:line="240" w:lineRule="auto" w:after="0"/>
            </w:pPr>
            <w:r>
              <w:rPr>
                <w:rFonts w:ascii="Calibri" w:hAnsi="Calibri"/>
                <w:sz w:val="22"/>
              </w:rPr>
              <w:t>STAC</w:t>
            </w:r>
          </w:p>
        </w:tc>
        <w:tc>
          <w:tcPr>
            <w:tcW w:type="dxa" w:w="6236"/>
            <w:tcMar>
              <w:top w:w="60" w:type="dxa"/>
              <w:start w:w="60" w:type="dxa"/>
              <w:bottom w:w="60" w:type="dxa"/>
              <w:end w:w="60" w:type="dxa"/>
            </w:tcMar>
          </w:tcPr>
          <w:p>
            <w:pPr>
              <w:spacing w:line="240" w:lineRule="auto" w:after="0"/>
            </w:pPr>
            <w:r>
              <w:rPr>
                <w:rFonts w:ascii="Calibri" w:hAnsi="Calibri"/>
                <w:sz w:val="22"/>
              </w:rPr>
              <w:t>SpatioTemporal Asset Catalog</w:t>
            </w:r>
          </w:p>
        </w:tc>
      </w:tr>
    </w:tbl>
    <w:p>
      <w:r>
        <w:br w:type="page"/>
      </w:r>
    </w:p>
    <w:p>
      <w:pPr>
        <w:pStyle w:val="Heading1"/>
        <w:jc w:val="left"/>
        <w:keepNext/>
      </w:pPr>
      <w:r>
        <w:t>1 INTRODUCTION</w:t>
      </w:r>
    </w:p>
    <w:p>
      <w:pPr>
        <w:pStyle w:val="Heading2"/>
        <w:jc w:val="left"/>
        <w:keepNext/>
      </w:pPr>
      <w:r>
        <w:t>1.1 Motivation and research context</w:t>
      </w:r>
    </w:p>
    <w:p>
      <w:pPr>
        <w:spacing w:line="360" w:lineRule="auto" w:after="120"/>
        <w:ind w:firstLine="454"/>
        <w:jc w:val="both"/>
      </w:pPr>
      <w:r>
        <w:rPr>
          <w:rFonts w:ascii="Calibri" w:hAnsi="Calibri"/>
          <w:i w:val="0"/>
          <w:sz w:val="24"/>
        </w:rPr>
        <w:t>Earth Observation has become an important source of information for research, environmental monitoring, regional analysis, and teaching. Satellite missions such as Sentinel-2 provide multispectral observations that can support land-cover and vegetation analysis, while broader remote-sensing research has shown the value of repeated observations for understanding terrestrial systems (Drusch et al., 2012; Mahecha et al., 2010). However, scientific use of satellite observations depends on more than access to image files. Researchers must identify products, interpret metadata, manage spatial and temporal constraints, preserve provenance, cope with provider failures, and maintain a processing path that can be repeated later.</w:t>
      </w:r>
    </w:p>
    <w:p>
      <w:pPr>
        <w:spacing w:line="360" w:lineRule="auto" w:after="120"/>
        <w:ind w:firstLine="454"/>
        <w:jc w:val="both"/>
      </w:pPr>
      <w:r>
        <w:rPr>
          <w:rFonts w:ascii="Calibri" w:hAnsi="Calibri"/>
          <w:i w:val="0"/>
          <w:sz w:val="24"/>
        </w:rPr>
        <w:t>These requirements create a data-engineering problem. A research group may have access to public Earth Observation services but still lack a compact infrastructure that connects provider access, validation, storage, spatial indexing, controlled processing, and reproducible reporting. Large cloud platforms can provide substantial capability, but a university research environment may also need a local path that remains understandable, auditable, and usable when credentials or network access are unavailable. The engineering challenge is therefore not simply to download satellite products. It is to construct a trustworthy path from an external provider response to a research-ready, traceable local representation.</w:t>
      </w:r>
    </w:p>
    <w:p>
      <w:pPr>
        <w:spacing w:line="360" w:lineRule="auto" w:after="120"/>
        <w:ind w:firstLine="454"/>
        <w:jc w:val="both"/>
      </w:pPr>
      <w:r>
        <w:rPr>
          <w:rFonts w:ascii="Calibri" w:hAnsi="Calibri"/>
          <w:i w:val="0"/>
          <w:sz w:val="24"/>
        </w:rPr>
        <w:t>The Kvarken Space Center provides the contextual setting for this thesis. The implementation uses a predefined Kvarken study region and focuses on requirements that are relevant to a small research and educational environment: standards-based access, reproducibility, transparent failure handling, modest infrastructure requirements, and the ability to demonstrate the processing path without depending on a live production service. The thesis does not evaluate the organizational performance of Kvarken Space Center or the learning outcomes of students. The case-study framing therefore refers to the institutional and regional context used to motivate and bound the artifact.</w:t>
      </w:r>
    </w:p>
    <w:p>
      <w:pPr>
        <w:pStyle w:val="Heading2"/>
        <w:jc w:val="left"/>
        <w:keepNext/>
      </w:pPr>
      <w:r>
        <w:t>1.2 Problem statement and research gap</w:t>
      </w:r>
    </w:p>
    <w:p>
      <w:pPr>
        <w:spacing w:line="360" w:lineRule="auto" w:after="120"/>
        <w:ind w:firstLine="454"/>
        <w:jc w:val="both"/>
      </w:pPr>
      <w:r>
        <w:rPr>
          <w:rFonts w:ascii="Calibri" w:hAnsi="Calibri"/>
          <w:i w:val="0"/>
          <w:sz w:val="24"/>
        </w:rPr>
        <w:t>Standards and public data platforms address important parts of the Earth Observation access problem. STAC provides a common JSON-based description of spatiotemporal assets, OGC standards support interoperable geospatial interfaces, and the Copernicus Data Space Ecosystem provides access to Copernicus data and cloud-oriented processing services (Open Geospatial Consortium, 2019; STAC Community, 2021; European Commission, 2024; Kovacs et al., 2026). These facilities reduce fragmentation at the provider boundary, but they do not by themselves define how a small research project should validate incoming metadata, preserve raw evidence, bound concurrent work, separate transient from permanent failures, maintain a local spatial catalog, or freeze empirical artifacts for later comparison.</w:t>
      </w:r>
    </w:p>
    <w:p>
      <w:pPr>
        <w:spacing w:line="360" w:lineRule="auto" w:after="120"/>
        <w:ind w:firstLine="454"/>
        <w:jc w:val="both"/>
      </w:pPr>
      <w:r>
        <w:rPr>
          <w:rFonts w:ascii="Calibri" w:hAnsi="Calibri"/>
          <w:i w:val="0"/>
          <w:sz w:val="24"/>
        </w:rPr>
        <w:t>Within the scope of this thesis, the research gap is therefore operational and architectural rather than a claim that equivalent technologies do not exist. The question is how standards-based provider access can be assembled into a small, reproducible, and inspectable research infrastructure with explicit contracts. The system must be usable both with external providers and with deterministic offline fixtures. It must avoid hidden retry behavior, unbounded task creation, silent coordinate-system assumptions, and mutable experiment evidence. At the same time, it must remain sufficiently simple to be understood and extended in a university research setting.</w:t>
      </w:r>
    </w:p>
    <w:p>
      <w:pPr>
        <w:spacing w:line="360" w:lineRule="auto" w:after="120"/>
        <w:ind w:firstLine="454"/>
        <w:jc w:val="both"/>
      </w:pPr>
      <w:r>
        <w:rPr>
          <w:rFonts w:ascii="Calibri" w:hAnsi="Calibri"/>
          <w:i w:val="0"/>
          <w:sz w:val="24"/>
        </w:rPr>
        <w:t>The initial manuscript of this work described the implemented software accurately but did not make the research method and evidence boundaries sufficiently explicit. This final structure therefore treats the artifact as the object of evaluation. The software is not presented as production-proven infrastructure, and the synthetic benchmark is not presented as provider performance. The thesis instead asks what can be demonstrated about the architecture under controlled conditions and what remains outside the evidence.</w:t>
      </w:r>
    </w:p>
    <w:p>
      <w:pPr>
        <w:pStyle w:val="Heading2"/>
        <w:jc w:val="left"/>
        <w:keepNext/>
      </w:pPr>
      <w:r>
        <w:t>1.3 Objective and scope</w:t>
      </w:r>
    </w:p>
    <w:p>
      <w:pPr>
        <w:spacing w:line="360" w:lineRule="auto" w:after="120"/>
        <w:ind w:firstLine="454"/>
        <w:jc w:val="both"/>
      </w:pPr>
      <w:r>
        <w:rPr>
          <w:rFonts w:ascii="Calibri" w:hAnsi="Calibri"/>
          <w:i w:val="0"/>
          <w:sz w:val="24"/>
        </w:rPr>
        <w:t>The objective of the thesis is to design, implement, and evaluate a hybrid Earth Observation data infrastructure that can ingest STAC and CDSE metadata, validate it into a stable scene model, preserve raw evidence, index regional metadata, support lightweight analytical tasks, and produce reproducible reports. In this thesis, hybrid is an operational term. It refers to the combination of external provider access with a local embedded data path, together with the ability to substitute offline fixtures for live services without changing the core transformation contracts.</w:t>
      </w:r>
    </w:p>
    <w:p>
      <w:pPr>
        <w:spacing w:line="360" w:lineRule="auto" w:after="120"/>
        <w:ind w:firstLine="454"/>
        <w:jc w:val="both"/>
      </w:pPr>
      <w:r>
        <w:rPr>
          <w:rFonts w:ascii="Calibri" w:hAnsi="Calibri"/>
          <w:i w:val="0"/>
          <w:sz w:val="24"/>
        </w:rPr>
        <w:t>The scope is intentionally bounded. The thesis evaluates metadata ingestion, provider-independent modeling, provenance, local spatial persistence, selected quality checks, a lightweight raster range and NDVI slice, deterministic reporting, and a read-only educational interface. It does not claim full raster processing, large-scale distributed computation, general production scalability, or improved educational outcomes. Sentinel-2 is used as the representative mission because it provides well-defined multispectral products and supports the red and near-infrared bands used in the limited NDVI demonstration (Drusch et al., 2012).</w:t>
      </w:r>
    </w:p>
    <w:p>
      <w:pPr>
        <w:pStyle w:val="Heading2"/>
        <w:jc w:val="left"/>
        <w:keepNext/>
      </w:pPr>
      <w:r>
        <w:t>1.4 Research questions</w:t>
      </w:r>
    </w:p>
    <w:p>
      <w:pPr>
        <w:spacing w:line="360" w:lineRule="auto" w:after="120"/>
        <w:jc w:val="both"/>
      </w:pPr>
      <w:r>
        <w:rPr>
          <w:rFonts w:ascii="Calibri" w:hAnsi="Calibri"/>
          <w:i w:val="0"/>
          <w:sz w:val="24"/>
        </w:rPr>
        <w:t>The study is organized around four research questions:</w:t>
      </w:r>
    </w:p>
    <w:p>
      <w:pPr>
        <w:pStyle w:val="ListBullet"/>
        <w:spacing w:line="360" w:lineRule="auto" w:after="60"/>
      </w:pPr>
      <w:r>
        <w:rPr>
          <w:rFonts w:ascii="Calibri" w:hAnsi="Calibri"/>
          <w:sz w:val="24"/>
        </w:rPr>
        <w:t>RQ1: How can heterogeneous STAC and CDSE metadata be validated and transformed into a transport-neutral Earth Observation scene model while preserving provenance?</w:t>
      </w:r>
    </w:p>
    <w:p>
      <w:pPr>
        <w:pStyle w:val="ListBullet"/>
        <w:spacing w:line="360" w:lineRule="auto" w:after="60"/>
      </w:pPr>
      <w:r>
        <w:rPr>
          <w:rFonts w:ascii="Calibri" w:hAnsi="Calibri"/>
          <w:sz w:val="24"/>
        </w:rPr>
        <w:t>RQ2: How can asynchronous ingestion remain bounded and recover from transient timeouts, OAuth2 expiration, and HTTP 429 responses without retrying malformed payloads?</w:t>
      </w:r>
    </w:p>
    <w:p>
      <w:pPr>
        <w:pStyle w:val="ListBullet"/>
        <w:spacing w:line="360" w:lineRule="auto" w:after="60"/>
      </w:pPr>
      <w:r>
        <w:rPr>
          <w:rFonts w:ascii="Calibri" w:hAnsi="Calibri"/>
          <w:sz w:val="24"/>
        </w:rPr>
        <w:t>RQ3: How effectively can a dependency-free SQLite catalog support regional, temporal, quality, and platform queries under concurrent reader and writer contention?</w:t>
      </w:r>
    </w:p>
    <w:p>
      <w:pPr>
        <w:pStyle w:val="ListBullet"/>
        <w:spacing w:line="360" w:lineRule="auto" w:after="60"/>
      </w:pPr>
      <w:r>
        <w:rPr>
          <w:rFonts w:ascii="Calibri" w:hAnsi="Calibri"/>
          <w:sz w:val="24"/>
        </w:rPr>
        <w:t>RQ4: Which empirical measurements and artifacts are sufficient to make an offline Earth Observation pipeline baseline reproducible for research and education?</w:t>
      </w:r>
    </w:p>
    <w:p>
      <w:pPr>
        <w:pStyle w:val="Heading2"/>
        <w:jc w:val="left"/>
        <w:keepNext/>
      </w:pPr>
      <w:r>
        <w:t>1.5 Contributions</w:t>
      </w:r>
    </w:p>
    <w:p>
      <w:pPr>
        <w:spacing w:line="360" w:lineRule="auto" w:after="120"/>
        <w:ind w:firstLine="454"/>
        <w:jc w:val="both"/>
      </w:pPr>
      <w:r>
        <w:rPr>
          <w:rFonts w:ascii="Calibri" w:hAnsi="Calibri"/>
          <w:i w:val="0"/>
          <w:sz w:val="24"/>
        </w:rPr>
        <w:t>The thesis makes four linked contributions. First, it defines an architecture that separates provider-specific transport concerns from a provider-neutral EOScene model. Second, it implements explicit bounded ingestion, deterministic error classification, and content-addressed provenance. Third, it evaluates a local SQLite-based spatial catalog and selected analytical functions under a controlled benchmark and automated test suite. Fourth, it establishes a reproducibility practice based on checked-in fixtures, frozen reports, dated additive experiment artifacts, and continuous integration.</w:t>
      </w:r>
    </w:p>
    <w:p>
      <w:pPr>
        <w:spacing w:line="360" w:lineRule="auto" w:after="120"/>
        <w:ind w:firstLine="454"/>
        <w:jc w:val="both"/>
      </w:pPr>
      <w:r>
        <w:rPr>
          <w:rFonts w:ascii="Calibri" w:hAnsi="Calibri"/>
          <w:i w:val="0"/>
          <w:sz w:val="24"/>
        </w:rPr>
        <w:t>The contribution is primarily architectural and methodological. The work does not introduce a new remote-sensing algorithm, database algorithm, or general cloud platform. Its value lies in making the contracts between access, validation, provenance, storage, analysis, and evidence explicit enough to be inspected, tested, and reused.</w:t>
      </w:r>
    </w:p>
    <w:p>
      <w:pPr>
        <w:pStyle w:val="Heading2"/>
        <w:jc w:val="left"/>
        <w:keepNext/>
      </w:pPr>
      <w:r>
        <w:t>1.6 Structure of the thesis</w:t>
      </w:r>
    </w:p>
    <w:p>
      <w:pPr>
        <w:spacing w:line="360" w:lineRule="auto" w:after="120"/>
        <w:ind w:firstLine="454"/>
        <w:jc w:val="both"/>
      </w:pPr>
      <w:r>
        <w:rPr>
          <w:rFonts w:ascii="Calibri" w:hAnsi="Calibri"/>
          <w:i w:val="0"/>
          <w:sz w:val="24"/>
        </w:rPr>
        <w:t>Chapter 2 reviews the supplied background on Earth Observation, Sentinel-2, STAC, OGC interfaces, CDSE, provenance, reproducibility, and SQLite WAL. Chapter 3 describes the research and evaluation methodology. Chapter 4 presents the architecture, and Chapter 5 describes the implementation. Chapter 6 reports the empirical results. Chapter 7 analyses the results against the research questions. Chapter 8 discusses contributions, limitations, and implications. Chapter 9 concludes the thesis and identifies future work.</w:t>
      </w:r>
    </w:p>
    <w:p>
      <w:pPr>
        <w:pStyle w:val="Heading1"/>
        <w:jc w:val="left"/>
        <w:keepNext/>
      </w:pPr>
      <w:r>
        <w:t>2 BACKGROUND AND LITERATURE REVIEW</w:t>
      </w:r>
    </w:p>
    <w:p>
      <w:pPr>
        <w:pStyle w:val="Heading2"/>
        <w:jc w:val="left"/>
        <w:keepNext/>
      </w:pPr>
      <w:r>
        <w:t>2.1 Earth Observation data as a research infrastructure problem</w:t>
      </w:r>
    </w:p>
    <w:p>
      <w:pPr>
        <w:spacing w:line="360" w:lineRule="auto" w:after="120"/>
        <w:ind w:firstLine="454"/>
        <w:jc w:val="both"/>
      </w:pPr>
      <w:r>
        <w:rPr>
          <w:rFonts w:ascii="Calibri" w:hAnsi="Calibri"/>
          <w:i w:val="0"/>
          <w:sz w:val="24"/>
        </w:rPr>
        <w:t>Earth Observation research combines physical observations with data-management requirements. A satellite scene has scientific value only when it remains connected to information such as acquisition time, spatial reference, processing level, quality metadata, platform identity, and the assets that contain the observation. Remote sensing is therefore both an observational science and a data infrastructure problem. Mahecha et al. (2010) discuss the broader promise of remote sensing for terrestrial ecosystem monitoring, while Drusch et al. (2012) describe Sentinel-2 as an optical high-resolution mission intended for operational services. Together, these sources motivate the need for infrastructure that can manage repeated and well-described observations rather than isolated image files.</w:t>
      </w:r>
    </w:p>
    <w:p>
      <w:pPr>
        <w:spacing w:line="360" w:lineRule="auto" w:after="120"/>
        <w:ind w:firstLine="454"/>
        <w:jc w:val="both"/>
      </w:pPr>
      <w:r>
        <w:rPr>
          <w:rFonts w:ascii="Calibri" w:hAnsi="Calibri"/>
          <w:i w:val="0"/>
          <w:sz w:val="24"/>
        </w:rPr>
        <w:t>Sentinel-2 is used in this thesis as a representative mission rather than as the object of a new remote-sensing algorithm. Its multispectral products provide a practical basis for testing metadata handling and a limited red/near-infrared calculation. The architectural problem, however, is more general: provider responses must be transformed into stable internal records, and the relationship between those records and the source evidence must be preserved.</w:t>
      </w:r>
    </w:p>
    <w:p>
      <w:pPr>
        <w:pStyle w:val="Heading2"/>
        <w:jc w:val="left"/>
        <w:keepNext/>
      </w:pPr>
      <w:r>
        <w:t>2.2 Metadata interoperability: STAC and OGC</w:t>
      </w:r>
    </w:p>
    <w:p>
      <w:pPr>
        <w:spacing w:line="360" w:lineRule="auto" w:after="120"/>
        <w:ind w:firstLine="454"/>
        <w:jc w:val="both"/>
      </w:pPr>
      <w:r>
        <w:rPr>
          <w:rFonts w:ascii="Calibri" w:hAnsi="Calibri"/>
          <w:i w:val="0"/>
          <w:sz w:val="24"/>
        </w:rPr>
        <w:t>The SpatioTemporal Asset Catalog specification provides a JSON-based model for describing geospatial assets. A STAC catalog groups collections; collections group related products; items represent individual spatiotemporal observations; and assets identify concrete files or resources associated with an item (STAC Community, 2021). This model is useful for Earth Observation data engineering because it separates descriptive metadata from the potentially large raster assets to which the metadata refers.</w:t>
      </w:r>
    </w:p>
    <w:p>
      <w:pPr>
        <w:spacing w:line="360" w:lineRule="auto" w:after="120"/>
        <w:ind w:firstLine="454"/>
        <w:jc w:val="both"/>
      </w:pPr>
      <w:r>
        <w:rPr>
          <w:rFonts w:ascii="Calibri" w:hAnsi="Calibri"/>
          <w:i w:val="0"/>
          <w:sz w:val="24"/>
        </w:rPr>
        <w:t>The Open Geospatial Consortium develops standards for interoperable geospatial information. OGC API - Features defines a standards-based way to access feature data through web interfaces (Open Geospatial Consortium, 2019). This thesis does not implement the complete OGC API family, but the standard is relevant to the broader interoperability goal: provider-specific details should be constrained at the boundary so that research code can operate on stable internal concepts.</w:t>
      </w:r>
    </w:p>
    <w:p>
      <w:pPr>
        <w:spacing w:line="360" w:lineRule="auto" w:after="120"/>
        <w:ind w:firstLine="454"/>
        <w:jc w:val="both"/>
      </w:pPr>
      <w:r>
        <w:rPr>
          <w:rFonts w:ascii="Calibri" w:hAnsi="Calibri"/>
          <w:i w:val="0"/>
          <w:sz w:val="24"/>
        </w:rPr>
        <w:t>STAC does not remove the need for validation. A JSON document can be syntactically valid and still be unusable for a specific pipeline if required fields are absent, coordinate structures are inconsistent with the expected CRS, asset references are incomplete, or temporal values cannot be interpreted. The implemented system therefore treats external metadata as untrusted input until it passes explicit boundary checks.</w:t>
      </w:r>
    </w:p>
    <w:p>
      <w:pPr>
        <w:pStyle w:val="Heading2"/>
        <w:jc w:val="left"/>
        <w:keepNext/>
      </w:pPr>
      <w:r>
        <w:t>2.3 Copernicus Data Space Ecosystem and authenticated access</w:t>
      </w:r>
    </w:p>
    <w:p>
      <w:pPr>
        <w:spacing w:line="360" w:lineRule="auto" w:after="120"/>
        <w:ind w:firstLine="454"/>
        <w:jc w:val="both"/>
      </w:pPr>
      <w:r>
        <w:rPr>
          <w:rFonts w:ascii="Calibri" w:hAnsi="Calibri"/>
          <w:i w:val="0"/>
          <w:sz w:val="24"/>
        </w:rPr>
        <w:t>The Copernicus Data Space Ecosystem provides access to Copernicus Earth Observation data and related services (European Commission, 2024). A more recent peer-reviewed description characterizes CDSE as an ecosystem that establishes public cloud processing for Earth Observation data (Kovacs et al., 2026). For this thesis, CDSE is important because it represents a realistic provider boundary that involves both metadata search and authentication.</w:t>
      </w:r>
    </w:p>
    <w:p>
      <w:pPr>
        <w:spacing w:line="360" w:lineRule="auto" w:after="120"/>
        <w:ind w:firstLine="454"/>
        <w:jc w:val="both"/>
      </w:pPr>
      <w:r>
        <w:rPr>
          <w:rFonts w:ascii="Calibri" w:hAnsi="Calibri"/>
          <w:i w:val="0"/>
          <w:sz w:val="24"/>
        </w:rPr>
        <w:t>The implementation separates token acquisition from STAC search. OAuth2 client credentials are resolved from the caller environment rather than stored in the repository. Token refresh is bounded and lock-protected, and both token and STAC transports are injectable. This design allows the authentication and provider behavior to be tested with controlled substitutes. It also means that absence of credentials can be treated as an explicit operating mode rather than as an implicit failure of the research pipeline.</w:t>
      </w:r>
    </w:p>
    <w:p>
      <w:pPr>
        <w:pStyle w:val="Heading2"/>
        <w:jc w:val="left"/>
        <w:keepNext/>
      </w:pPr>
      <w:r>
        <w:t>2.4 Provenance and reproducibility</w:t>
      </w:r>
    </w:p>
    <w:p>
      <w:pPr>
        <w:spacing w:line="360" w:lineRule="auto" w:after="120"/>
        <w:ind w:firstLine="454"/>
        <w:jc w:val="both"/>
      </w:pPr>
      <w:r>
        <w:rPr>
          <w:rFonts w:ascii="Calibri" w:hAnsi="Calibri"/>
          <w:i w:val="0"/>
          <w:sz w:val="24"/>
        </w:rPr>
        <w:t>Reproducibility in this thesis is defined operationally as the ability to reconstruct what input was accepted, how it was normalized, what configuration was used, which evidence artifact was generated, and what claims can be traced to that artifact. This is narrower than a complete scientific provenance ontology, but it is sufficient for the implemented research baseline. Raw provider payloads are serialized canonically and identified by SHA-256 digests. Append-only manifest records connect the raw payload to subsequent processing and cataloging steps.</w:t>
      </w:r>
    </w:p>
    <w:p>
      <w:pPr>
        <w:spacing w:line="360" w:lineRule="auto" w:after="120"/>
        <w:ind w:firstLine="454"/>
        <w:jc w:val="both"/>
      </w:pPr>
      <w:r>
        <w:rPr>
          <w:rFonts w:ascii="Calibri" w:hAnsi="Calibri"/>
          <w:i w:val="0"/>
          <w:sz w:val="24"/>
        </w:rPr>
        <w:t>The same principle is applied to experiments. A frozen benchmark report is treated as a stable reference. Later observations are stored as dated additive artifacts and must not overwrite the baseline. This separation is important because reproducibility requires both repeatability of the procedure and preservation of the evidence against which future changes can be compared.</w:t>
      </w:r>
    </w:p>
    <w:p>
      <w:pPr>
        <w:pStyle w:val="Heading2"/>
        <w:jc w:val="left"/>
        <w:keepNext/>
      </w:pPr>
      <w:r>
        <w:t>2.5 Embedded spatial persistence and SQLite WAL</w:t>
      </w:r>
    </w:p>
    <w:p>
      <w:pPr>
        <w:spacing w:line="360" w:lineRule="auto" w:after="120"/>
        <w:ind w:firstLine="454"/>
        <w:jc w:val="both"/>
      </w:pPr>
      <w:r>
        <w:rPr>
          <w:rFonts w:ascii="Calibri" w:hAnsi="Calibri"/>
          <w:i w:val="0"/>
          <w:sz w:val="24"/>
        </w:rPr>
        <w:t>SQLite was selected as the local catalog because it provides transactional persistence, indexes, and write-ahead logging without requiring a separate database server. In WAL mode, readers can continue to access a committed snapshot while a writer appends to the log, although SQLite still allows only one writer at a time and WAL is a same-host mechanism rather than a distributed-database solution (SQLite Consortium, 2024). These properties match the bounded single-node research scope of the project.</w:t>
      </w:r>
    </w:p>
    <w:p>
      <w:pPr>
        <w:spacing w:line="360" w:lineRule="auto" w:after="120"/>
        <w:ind w:firstLine="454"/>
        <w:jc w:val="both"/>
      </w:pPr>
      <w:r>
        <w:rPr>
          <w:rFonts w:ascii="Calibri" w:hAnsi="Calibri"/>
          <w:i w:val="0"/>
          <w:sz w:val="24"/>
        </w:rPr>
        <w:t>The catalog stores normalized scene metadata and exposes filters for region, time, platform, cloud cover, and required assets. Spatial queries use a two-stage strategy. Indexed axis-aligned bounding-box predicates reduce the candidate set, after which deterministic polygon intersection logic confirms overlap. The design prioritizes explicit behavior and testability over a claim of advanced spatial database functionality.</w:t>
      </w:r>
    </w:p>
    <w:p>
      <w:pPr>
        <w:pStyle w:val="Heading2"/>
        <w:jc w:val="left"/>
        <w:keepNext/>
      </w:pPr>
      <w:r>
        <w:t>2.6 Operational definition of a hybrid EO infrastructure</w:t>
      </w:r>
    </w:p>
    <w:p>
      <w:pPr>
        <w:spacing w:line="360" w:lineRule="auto" w:after="120"/>
        <w:ind w:firstLine="454"/>
        <w:jc w:val="both"/>
      </w:pPr>
      <w:r>
        <w:rPr>
          <w:rFonts w:ascii="Calibri" w:hAnsi="Calibri"/>
          <w:i w:val="0"/>
          <w:sz w:val="24"/>
        </w:rPr>
        <w:t>The term hybrid is used in many ways in computing. To avoid ambiguity, this thesis defines a hybrid EO infrastructure as one that can combine remote provider access with local persistence and processing while preserving the same domain contracts across live and offline modes. The remote side includes standards-based metadata services and authenticated provider access. The local side includes content-addressed evidence, an embedded catalog, local analytical functions, deterministic reports, and fixtures that reproduce the provider-facing data shape.</w:t>
      </w:r>
    </w:p>
    <w:p>
      <w:pPr>
        <w:spacing w:line="360" w:lineRule="auto" w:after="120"/>
        <w:ind w:firstLine="454"/>
        <w:jc w:val="both"/>
      </w:pPr>
      <w:r>
        <w:rPr>
          <w:rFonts w:ascii="Calibri" w:hAnsi="Calibri"/>
          <w:i w:val="0"/>
          <w:sz w:val="24"/>
        </w:rPr>
        <w:t>This definition is intentionally modest. It does not imply an enterprise hybrid-cloud deployment, automatic workload migration, or distributed orchestration. The hybrid property is instead a research design that avoids coupling the scientific pipeline to a single external runtime. A provider may be available for live observation, but the core pipeline can still be exercised, tested, taught, and compared when the provider is unavailable.</w:t>
      </w:r>
    </w:p>
    <w:p>
      <w:pPr>
        <w:pStyle w:val="Heading2"/>
        <w:jc w:val="left"/>
        <w:keepNext/>
      </w:pPr>
      <w:r>
        <w:t>2.7 Literature synthesis and research gap</w:t>
      </w:r>
    </w:p>
    <w:p>
      <w:pPr>
        <w:spacing w:line="360" w:lineRule="auto" w:after="120"/>
        <w:ind w:firstLine="454"/>
        <w:jc w:val="both"/>
      </w:pPr>
      <w:r>
        <w:rPr>
          <w:rFonts w:ascii="Calibri" w:hAnsi="Calibri"/>
          <w:i w:val="0"/>
          <w:sz w:val="24"/>
        </w:rPr>
        <w:t>The supplied literature covers complementary parts of the problem: Sentinel-2 and remote sensing establish the observation context; STAC and OGC provide interoperability concepts; CDSE provides an operational data-access environment; and SQLite WAL provides a local persistence mechanism. None of these components alone determines how a small research project should join provider access, validation, bounded concurrency, provenance, spatial indexing, lightweight analysis, and frozen experimental evidence.</w:t>
      </w:r>
    </w:p>
    <w:p>
      <w:pPr>
        <w:spacing w:line="360" w:lineRule="auto" w:after="120"/>
        <w:ind w:firstLine="454"/>
        <w:jc w:val="both"/>
      </w:pPr>
      <w:r>
        <w:rPr>
          <w:rFonts w:ascii="Calibri" w:hAnsi="Calibri"/>
          <w:i w:val="0"/>
          <w:sz w:val="24"/>
        </w:rPr>
        <w:t>The research gap addressed here is therefore the design and evaluation of that integration under explicit constraints. The thesis asks whether the resulting architecture can be made sufficiently deterministic and auditable to support reproducible research and educational demonstrations. Because the literature base supplied for this thesis is limited, the work does not claim a comprehensive survey of all existing EO infrastructure platforms. The scientific contribution is instead evaluated against the stated research questions and the evidence generated by the implemented artifact.</w:t>
      </w:r>
    </w:p>
    <w:p>
      <w:pPr>
        <w:pStyle w:val="Heading1"/>
        <w:jc w:val="left"/>
        <w:keepNext/>
      </w:pPr>
      <w:r>
        <w:t>3 METHODOLOGY</w:t>
      </w:r>
    </w:p>
    <w:p>
      <w:pPr>
        <w:pStyle w:val="Heading2"/>
        <w:jc w:val="left"/>
        <w:keepNext/>
      </w:pPr>
      <w:r>
        <w:t>3.1 Research design</w:t>
      </w:r>
    </w:p>
    <w:p>
      <w:pPr>
        <w:spacing w:line="360" w:lineRule="auto" w:after="120"/>
        <w:ind w:firstLine="454"/>
        <w:jc w:val="both"/>
      </w:pPr>
      <w:r>
        <w:rPr>
          <w:rFonts w:ascii="Calibri" w:hAnsi="Calibri"/>
          <w:i w:val="0"/>
          <w:sz w:val="24"/>
        </w:rPr>
        <w:t>This thesis uses a design-and-evaluation engineering approach. The approach is descriptive rather than a claim that the project followed a specific named design-science framework. The research questions identify architectural properties that must be achieved; these properties are translated into implementation invariants; the invariants are realized in software; and the resulting artifact is evaluated with deterministic tests, a controlled synthetic benchmark, and preserved experiment records.</w:t>
      </w:r>
    </w:p>
    <w:p>
      <w:pPr>
        <w:spacing w:line="360" w:lineRule="auto" w:after="120"/>
        <w:ind w:firstLine="454"/>
        <w:jc w:val="both"/>
      </w:pPr>
      <w:r>
        <w:rPr>
          <w:rFonts w:ascii="Calibri" w:hAnsi="Calibri"/>
          <w:i w:val="0"/>
          <w:sz w:val="24"/>
        </w:rPr>
        <w:t>This methodological framing is important because the central research object is an infrastructure artifact. The thesis cannot answer its questions only by describing code, and it cannot evaluate the system only by reporting a single throughput number. Evidence is therefore divided into four classes: structural evidence from the architecture and source contracts, behavioral evidence from tests, performance evidence from the frozen benchmark, and reproducibility evidence from versioned fixtures and artifacts.</w:t>
      </w:r>
    </w:p>
    <w:p>
      <w:pPr>
        <w:pStyle w:val="Heading2"/>
        <w:jc w:val="left"/>
        <w:keepNext/>
      </w:pPr>
      <w:r>
        <w:t>3.2 Research questions and evidence mapping</w:t>
      </w:r>
    </w:p>
    <w:p>
      <w:pPr>
        <w:spacing w:before="160" w:after="80"/>
      </w:pPr>
      <w:r>
        <w:rPr>
          <w:rFonts w:ascii="Calibri" w:hAnsi="Calibri"/>
          <w:b/>
          <w:sz w:val="22"/>
        </w:rPr>
        <w:t>Table 1. Research questions, primary evidence, and claim boundaries</w:t>
      </w:r>
    </w:p>
    <w:tbl>
      <w:tblPr>
        <w:tblStyle w:val="TableGrid"/>
        <w:tblW w:type="auto" w:w="0"/>
        <w:jc w:val="center"/>
        <w:tblLook w:firstColumn="1" w:firstRow="1" w:lastColumn="0" w:lastRow="0" w:noHBand="0" w:noVBand="1" w:val="04A0"/>
      </w:tblPr>
      <w:tblGrid>
        <w:gridCol w:w="2126"/>
        <w:gridCol w:w="2126"/>
        <w:gridCol w:w="2126"/>
        <w:gridCol w:w="2126"/>
      </w:tblGrid>
      <w:tr>
        <w:trPr>
          <w:tblHeader w:val="true"/>
        </w:trPr>
        <w:tc>
          <w:tcPr>
            <w:tcW w:type="dxa" w:w="850"/>
            <w:shd w:fill="D9E1F2"/>
            <w:tcMar>
              <w:top w:w="120" w:type="dxa"/>
              <w:start w:w="120" w:type="dxa"/>
              <w:bottom w:w="120" w:type="dxa"/>
              <w:end w:w="120" w:type="dxa"/>
            </w:tcMar>
            <w:vAlign w:val="center"/>
          </w:tcPr>
          <w:p>
            <w:pPr>
              <w:spacing w:after="0"/>
              <w:jc w:val="center"/>
            </w:pPr>
            <w:r>
              <w:rPr>
                <w:rFonts w:ascii="Calibri" w:hAnsi="Calibri"/>
                <w:b/>
                <w:sz w:val="20"/>
              </w:rPr>
              <w:t>RQ</w:t>
            </w:r>
          </w:p>
        </w:tc>
        <w:tc>
          <w:tcPr>
            <w:tcW w:type="dxa" w:w="2948"/>
            <w:shd w:fill="D9E1F2"/>
            <w:tcMar>
              <w:top w:w="120" w:type="dxa"/>
              <w:start w:w="120" w:type="dxa"/>
              <w:bottom w:w="120" w:type="dxa"/>
              <w:end w:w="120" w:type="dxa"/>
            </w:tcMar>
            <w:vAlign w:val="center"/>
          </w:tcPr>
          <w:p>
            <w:pPr>
              <w:spacing w:after="0"/>
              <w:jc w:val="center"/>
            </w:pPr>
            <w:r>
              <w:rPr>
                <w:rFonts w:ascii="Calibri" w:hAnsi="Calibri"/>
                <w:b/>
                <w:sz w:val="20"/>
              </w:rPr>
              <w:t>Primary evidence</w:t>
            </w:r>
          </w:p>
        </w:tc>
        <w:tc>
          <w:tcPr>
            <w:tcW w:type="dxa" w:w="2835"/>
            <w:shd w:fill="D9E1F2"/>
            <w:tcMar>
              <w:top w:w="120" w:type="dxa"/>
              <w:start w:w="120" w:type="dxa"/>
              <w:bottom w:w="120" w:type="dxa"/>
              <w:end w:w="120" w:type="dxa"/>
            </w:tcMar>
            <w:vAlign w:val="center"/>
          </w:tcPr>
          <w:p>
            <w:pPr>
              <w:spacing w:after="0"/>
              <w:jc w:val="center"/>
            </w:pPr>
            <w:r>
              <w:rPr>
                <w:rFonts w:ascii="Calibri" w:hAnsi="Calibri"/>
                <w:b/>
                <w:sz w:val="20"/>
              </w:rPr>
              <w:t>What the evidence supports</w:t>
            </w:r>
          </w:p>
        </w:tc>
        <w:tc>
          <w:tcPr>
            <w:tcW w:type="dxa" w:w="2551"/>
            <w:shd w:fill="D9E1F2"/>
            <w:tcMar>
              <w:top w:w="120" w:type="dxa"/>
              <w:start w:w="120" w:type="dxa"/>
              <w:bottom w:w="120" w:type="dxa"/>
              <w:end w:w="120" w:type="dxa"/>
            </w:tcMar>
            <w:vAlign w:val="center"/>
          </w:tcPr>
          <w:p>
            <w:pPr>
              <w:spacing w:after="0"/>
              <w:jc w:val="center"/>
            </w:pPr>
            <w:r>
              <w:rPr>
                <w:rFonts w:ascii="Calibri" w:hAnsi="Calibri"/>
                <w:b/>
                <w:sz w:val="20"/>
              </w:rPr>
              <w:t>What it does not support</w:t>
            </w:r>
          </w:p>
        </w:tc>
      </w:tr>
      <w:tr>
        <w:tc>
          <w:tcPr>
            <w:tcW w:type="dxa" w:w="850"/>
            <w:tcMar>
              <w:top w:w="120" w:type="dxa"/>
              <w:start w:w="120" w:type="dxa"/>
              <w:bottom w:w="120" w:type="dxa"/>
              <w:end w:w="120" w:type="dxa"/>
            </w:tcMar>
            <w:vAlign w:val="center"/>
          </w:tcPr>
          <w:p>
            <w:pPr>
              <w:spacing w:after="0" w:line="240" w:lineRule="auto"/>
              <w:jc w:val="center"/>
            </w:pPr>
            <w:r>
              <w:rPr>
                <w:rFonts w:ascii="Calibri" w:hAnsi="Calibri"/>
                <w:sz w:val="19"/>
              </w:rPr>
              <w:t>RQ1</w:t>
            </w:r>
          </w:p>
        </w:tc>
        <w:tc>
          <w:tcPr>
            <w:tcW w:type="dxa" w:w="2948"/>
            <w:tcMar>
              <w:top w:w="120" w:type="dxa"/>
              <w:start w:w="120" w:type="dxa"/>
              <w:bottom w:w="120" w:type="dxa"/>
              <w:end w:w="120" w:type="dxa"/>
            </w:tcMar>
            <w:vAlign w:val="center"/>
          </w:tcPr>
          <w:p>
            <w:pPr>
              <w:spacing w:after="0" w:line="240" w:lineRule="auto"/>
              <w:jc w:val="left"/>
            </w:pPr>
            <w:r>
              <w:rPr>
                <w:rFonts w:ascii="Calibri" w:hAnsi="Calibri"/>
                <w:sz w:val="19"/>
              </w:rPr>
              <w:t>Boundary validation, EOScene transformation, provenance records, schema tests</w:t>
            </w:r>
          </w:p>
        </w:tc>
        <w:tc>
          <w:tcPr>
            <w:tcW w:type="dxa" w:w="2835"/>
            <w:tcMar>
              <w:top w:w="120" w:type="dxa"/>
              <w:start w:w="120" w:type="dxa"/>
              <w:bottom w:w="120" w:type="dxa"/>
              <w:end w:w="120" w:type="dxa"/>
            </w:tcMar>
            <w:vAlign w:val="center"/>
          </w:tcPr>
          <w:p>
            <w:pPr>
              <w:spacing w:after="0" w:line="240" w:lineRule="auto"/>
              <w:jc w:val="left"/>
            </w:pPr>
            <w:r>
              <w:rPr>
                <w:rFonts w:ascii="Calibri" w:hAnsi="Calibri"/>
                <w:sz w:val="19"/>
              </w:rPr>
              <w:t>Provider-neutral normalization with traceable source evidence</w:t>
            </w:r>
          </w:p>
        </w:tc>
        <w:tc>
          <w:tcPr>
            <w:tcW w:type="dxa" w:w="2551"/>
            <w:tcMar>
              <w:top w:w="120" w:type="dxa"/>
              <w:start w:w="120" w:type="dxa"/>
              <w:bottom w:w="120" w:type="dxa"/>
              <w:end w:w="120" w:type="dxa"/>
            </w:tcMar>
            <w:vAlign w:val="center"/>
          </w:tcPr>
          <w:p>
            <w:pPr>
              <w:spacing w:after="0" w:line="240" w:lineRule="auto"/>
              <w:jc w:val="left"/>
            </w:pPr>
            <w:r>
              <w:rPr>
                <w:rFonts w:ascii="Calibri" w:hAnsi="Calibri"/>
                <w:sz w:val="19"/>
              </w:rPr>
              <w:t>Universal compatibility with all EO providers or schemas</w:t>
            </w:r>
          </w:p>
        </w:tc>
      </w:tr>
      <w:tr>
        <w:tc>
          <w:tcPr>
            <w:tcW w:type="dxa" w:w="850"/>
            <w:tcMar>
              <w:top w:w="120" w:type="dxa"/>
              <w:start w:w="120" w:type="dxa"/>
              <w:bottom w:w="120" w:type="dxa"/>
              <w:end w:w="120" w:type="dxa"/>
            </w:tcMar>
            <w:vAlign w:val="center"/>
          </w:tcPr>
          <w:p>
            <w:pPr>
              <w:spacing w:after="0" w:line="240" w:lineRule="auto"/>
              <w:jc w:val="center"/>
            </w:pPr>
            <w:r>
              <w:rPr>
                <w:rFonts w:ascii="Calibri" w:hAnsi="Calibri"/>
                <w:sz w:val="19"/>
              </w:rPr>
              <w:t>RQ2</w:t>
            </w:r>
          </w:p>
        </w:tc>
        <w:tc>
          <w:tcPr>
            <w:tcW w:type="dxa" w:w="2948"/>
            <w:tcMar>
              <w:top w:w="120" w:type="dxa"/>
              <w:start w:w="120" w:type="dxa"/>
              <w:bottom w:w="120" w:type="dxa"/>
              <w:end w:w="120" w:type="dxa"/>
            </w:tcMar>
            <w:vAlign w:val="center"/>
          </w:tcPr>
          <w:p>
            <w:pPr>
              <w:spacing w:after="0" w:line="240" w:lineRule="auto"/>
              <w:jc w:val="left"/>
            </w:pPr>
            <w:r>
              <w:rPr>
                <w:rFonts w:ascii="Calibri" w:hAnsi="Calibri"/>
                <w:sz w:val="19"/>
              </w:rPr>
              <w:t>Bounded ingestor, timeout/429/token tests, explicit error classes</w:t>
            </w:r>
          </w:p>
        </w:tc>
        <w:tc>
          <w:tcPr>
            <w:tcW w:type="dxa" w:w="2835"/>
            <w:tcMar>
              <w:top w:w="120" w:type="dxa"/>
              <w:start w:w="120" w:type="dxa"/>
              <w:bottom w:w="120" w:type="dxa"/>
              <w:end w:w="120" w:type="dxa"/>
            </w:tcMar>
            <w:vAlign w:val="center"/>
          </w:tcPr>
          <w:p>
            <w:pPr>
              <w:spacing w:after="0" w:line="240" w:lineRule="auto"/>
              <w:jc w:val="left"/>
            </w:pPr>
            <w:r>
              <w:rPr>
                <w:rFonts w:ascii="Calibri" w:hAnsi="Calibri"/>
                <w:sz w:val="19"/>
              </w:rPr>
              <w:t>Controlled recovery behavior and bounded task creation</w:t>
            </w:r>
          </w:p>
        </w:tc>
        <w:tc>
          <w:tcPr>
            <w:tcW w:type="dxa" w:w="2551"/>
            <w:tcMar>
              <w:top w:w="120" w:type="dxa"/>
              <w:start w:w="120" w:type="dxa"/>
              <w:bottom w:w="120" w:type="dxa"/>
              <w:end w:w="120" w:type="dxa"/>
            </w:tcMar>
            <w:vAlign w:val="center"/>
          </w:tcPr>
          <w:p>
            <w:pPr>
              <w:spacing w:after="0" w:line="240" w:lineRule="auto"/>
              <w:jc w:val="left"/>
            </w:pPr>
            <w:r>
              <w:rPr>
                <w:rFonts w:ascii="Calibri" w:hAnsi="Calibri"/>
                <w:sz w:val="19"/>
              </w:rPr>
              <w:t>Production CDSE reliability or recovery rates</w:t>
            </w:r>
          </w:p>
        </w:tc>
      </w:tr>
      <w:tr>
        <w:tc>
          <w:tcPr>
            <w:tcW w:type="dxa" w:w="850"/>
            <w:tcMar>
              <w:top w:w="120" w:type="dxa"/>
              <w:start w:w="120" w:type="dxa"/>
              <w:bottom w:w="120" w:type="dxa"/>
              <w:end w:w="120" w:type="dxa"/>
            </w:tcMar>
            <w:vAlign w:val="center"/>
          </w:tcPr>
          <w:p>
            <w:pPr>
              <w:spacing w:after="0" w:line="240" w:lineRule="auto"/>
              <w:jc w:val="center"/>
            </w:pPr>
            <w:r>
              <w:rPr>
                <w:rFonts w:ascii="Calibri" w:hAnsi="Calibri"/>
                <w:sz w:val="19"/>
              </w:rPr>
              <w:t>RQ3</w:t>
            </w:r>
          </w:p>
        </w:tc>
        <w:tc>
          <w:tcPr>
            <w:tcW w:type="dxa" w:w="2948"/>
            <w:tcMar>
              <w:top w:w="120" w:type="dxa"/>
              <w:start w:w="120" w:type="dxa"/>
              <w:bottom w:w="120" w:type="dxa"/>
              <w:end w:w="120" w:type="dxa"/>
            </w:tcMar>
            <w:vAlign w:val="center"/>
          </w:tcPr>
          <w:p>
            <w:pPr>
              <w:spacing w:after="0" w:line="240" w:lineRule="auto"/>
              <w:jc w:val="left"/>
            </w:pPr>
            <w:r>
              <w:rPr>
                <w:rFonts w:ascii="Calibri" w:hAnsi="Calibri"/>
                <w:sz w:val="19"/>
              </w:rPr>
              <w:t>SQLite/WAL catalog, query tests, contention regression coverage, frozen latency value</w:t>
            </w:r>
          </w:p>
        </w:tc>
        <w:tc>
          <w:tcPr>
            <w:tcW w:type="dxa" w:w="2835"/>
            <w:tcMar>
              <w:top w:w="120" w:type="dxa"/>
              <w:start w:w="120" w:type="dxa"/>
              <w:bottom w:w="120" w:type="dxa"/>
              <w:end w:w="120" w:type="dxa"/>
            </w:tcMar>
            <w:vAlign w:val="center"/>
          </w:tcPr>
          <w:p>
            <w:pPr>
              <w:spacing w:after="0" w:line="240" w:lineRule="auto"/>
              <w:jc w:val="left"/>
            </w:pPr>
            <w:r>
              <w:rPr>
                <w:rFonts w:ascii="Calibri" w:hAnsi="Calibri"/>
                <w:sz w:val="19"/>
              </w:rPr>
              <w:t>Functional regional/temporal/quality/platform queries in the local baseline</w:t>
            </w:r>
          </w:p>
        </w:tc>
        <w:tc>
          <w:tcPr>
            <w:tcW w:type="dxa" w:w="2551"/>
            <w:tcMar>
              <w:top w:w="120" w:type="dxa"/>
              <w:start w:w="120" w:type="dxa"/>
              <w:bottom w:w="120" w:type="dxa"/>
              <w:end w:w="120" w:type="dxa"/>
            </w:tcMar>
            <w:vAlign w:val="center"/>
          </w:tcPr>
          <w:p>
            <w:pPr>
              <w:spacing w:after="0" w:line="240" w:lineRule="auto"/>
              <w:jc w:val="left"/>
            </w:pPr>
            <w:r>
              <w:rPr>
                <w:rFonts w:ascii="Calibri" w:hAnsi="Calibri"/>
                <w:sz w:val="19"/>
              </w:rPr>
              <w:t>Distributed scalability or general latency guarantees</w:t>
            </w:r>
          </w:p>
        </w:tc>
      </w:tr>
      <w:tr>
        <w:tc>
          <w:tcPr>
            <w:tcW w:type="dxa" w:w="850"/>
            <w:tcMar>
              <w:top w:w="120" w:type="dxa"/>
              <w:start w:w="120" w:type="dxa"/>
              <w:bottom w:w="120" w:type="dxa"/>
              <w:end w:w="120" w:type="dxa"/>
            </w:tcMar>
            <w:vAlign w:val="center"/>
          </w:tcPr>
          <w:p>
            <w:pPr>
              <w:spacing w:after="0" w:line="240" w:lineRule="auto"/>
              <w:jc w:val="center"/>
            </w:pPr>
            <w:r>
              <w:rPr>
                <w:rFonts w:ascii="Calibri" w:hAnsi="Calibri"/>
                <w:sz w:val="19"/>
              </w:rPr>
              <w:t>RQ4</w:t>
            </w:r>
          </w:p>
        </w:tc>
        <w:tc>
          <w:tcPr>
            <w:tcW w:type="dxa" w:w="2948"/>
            <w:tcMar>
              <w:top w:w="120" w:type="dxa"/>
              <w:start w:w="120" w:type="dxa"/>
              <w:bottom w:w="120" w:type="dxa"/>
              <w:end w:w="120" w:type="dxa"/>
            </w:tcMar>
            <w:vAlign w:val="center"/>
          </w:tcPr>
          <w:p>
            <w:pPr>
              <w:spacing w:after="0" w:line="240" w:lineRule="auto"/>
              <w:jc w:val="left"/>
            </w:pPr>
            <w:r>
              <w:rPr>
                <w:rFonts w:ascii="Calibri" w:hAnsi="Calibri"/>
                <w:sz w:val="19"/>
              </w:rPr>
              <w:t>Frozen reports, dated additive artifacts, CI, checked-in fixtures, release baseline</w:t>
            </w:r>
          </w:p>
        </w:tc>
        <w:tc>
          <w:tcPr>
            <w:tcW w:type="dxa" w:w="2835"/>
            <w:tcMar>
              <w:top w:w="120" w:type="dxa"/>
              <w:start w:w="120" w:type="dxa"/>
              <w:bottom w:w="120" w:type="dxa"/>
              <w:end w:w="120" w:type="dxa"/>
            </w:tcMar>
            <w:vAlign w:val="center"/>
          </w:tcPr>
          <w:p>
            <w:pPr>
              <w:spacing w:after="0" w:line="240" w:lineRule="auto"/>
              <w:jc w:val="left"/>
            </w:pPr>
            <w:r>
              <w:rPr>
                <w:rFonts w:ascii="Calibri" w:hAnsi="Calibri"/>
                <w:sz w:val="19"/>
              </w:rPr>
              <w:t>Repeatable offline baseline and inspectable evidence lineage</w:t>
            </w:r>
          </w:p>
        </w:tc>
        <w:tc>
          <w:tcPr>
            <w:tcW w:type="dxa" w:w="2551"/>
            <w:tcMar>
              <w:top w:w="120" w:type="dxa"/>
              <w:start w:w="120" w:type="dxa"/>
              <w:bottom w:w="120" w:type="dxa"/>
              <w:end w:w="120" w:type="dxa"/>
            </w:tcMar>
            <w:vAlign w:val="center"/>
          </w:tcPr>
          <w:p>
            <w:pPr>
              <w:spacing w:after="0" w:line="240" w:lineRule="auto"/>
              <w:jc w:val="left"/>
            </w:pPr>
            <w:r>
              <w:rPr>
                <w:rFonts w:ascii="Calibri" w:hAnsi="Calibri"/>
                <w:sz w:val="19"/>
              </w:rPr>
              <w:t>Perfect reproducibility across all hardware and provider conditions</w:t>
            </w:r>
          </w:p>
        </w:tc>
      </w:tr>
    </w:tbl>
    <w:p>
      <w:pPr>
        <w:spacing w:after="0"/>
      </w:pPr>
    </w:p>
    <w:p>
      <w:pPr>
        <w:pStyle w:val="Heading2"/>
        <w:jc w:val="left"/>
        <w:keepNext/>
      </w:pPr>
      <w:r>
        <w:t>3.3 Study context and system boundaries</w:t>
      </w:r>
    </w:p>
    <w:p>
      <w:pPr>
        <w:spacing w:line="360" w:lineRule="auto" w:after="120"/>
        <w:ind w:firstLine="454"/>
        <w:jc w:val="both"/>
      </w:pPr>
      <w:r>
        <w:rPr>
          <w:rFonts w:ascii="Calibri" w:hAnsi="Calibri"/>
          <w:i w:val="0"/>
          <w:sz w:val="24"/>
        </w:rPr>
        <w:t>The regional study context is represented by the bounding box longitude 20.5 to 22.5 and latitude 62.8 to 63.8 in EPSG:4326. This rectangle is a deterministic experimental region, not a claim that it exactly reproduces an ecological, administrative, or operational boundary of the Kvarken region. Boundary-touching scenes are counted as intersecting. Scenes with unsupported coordinate reference information are rejected instead of silently reprojected.</w:t>
      </w:r>
    </w:p>
    <w:p>
      <w:pPr>
        <w:spacing w:line="360" w:lineRule="auto" w:after="120"/>
        <w:ind w:firstLine="454"/>
        <w:jc w:val="both"/>
      </w:pPr>
      <w:r>
        <w:rPr>
          <w:rFonts w:ascii="Calibri" w:hAnsi="Calibri"/>
          <w:i w:val="0"/>
          <w:sz w:val="24"/>
        </w:rPr>
        <w:t>The evaluated release baseline is version 0.1.0. The core runtime declares no third-party Python dependencies and requires Python 3.11 or later. Continuous integration is configured for Python 3.11 and 3.12 and executes linting, formatting checks, the offline test suite, and an offline health verification. These properties are part of the reproducibility strategy because they make the expected execution environment explicit.</w:t>
      </w:r>
    </w:p>
    <w:p>
      <w:pPr>
        <w:pStyle w:val="Heading2"/>
        <w:jc w:val="left"/>
        <w:keepNext/>
      </w:pPr>
      <w:r>
        <w:t>3.4 Implementation method</w:t>
      </w:r>
    </w:p>
    <w:p>
      <w:pPr>
        <w:spacing w:line="360" w:lineRule="auto" w:after="120"/>
        <w:ind w:firstLine="454"/>
        <w:jc w:val="both"/>
      </w:pPr>
      <w:r>
        <w:rPr>
          <w:rFonts w:ascii="Calibri" w:hAnsi="Calibri"/>
          <w:i w:val="0"/>
          <w:sz w:val="24"/>
        </w:rPr>
        <w:t>Implementation proceeded by establishing narrow interfaces between provider access, domain validation, persistence, and analysis. Provider responses are validated before persistence. The resulting EOScene is immutable at the domain boundary. Concurrent ingestion is limited by a configured maximum-worker semaphore. Filesystem and SQLite operations are separated from asynchronous provider operations where needed, and append-only manifest writes are serialized.</w:t>
      </w:r>
    </w:p>
    <w:p>
      <w:pPr>
        <w:spacing w:line="360" w:lineRule="auto" w:after="120"/>
        <w:ind w:firstLine="454"/>
        <w:jc w:val="both"/>
      </w:pPr>
      <w:r>
        <w:rPr>
          <w:rFonts w:ascii="Calibri" w:hAnsi="Calibri"/>
          <w:i w:val="0"/>
          <w:sz w:val="24"/>
        </w:rPr>
        <w:t>Failure handling follows an explicit classification. Timeouts and HTTP 429 responses are treated as transient and can be retried under bounded policy. Malformed JSON, missing required fields, invalid token shapes, impossible quality values, and unsupported coordinate assumptions are treated as permanent input failures. This prevents repeated attempts from hiding deterministic data-quality problems.</w:t>
      </w:r>
    </w:p>
    <w:p>
      <w:pPr>
        <w:pStyle w:val="Heading2"/>
        <w:jc w:val="left"/>
        <w:keepNext/>
      </w:pPr>
      <w:r>
        <w:t>3.5 Evaluation strategy</w:t>
      </w:r>
    </w:p>
    <w:p>
      <w:pPr>
        <w:spacing w:line="360" w:lineRule="auto" w:after="120"/>
        <w:ind w:firstLine="454"/>
        <w:jc w:val="both"/>
      </w:pPr>
      <w:r>
        <w:rPr>
          <w:rFonts w:ascii="Calibri" w:hAnsi="Calibri"/>
          <w:i w:val="0"/>
          <w:sz w:val="24"/>
        </w:rPr>
        <w:t>Evaluation has three main layers. First, automated tests exercise malformed payload rejection, pagination, timeout and rate-limit recovery, OAuth2 expiry and token errors, provenance integrity, bounded worker limits, quality filters, raster range behavior, NDVI calculation, HTTP queries, artifact retention, SQLite contention, WAL durability, and deterministic reports. The released baseline records 53 passing offline tests. The test count is treated as a recorded release property rather than as a claim that test quantity alone proves scientific validity.</w:t>
      </w:r>
    </w:p>
    <w:p>
      <w:pPr>
        <w:spacing w:line="360" w:lineRule="auto" w:after="120"/>
        <w:ind w:firstLine="454"/>
        <w:jc w:val="both"/>
      </w:pPr>
      <w:r>
        <w:rPr>
          <w:rFonts w:ascii="Calibri" w:hAnsi="Calibri"/>
          <w:i w:val="0"/>
          <w:sz w:val="24"/>
        </w:rPr>
        <w:t>Second, the frozen synthetic benchmark uses 256 generated scenes with concurrency set to eight. The checked-in STAC fixture is used as a metadata template. Temporary SQLite and provenance storage are used for the run. The benchmark measures the complete metadata path from validation through provenance persistence and catalog indexing to regional querying and report generation. It does not measure production provider latency or representative raster download throughput.</w:t>
      </w:r>
    </w:p>
    <w:p>
      <w:pPr>
        <w:spacing w:line="360" w:lineRule="auto" w:after="120"/>
        <w:ind w:firstLine="454"/>
        <w:jc w:val="both"/>
      </w:pPr>
      <w:r>
        <w:rPr>
          <w:rFonts w:ascii="Calibri" w:hAnsi="Calibri"/>
          <w:i w:val="0"/>
          <w:sz w:val="24"/>
        </w:rPr>
        <w:t>Third, the dated 20260915 experiment artifact exercises the live-experiment harness. Because the required live credentials were absent, the run explicitly selected offline-fallback mode and the offline fixture provider. The artifact therefore tests the instrumentation path and a small calibrated raster window, but it is not used as evidence of authenticated CDSE performance.</w:t>
      </w:r>
    </w:p>
    <w:p>
      <w:pPr>
        <w:pStyle w:val="Heading2"/>
        <w:jc w:val="left"/>
        <w:keepNext/>
      </w:pPr>
      <w:r>
        <w:t>3.6 Metrics and interpretation rules</w:t>
      </w:r>
    </w:p>
    <w:p>
      <w:pPr>
        <w:spacing w:line="360" w:lineRule="auto" w:after="120"/>
        <w:ind w:firstLine="454"/>
        <w:jc w:val="both"/>
      </w:pPr>
      <w:r>
        <w:rPr>
          <w:rFonts w:ascii="Calibri" w:hAnsi="Calibri"/>
          <w:i w:val="0"/>
          <w:sz w:val="24"/>
        </w:rPr>
        <w:t>The frozen benchmark records scene count, elapsed time, throughput, payload bytes, failure count, retry count, catalog count, quality indicators, and spatial-query latency. The dated fallback artifact additionally records search round-trip time, response distribution, window throughput, peak memory, output shape, and sample NDVI. Metrics are interpreted only within the mode in which they were produced.</w:t>
      </w:r>
    </w:p>
    <w:p>
      <w:pPr>
        <w:spacing w:line="360" w:lineRule="auto" w:after="120"/>
        <w:ind w:firstLine="454"/>
        <w:jc w:val="both"/>
      </w:pPr>
      <w:r>
        <w:rPr>
          <w:rFonts w:ascii="Calibri" w:hAnsi="Calibri"/>
          <w:i w:val="0"/>
          <w:sz w:val="24"/>
        </w:rPr>
        <w:t>A central methodological rule is that exact numbers do not automatically imply generality. The measured throughput and latency are regression reference values for a controlled local environment. Zero failures and zero retries in the frozen benchmark do not demonstrate real-provider resilience. Recovery behavior is instead supported by fault-oriented tests. Likewise, a one-window throughput value does not demonstrate raster-processing scalability.</w:t>
      </w:r>
    </w:p>
    <w:p>
      <w:pPr>
        <w:pStyle w:val="Heading2"/>
        <w:jc w:val="left"/>
        <w:keepNext/>
      </w:pPr>
      <w:r>
        <w:t>3.7 Research integrity, validity, and AI-assisted work</w:t>
      </w:r>
    </w:p>
    <w:p>
      <w:pPr>
        <w:spacing w:line="360" w:lineRule="auto" w:after="120"/>
        <w:ind w:firstLine="454"/>
        <w:jc w:val="both"/>
      </w:pPr>
      <w:r>
        <w:rPr>
          <w:rFonts w:ascii="Calibri" w:hAnsi="Calibri"/>
          <w:i w:val="0"/>
          <w:sz w:val="24"/>
        </w:rPr>
        <w:t>No human participants or learning outcomes are evaluated in this thesis. The educational contribution is therefore limited to implementation of a demonstrable interface and offline-safe processing path. The study also avoids presenting the synthetic fixture distribution as representative of real Sentinel-2 scene quality.</w:t>
      </w:r>
    </w:p>
    <w:p>
      <w:pPr>
        <w:spacing w:line="360" w:lineRule="auto" w:after="120"/>
        <w:ind w:firstLine="454"/>
        <w:jc w:val="both"/>
      </w:pPr>
      <w:r>
        <w:rPr>
          <w:rFonts w:ascii="Calibri" w:hAnsi="Calibri"/>
          <w:i w:val="0"/>
          <w:sz w:val="24"/>
        </w:rPr>
        <w:t>Generative AI tools were used during preparation of the thesis for drafting assistance, restructuring, language editing, and preparation of presentation material. The author reviewed the resulting text and remains responsible for the scientific claims, methods, results, references, and conclusions. Quantitative experiment values were not generated by the AI system; they are taken from the project evidence described in this thesis. This use is disclosed in Appendix A in accordance with the University of Vaasa guidance supplied for the project (University of Vaasa, 2026).</w:t>
      </w:r>
    </w:p>
    <w:p>
      <w:pPr>
        <w:pStyle w:val="Heading1"/>
        <w:jc w:val="left"/>
        <w:keepNext/>
      </w:pPr>
      <w:r>
        <w:t>4 SYSTEM ARCHITECTURE</w:t>
      </w:r>
    </w:p>
    <w:p>
      <w:pPr>
        <w:pStyle w:val="Heading2"/>
        <w:jc w:val="left"/>
        <w:keepNext/>
      </w:pPr>
      <w:r>
        <w:t>4.1 Architectural objectives and invariants</w:t>
      </w:r>
    </w:p>
    <w:p>
      <w:pPr>
        <w:spacing w:line="360" w:lineRule="auto" w:after="120"/>
        <w:ind w:firstLine="454"/>
        <w:jc w:val="both"/>
      </w:pPr>
      <w:r>
        <w:rPr>
          <w:rFonts w:ascii="Calibri" w:hAnsi="Calibri"/>
          <w:i w:val="0"/>
          <w:sz w:val="24"/>
        </w:rPr>
        <w:t>The architecture is built around five invariants: boundary validation, transport decoupling, bounded concurrency, append-only provenance, and deterministic spatial evaluation. These invariants convert broad quality goals into concrete design constraints. Validation protects persistence from malformed external data. Transport decoupling allows provider behavior to be replaced with offline fixtures. Bounded concurrency prevents uncontrolled task creation. Append-only provenance protects evidence history. Deterministic spatial evaluation makes regional inclusion rules explicit.</w:t>
      </w:r>
    </w:p>
    <w:p>
      <w:pPr>
        <w:spacing w:line="360" w:lineRule="auto" w:after="120"/>
        <w:ind w:firstLine="454"/>
        <w:jc w:val="both"/>
      </w:pPr>
      <w:r>
        <w:rPr>
          <w:rFonts w:ascii="Calibri" w:hAnsi="Calibri"/>
          <w:i w:val="0"/>
          <w:sz w:val="24"/>
        </w:rPr>
        <w:t>A sixth practical objective is minimal runtime complexity. The baseline favors standard-library components and small modules. This is not presented as a general recommendation against mature geospatial libraries. It is an experimental choice that reduces environmental variability and makes the research contracts easier to inspect.</w:t>
      </w:r>
    </w:p>
    <w:p>
      <w:pPr>
        <w:spacing w:before="160" w:after="80"/>
      </w:pPr>
      <w:r>
        <w:rPr>
          <w:rFonts w:ascii="Calibri" w:hAnsi="Calibri"/>
          <w:b/>
          <w:sz w:val="22"/>
        </w:rPr>
        <w:t>Figure 1. Conceptual architecture of the implemented Earth Observation pipeline</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fill="EEF2F7"/>
            <w:tcMar>
              <w:top w:w="160" w:type="dxa"/>
              <w:start w:w="110" w:type="dxa"/>
              <w:bottom w:w="160" w:type="dxa"/>
              <w:end w:w="110" w:type="dxa"/>
            </w:tcMar>
            <w:vAlign w:val="center"/>
          </w:tcPr>
          <w:p>
            <w:pPr>
              <w:spacing w:after="0"/>
              <w:jc w:val="center"/>
            </w:pPr>
            <w:r>
              <w:rPr>
                <w:rFonts w:ascii="Calibri" w:hAnsi="Calibri"/>
                <w:b/>
                <w:sz w:val="18"/>
              </w:rPr>
              <w:t>Provider / offline fixture</w:t>
            </w:r>
          </w:p>
        </w:tc>
        <w:tc>
          <w:tcPr>
            <w:tcW w:type="dxa" w:w="1701"/>
            <w:shd w:fill="D9E1F2"/>
            <w:tcMar>
              <w:top w:w="160" w:type="dxa"/>
              <w:start w:w="110" w:type="dxa"/>
              <w:bottom w:w="160" w:type="dxa"/>
              <w:end w:w="110" w:type="dxa"/>
            </w:tcMar>
            <w:vAlign w:val="center"/>
          </w:tcPr>
          <w:p>
            <w:pPr>
              <w:spacing w:after="0"/>
              <w:jc w:val="center"/>
            </w:pPr>
            <w:r>
              <w:rPr>
                <w:rFonts w:ascii="Calibri" w:hAnsi="Calibri"/>
                <w:b/>
                <w:sz w:val="18"/>
              </w:rPr>
              <w:t>Transport, OAuth2, retry policy</w:t>
            </w:r>
          </w:p>
        </w:tc>
        <w:tc>
          <w:tcPr>
            <w:tcW w:type="dxa" w:w="1701"/>
            <w:shd w:fill="EEF2F7"/>
            <w:tcMar>
              <w:top w:w="160" w:type="dxa"/>
              <w:start w:w="110" w:type="dxa"/>
              <w:bottom w:w="160" w:type="dxa"/>
              <w:end w:w="110" w:type="dxa"/>
            </w:tcMar>
            <w:vAlign w:val="center"/>
          </w:tcPr>
          <w:p>
            <w:pPr>
              <w:spacing w:after="0"/>
              <w:jc w:val="center"/>
            </w:pPr>
            <w:r>
              <w:rPr>
                <w:rFonts w:ascii="Calibri" w:hAnsi="Calibri"/>
                <w:b/>
                <w:sz w:val="18"/>
              </w:rPr>
              <w:t>Validation and EOScene</w:t>
            </w:r>
          </w:p>
        </w:tc>
        <w:tc>
          <w:tcPr>
            <w:tcW w:type="dxa" w:w="1701"/>
            <w:shd w:fill="D9E1F2"/>
            <w:tcMar>
              <w:top w:w="160" w:type="dxa"/>
              <w:start w:w="110" w:type="dxa"/>
              <w:bottom w:w="160" w:type="dxa"/>
              <w:end w:w="110" w:type="dxa"/>
            </w:tcMar>
            <w:vAlign w:val="center"/>
          </w:tcPr>
          <w:p>
            <w:pPr>
              <w:spacing w:after="0"/>
              <w:jc w:val="center"/>
            </w:pPr>
            <w:r>
              <w:rPr>
                <w:rFonts w:ascii="Calibri" w:hAnsi="Calibri"/>
                <w:b/>
                <w:sz w:val="18"/>
              </w:rPr>
              <w:t>Bounded ingestion, provenance, SQLite catalog</w:t>
            </w:r>
          </w:p>
        </w:tc>
        <w:tc>
          <w:tcPr>
            <w:tcW w:type="dxa" w:w="1701"/>
            <w:shd w:fill="EEF2F7"/>
            <w:tcMar>
              <w:top w:w="160" w:type="dxa"/>
              <w:start w:w="110" w:type="dxa"/>
              <w:bottom w:w="160" w:type="dxa"/>
              <w:end w:w="110" w:type="dxa"/>
            </w:tcMar>
            <w:vAlign w:val="center"/>
          </w:tcPr>
          <w:p>
            <w:pPr>
              <w:spacing w:after="0"/>
              <w:jc w:val="center"/>
            </w:pPr>
            <w:r>
              <w:rPr>
                <w:rFonts w:ascii="Calibri" w:hAnsi="Calibri"/>
                <w:b/>
                <w:sz w:val="18"/>
              </w:rPr>
              <w:t>Quality, NDVI, reports, educational API</w:t>
            </w:r>
          </w:p>
        </w:tc>
      </w:tr>
    </w:tbl>
    <w:p>
      <w:pPr>
        <w:spacing w:after="0"/>
      </w:pPr>
    </w:p>
    <w:p>
      <w:pPr>
        <w:pStyle w:val="Heading2"/>
        <w:jc w:val="left"/>
        <w:keepNext/>
      </w:pPr>
      <w:r>
        <w:t>4.2 Provider boundary and transport decoupling</w:t>
      </w:r>
    </w:p>
    <w:p>
      <w:pPr>
        <w:spacing w:line="360" w:lineRule="auto" w:after="120"/>
        <w:ind w:firstLine="454"/>
        <w:jc w:val="both"/>
      </w:pPr>
      <w:r>
        <w:rPr>
          <w:rFonts w:ascii="Calibri" w:hAnsi="Calibri"/>
          <w:i w:val="0"/>
          <w:sz w:val="24"/>
        </w:rPr>
        <w:t>Provider adapters are responsible for network-facing behavior such as search requests, pagination, OAuth2 token acquisition, transient retry decisions, and response decoding. The rest of the system does not depend directly on a particular HTTP client or provider implementation. Both token and STAC transports can be replaced by test fakes. As a result, the same transformation logic can be exercised with live-compatible response structures in a fully offline environment.</w:t>
      </w:r>
    </w:p>
    <w:p>
      <w:pPr>
        <w:spacing w:line="360" w:lineRule="auto" w:after="120"/>
        <w:ind w:firstLine="454"/>
        <w:jc w:val="both"/>
      </w:pPr>
      <w:r>
        <w:rPr>
          <w:rFonts w:ascii="Calibri" w:hAnsi="Calibri"/>
          <w:i w:val="0"/>
          <w:sz w:val="24"/>
        </w:rPr>
        <w:t>This boundary is particularly important for reproducibility. If authentication, retry timing, and provider parsing were spread throughout the application, offline tests could not reproduce the same logical path. By containing provider behavior behind narrow interfaces, the system can distinguish provider availability from the correctness of the research pipeline itself.</w:t>
      </w:r>
    </w:p>
    <w:p>
      <w:pPr>
        <w:pStyle w:val="Heading2"/>
        <w:jc w:val="left"/>
        <w:keepNext/>
      </w:pPr>
      <w:r>
        <w:t>4.3 Typed domain model</w:t>
      </w:r>
    </w:p>
    <w:p>
      <w:pPr>
        <w:spacing w:line="360" w:lineRule="auto" w:after="120"/>
        <w:ind w:firstLine="454"/>
        <w:jc w:val="both"/>
      </w:pPr>
      <w:r>
        <w:rPr>
          <w:rFonts w:ascii="Calibri" w:hAnsi="Calibri"/>
          <w:i w:val="0"/>
          <w:sz w:val="24"/>
        </w:rPr>
        <w:t>Validated provider records are transformed into EOScene, a frozen provider-neutral data structure. The scene model stores a stable identifier, platform, acquisition time, cloud cover, GeoJSON footprint, optional bounding box, coordinate reference information, and assets. The frozen representation prevents later processing stages from silently mutating the accepted scene description.</w:t>
      </w:r>
    </w:p>
    <w:p>
      <w:pPr>
        <w:spacing w:line="360" w:lineRule="auto" w:after="120"/>
        <w:ind w:firstLine="454"/>
        <w:jc w:val="both"/>
      </w:pPr>
      <w:r>
        <w:rPr>
          <w:rFonts w:ascii="Calibri" w:hAnsi="Calibri"/>
          <w:i w:val="0"/>
          <w:sz w:val="24"/>
        </w:rPr>
        <w:t>Boundary validation checks required fields, temporal syntax, coordinate structure, cloud-cover range, and asset references before the record enters persistence. This is a deliberate separation of concerns: provider adapters may change as external services evolve, but catalog and analytical code should continue to consume the same domain concepts.</w:t>
      </w:r>
    </w:p>
    <w:p>
      <w:pPr>
        <w:pStyle w:val="Heading2"/>
        <w:jc w:val="left"/>
        <w:keepNext/>
      </w:pPr>
      <w:r>
        <w:t>4.4 Bounded asynchronous ingestion</w:t>
      </w:r>
    </w:p>
    <w:p>
      <w:pPr>
        <w:spacing w:line="360" w:lineRule="auto" w:after="120"/>
        <w:ind w:firstLine="454"/>
        <w:jc w:val="both"/>
      </w:pPr>
      <w:r>
        <w:rPr>
          <w:rFonts w:ascii="Calibri" w:hAnsi="Calibri"/>
          <w:i w:val="0"/>
          <w:sz w:val="24"/>
        </w:rPr>
        <w:t>ConcurrentEOIngestor coordinates provider work and persistence. A semaphore enforces an explicit maximum number of active workers. The design prevents unbounded task creation when a provider returns many items. Where synchronous filesystem or SQLite operations are needed, they are separated from the event loop so that network-facing asynchronous tasks do not block on local persistence.</w:t>
      </w:r>
    </w:p>
    <w:p>
      <w:pPr>
        <w:spacing w:line="360" w:lineRule="auto" w:after="120"/>
        <w:ind w:firstLine="454"/>
        <w:jc w:val="both"/>
      </w:pPr>
      <w:r>
        <w:rPr>
          <w:rFonts w:ascii="Calibri" w:hAnsi="Calibri"/>
          <w:i w:val="0"/>
          <w:sz w:val="24"/>
        </w:rPr>
        <w:t>Retries are explicit and bounded. The implementation treats timeouts and rate-limit responses as transient. Malformed payloads and schema failures are terminal. This distinction is a key answer to RQ2 because it connects concurrency control with semantic error handling: the system not only limits how much work can occur at once, but also limits which failures are eligible for repeated work.</w:t>
      </w:r>
    </w:p>
    <w:p>
      <w:pPr>
        <w:pStyle w:val="Heading2"/>
        <w:jc w:val="left"/>
        <w:keepNext/>
      </w:pPr>
      <w:r>
        <w:t>4.5 Provenance and content addressing</w:t>
      </w:r>
    </w:p>
    <w:p>
      <w:pPr>
        <w:spacing w:line="360" w:lineRule="auto" w:after="120"/>
        <w:ind w:firstLine="454"/>
        <w:jc w:val="both"/>
      </w:pPr>
      <w:r>
        <w:rPr>
          <w:rFonts w:ascii="Calibri" w:hAnsi="Calibri"/>
          <w:i w:val="0"/>
          <w:sz w:val="24"/>
        </w:rPr>
        <w:t>Before hashing, raw provider payloads are serialized as canonical UTF-8 JSON with deterministic key ordering and compact separators. A SHA-256 digest is computed from this canonical representation and used as the content address. The raw payload and an append-only manifest record together establish a traceable relationship between external evidence and the normalized scene stored in the catalog.</w:t>
      </w:r>
    </w:p>
    <w:p>
      <w:pPr>
        <w:spacing w:line="360" w:lineRule="auto" w:after="120"/>
        <w:ind w:firstLine="454"/>
        <w:jc w:val="both"/>
      </w:pPr>
      <w:r>
        <w:rPr>
          <w:rFonts w:ascii="Calibri" w:hAnsi="Calibri"/>
          <w:i w:val="0"/>
          <w:sz w:val="24"/>
        </w:rPr>
        <w:t>This design supports reproducibility in two ways. First, the digest can reveal whether two stored payloads are content-identical. Second, the append-only manifest preserves the event history rather than rewriting it when a scene is reprocessed. The mechanism is intentionally simple, but it creates a stable audit trail for the research baseline.</w:t>
      </w:r>
    </w:p>
    <w:p>
      <w:pPr>
        <w:pStyle w:val="Heading2"/>
        <w:jc w:val="left"/>
        <w:keepNext/>
      </w:pPr>
      <w:r>
        <w:t>4.6 Spatial catalog</w:t>
      </w:r>
    </w:p>
    <w:p>
      <w:pPr>
        <w:spacing w:line="360" w:lineRule="auto" w:after="120"/>
        <w:ind w:firstLine="454"/>
        <w:jc w:val="both"/>
      </w:pPr>
      <w:r>
        <w:rPr>
          <w:rFonts w:ascii="Calibri" w:hAnsi="Calibri"/>
          <w:i w:val="0"/>
          <w:sz w:val="24"/>
        </w:rPr>
        <w:t>SpatialCatalog stores normalized scene metadata in SQLite. Scene identifiers act as stable keys, and re-indexing a scene updates its normalized metadata atomically. Indexes support platform, acquisition time, cloud cover, and bounding-box predicates. Regional queries first apply a rectangular pre-filter in SQL and then perform deterministic polygon intersection tests.</w:t>
      </w:r>
    </w:p>
    <w:p>
      <w:pPr>
        <w:spacing w:line="360" w:lineRule="auto" w:after="120"/>
        <w:ind w:firstLine="454"/>
        <w:jc w:val="both"/>
      </w:pPr>
      <w:r>
        <w:rPr>
          <w:rFonts w:ascii="Calibri" w:hAnsi="Calibri"/>
          <w:i w:val="0"/>
          <w:sz w:val="24"/>
        </w:rPr>
        <w:t>WAL mode is used to support mixed reader and writer activity on one host. This choice is aligned with the research scale of the system, but the thesis does not interpret it as distributed concurrency. SQLite permits only one writer at a time in WAL mode, and the architecture therefore remains a single-node baseline (SQLite Consortium, 2024).</w:t>
      </w:r>
    </w:p>
    <w:p>
      <w:pPr>
        <w:pStyle w:val="Heading2"/>
        <w:jc w:val="left"/>
        <w:keepNext/>
      </w:pPr>
      <w:r>
        <w:t>4.7 Metadata quality profiling</w:t>
      </w:r>
    </w:p>
    <w:p>
      <w:pPr>
        <w:spacing w:line="360" w:lineRule="auto" w:after="120"/>
        <w:ind w:firstLine="454"/>
        <w:jc w:val="both"/>
      </w:pPr>
      <w:r>
        <w:rPr>
          <w:rFonts w:ascii="Calibri" w:hAnsi="Calibri"/>
          <w:i w:val="0"/>
          <w:sz w:val="24"/>
        </w:rPr>
        <w:t>Quality profiling is performed from stored metadata without opening raster assets. The profiler checks geometry validity, required asset completeness, and cloud-risk metadata. Catalog queries can apply the same metadata-oriented filters before expensive raster work. This creates a deliberate staging principle: inexpensive metadata checks should reduce the data set before downstream processing.</w:t>
      </w:r>
    </w:p>
    <w:p>
      <w:pPr>
        <w:pStyle w:val="Heading2"/>
        <w:jc w:val="left"/>
        <w:keepNext/>
      </w:pPr>
      <w:r>
        <w:t>4.8 Raster and NDVI slice</w:t>
      </w:r>
    </w:p>
    <w:p>
      <w:pPr>
        <w:spacing w:line="360" w:lineRule="auto" w:after="120"/>
        <w:ind w:firstLine="454"/>
        <w:jc w:val="both"/>
      </w:pPr>
      <w:r>
        <w:rPr>
          <w:rFonts w:ascii="Calibri" w:hAnsi="Calibri"/>
          <w:i w:val="0"/>
          <w:sz w:val="24"/>
        </w:rPr>
        <w:t>The raster component is intentionally limited. RasterAssetFetcher performs inclusive HTTP byte-range requests for COG-like assets, and calculate_ndvi computes per-pixel NDVI values for aligned red and near-infrared arrays. Missing bands and shape mismatches fail explicitly. The project also includes simple multiscale downsampling for aligned spectral grids.</w:t>
      </w:r>
    </w:p>
    <w:p>
      <w:pPr>
        <w:spacing w:line="360" w:lineRule="auto" w:after="120"/>
        <w:ind w:firstLine="454"/>
        <w:jc w:val="both"/>
      </w:pPr>
      <w:r>
        <w:rPr>
          <w:rFonts w:ascii="Calibri" w:hAnsi="Calibri"/>
          <w:i w:val="0"/>
          <w:sz w:val="24"/>
        </w:rPr>
        <w:t>These functions demonstrate how raster access can be connected to the metadata infrastructure without claiming a full GeoTIFF processing engine. Representative decoding, reprojection, tiling, distributed raster processing, and large-scene memory behavior remain future work.</w:t>
      </w:r>
    </w:p>
    <w:p>
      <w:pPr>
        <w:pStyle w:val="Heading2"/>
        <w:jc w:val="left"/>
        <w:keepNext/>
      </w:pPr>
      <w:r>
        <w:t>4.9 Educational HTTP interface</w:t>
      </w:r>
    </w:p>
    <w:p>
      <w:pPr>
        <w:spacing w:line="360" w:lineRule="auto" w:after="120"/>
        <w:ind w:firstLine="454"/>
        <w:jc w:val="both"/>
      </w:pPr>
      <w:r>
        <w:rPr>
          <w:rFonts w:ascii="Calibri" w:hAnsi="Calibri"/>
          <w:i w:val="0"/>
          <w:sz w:val="24"/>
        </w:rPr>
        <w:t>The educational service is deliberately read-only. It exposes health information and scene queries backed by the catalog. Query parameters can filter by platform, temporal range, cloud cover, and bounding box. The interface does not expose credentials, raw provenance paths, or arbitrary SQL. This keeps the demonstration surface simple and reduces the risk that a teaching interface bypasses the same validation boundaries used by the research system.</w:t>
      </w:r>
    </w:p>
    <w:p>
      <w:pPr>
        <w:pStyle w:val="Heading2"/>
        <w:jc w:val="left"/>
        <w:keepNext/>
      </w:pPr>
      <w:r>
        <w:t>4.10 Hybrid execution model</w:t>
      </w:r>
    </w:p>
    <w:p>
      <w:pPr>
        <w:spacing w:line="360" w:lineRule="auto" w:after="120"/>
        <w:ind w:firstLine="454"/>
        <w:jc w:val="both"/>
      </w:pPr>
      <w:r>
        <w:rPr>
          <w:rFonts w:ascii="Calibri" w:hAnsi="Calibri"/>
          <w:i w:val="0"/>
          <w:sz w:val="24"/>
        </w:rPr>
        <w:t>The complete architecture can operate in two provider modes. When the required environment configuration is present, the provider boundary is compatible with authenticated CDSE access. When credentials are absent, the live-experiment command selects the checked-in offline fixture and records the mode explicitly. Both modes feed the same validation, transformation, persistence, and reporting contracts.</w:t>
      </w:r>
    </w:p>
    <w:p>
      <w:pPr>
        <w:spacing w:line="360" w:lineRule="auto" w:after="120"/>
        <w:ind w:firstLine="454"/>
        <w:jc w:val="both"/>
      </w:pPr>
      <w:r>
        <w:rPr>
          <w:rFonts w:ascii="Calibri" w:hAnsi="Calibri"/>
          <w:i w:val="0"/>
          <w:sz w:val="24"/>
        </w:rPr>
        <w:t>The architecture is therefore hybrid in a concrete sense: external services supply or emulate provider data, while local components preserve evidence, maintain the catalog, run selected analyses, and generate research artifacts. The offline path is not a substitute for live performance evaluation. It is a reproducibility mechanism that allows the scientific pipeline to be exercised independently of provider availability.</w:t>
      </w:r>
    </w:p>
    <w:p>
      <w:pPr>
        <w:pStyle w:val="Heading1"/>
        <w:jc w:val="left"/>
        <w:keepNext/>
      </w:pPr>
      <w:r>
        <w:t>5 IMPLEMENTATION</w:t>
      </w:r>
    </w:p>
    <w:p>
      <w:pPr>
        <w:pStyle w:val="Heading2"/>
        <w:jc w:val="left"/>
        <w:keepNext/>
      </w:pPr>
      <w:r>
        <w:t>5.1 Release baseline and software organization</w:t>
      </w:r>
    </w:p>
    <w:p>
      <w:pPr>
        <w:spacing w:line="360" w:lineRule="auto" w:after="120"/>
        <w:ind w:firstLine="454"/>
        <w:jc w:val="both"/>
      </w:pPr>
      <w:r>
        <w:rPr>
          <w:rFonts w:ascii="Calibri" w:hAnsi="Calibri"/>
          <w:i w:val="0"/>
          <w:sz w:val="24"/>
        </w:rPr>
        <w:t>The evaluated software baseline is version 0.1.0. Application code is organized under the kvarken_eo package, tests are separated from the runtime modules, and the repository stores architecture, experiment, and thesis documentation alongside the implementation (Ebrahimzadeh Esfahani, 2026). The core runtime declares no third-party dependencies, while development dependencies provide pytest, pytest-asyncio, and Ruff support.</w:t>
      </w:r>
    </w:p>
    <w:p>
      <w:pPr>
        <w:spacing w:line="360" w:lineRule="auto" w:after="120"/>
        <w:ind w:firstLine="454"/>
        <w:jc w:val="both"/>
      </w:pPr>
      <w:r>
        <w:rPr>
          <w:rFonts w:ascii="Calibri" w:hAnsi="Calibri"/>
          <w:i w:val="0"/>
          <w:sz w:val="24"/>
        </w:rPr>
        <w:t>The implementation targets Python 3.11 or later. Continuous integration runs on Python 3.11 and 3.12. Each CI execution installs the project, checks linting, checks formatting, runs the test suite, and executes the offline health verification. Live provider calls are deliberately excluded from CI so that the baseline remains deterministic and does not depend on credentials or provider availability.</w:t>
      </w:r>
    </w:p>
    <w:p>
      <w:pPr>
        <w:pStyle w:val="Heading2"/>
        <w:jc w:val="left"/>
        <w:keepNext/>
      </w:pPr>
      <w:r>
        <w:t>5.2 STAC search and transformation</w:t>
      </w:r>
    </w:p>
    <w:p>
      <w:pPr>
        <w:spacing w:line="360" w:lineRule="auto" w:after="120"/>
        <w:ind w:firstLine="454"/>
        <w:jc w:val="both"/>
      </w:pPr>
      <w:r>
        <w:rPr>
          <w:rFonts w:ascii="Calibri" w:hAnsi="Calibri"/>
          <w:i w:val="0"/>
          <w:sz w:val="24"/>
        </w:rPr>
        <w:t>The STAC client is dependency-free and uses an injectable transport. It handles item search and pagination while keeping provider JSON outside the core domain until validation succeeds. The transformation path maps accepted items into EOScene instances. This design is the primary implementation mechanism for RQ1: heterogeneity is contained at the adapter boundary, while later stages consume a stable scene representation.</w:t>
      </w:r>
    </w:p>
    <w:p>
      <w:pPr>
        <w:pStyle w:val="Heading2"/>
        <w:jc w:val="left"/>
        <w:keepNext/>
      </w:pPr>
      <w:r>
        <w:t>5.3 CDSE token and provider integration</w:t>
      </w:r>
    </w:p>
    <w:p>
      <w:pPr>
        <w:spacing w:line="360" w:lineRule="auto" w:after="120"/>
        <w:ind w:firstLine="454"/>
        <w:jc w:val="both"/>
      </w:pPr>
      <w:r>
        <w:rPr>
          <w:rFonts w:ascii="Calibri" w:hAnsi="Calibri"/>
          <w:i w:val="0"/>
          <w:sz w:val="24"/>
        </w:rPr>
        <w:t>CDSETokenProvider performs OAuth2 client-credentials exchange using credentials supplied by the caller. Token refresh is bounded and protected against overlapping refresh work. CDSEClient composes token acquisition with the existing STAC search and validation path. Tests use injectable transports and do not store real credentials in fixtures or reports.</w:t>
      </w:r>
    </w:p>
    <w:p>
      <w:pPr>
        <w:spacing w:line="360" w:lineRule="auto" w:after="120"/>
        <w:ind w:firstLine="454"/>
        <w:jc w:val="both"/>
      </w:pPr>
      <w:r>
        <w:rPr>
          <w:rFonts w:ascii="Calibri" w:hAnsi="Calibri"/>
          <w:i w:val="0"/>
          <w:sz w:val="24"/>
        </w:rPr>
        <w:t>This integration intentionally separates authentication correctness from provider availability. A token shape can be validated in an offline test, and expiry behavior can be exercised deterministically. When live credentials are unavailable, the system records the fallback mode rather than pretending that a remote call occurred.</w:t>
      </w:r>
    </w:p>
    <w:p>
      <w:pPr>
        <w:pStyle w:val="Heading2"/>
        <w:jc w:val="left"/>
        <w:keepNext/>
      </w:pPr>
      <w:r>
        <w:t>5.4 Provenance sink and retention</w:t>
      </w:r>
    </w:p>
    <w:p>
      <w:pPr>
        <w:spacing w:line="360" w:lineRule="auto" w:after="120"/>
        <w:ind w:firstLine="454"/>
        <w:jc w:val="both"/>
      </w:pPr>
      <w:r>
        <w:rPr>
          <w:rFonts w:ascii="Calibri" w:hAnsi="Calibri"/>
          <w:i w:val="0"/>
          <w:sz w:val="24"/>
        </w:rPr>
        <w:t>The provenance sink stores canonical raw payloads and appends manifest records. Manifest appends are serialized, and filesystem work can be moved away from the event loop. Retention operations are explicit. Raw payload pruning is designed to be inspected in dry-run mode before deletion, and the frozen experiment report is never a target of live-artifact cleanup.</w:t>
      </w:r>
    </w:p>
    <w:p>
      <w:pPr>
        <w:spacing w:line="360" w:lineRule="auto" w:after="120"/>
        <w:ind w:firstLine="454"/>
        <w:jc w:val="both"/>
      </w:pPr>
      <w:r>
        <w:rPr>
          <w:rFonts w:ascii="Calibri" w:hAnsi="Calibri"/>
          <w:i w:val="0"/>
          <w:sz w:val="24"/>
        </w:rPr>
        <w:t>This conservative behavior is part of the research design. Data retention and experiment preservation are treated as separate concerns. Operational cleanup may remove dated live artifacts according to a retention policy, but the frozen baseline remains immutable for regression comparison.</w:t>
      </w:r>
    </w:p>
    <w:p>
      <w:pPr>
        <w:pStyle w:val="Heading2"/>
        <w:jc w:val="left"/>
        <w:keepNext/>
      </w:pPr>
      <w:r>
        <w:t>5.5 Spatial queries and quality filters</w:t>
      </w:r>
    </w:p>
    <w:p>
      <w:pPr>
        <w:spacing w:line="360" w:lineRule="auto" w:after="120"/>
        <w:ind w:firstLine="454"/>
        <w:jc w:val="both"/>
      </w:pPr>
      <w:r>
        <w:rPr>
          <w:rFonts w:ascii="Calibri" w:hAnsi="Calibri"/>
          <w:i w:val="0"/>
          <w:sz w:val="24"/>
        </w:rPr>
        <w:t>The catalog supports indexed filters for scene identity, platform, acquisition time, cloud cover, and bounding boxes. Region queries use the Kvarken preset where appropriate and retain scenes that touch the boundary. Quality filters can require named assets and a maximum cloud-cover value before raster processing is considered.</w:t>
      </w:r>
    </w:p>
    <w:p>
      <w:pPr>
        <w:spacing w:line="360" w:lineRule="auto" w:after="120"/>
        <w:ind w:firstLine="454"/>
        <w:jc w:val="both"/>
      </w:pPr>
      <w:r>
        <w:rPr>
          <w:rFonts w:ascii="Calibri" w:hAnsi="Calibri"/>
          <w:i w:val="0"/>
          <w:sz w:val="24"/>
        </w:rPr>
        <w:t>The implementation rejects unsupported coordinate reference assumptions instead of silently reprojecting. This decision reduces hidden behavior in the baseline. It also narrows the scope: the system is not yet a general-purpose geospatial processing engine capable of arbitrary CRS transformation.</w:t>
      </w:r>
    </w:p>
    <w:p>
      <w:pPr>
        <w:pStyle w:val="Heading2"/>
        <w:jc w:val="left"/>
        <w:keepNext/>
      </w:pPr>
      <w:r>
        <w:t>5.6 Health verification and experiment commands</w:t>
      </w:r>
    </w:p>
    <w:p>
      <w:pPr>
        <w:spacing w:line="360" w:lineRule="auto" w:after="120"/>
        <w:ind w:firstLine="454"/>
        <w:jc w:val="both"/>
      </w:pPr>
      <w:r>
        <w:rPr>
          <w:rFonts w:ascii="Calibri" w:hAnsi="Calibri"/>
          <w:i w:val="0"/>
          <w:sz w:val="24"/>
        </w:rPr>
        <w:t>The repository provides an offline health verification that ingests the checked-in fixture, records provenance, indexes and queries the scene, checks retention behavior, runs SQLite integrity and maintenance operations, and confirms that payloads are not unexpectedly orphaned. The benchmark-report path generates deterministic JSON and Markdown artifacts from a controlled synthetic workload.</w:t>
      </w:r>
    </w:p>
    <w:p>
      <w:pPr>
        <w:spacing w:line="360" w:lineRule="auto" w:after="120"/>
        <w:ind w:firstLine="454"/>
        <w:jc w:val="both"/>
      </w:pPr>
      <w:r>
        <w:rPr>
          <w:rFonts w:ascii="Calibri" w:hAnsi="Calibri"/>
          <w:i w:val="0"/>
          <w:sz w:val="24"/>
        </w:rPr>
        <w:t>The live-experiment path is environment-aware. It uses authenticated CDSE only when all required configuration values are present; otherwise, it uses the offline fixture. Dated artifacts are additive and must not overwrite a same-day report. This behavior ensures that the provenance of an experiment mode remains visible in the artifact itself.</w:t>
      </w:r>
    </w:p>
    <w:p>
      <w:pPr>
        <w:pStyle w:val="Heading1"/>
        <w:jc w:val="left"/>
        <w:keepNext/>
      </w:pPr>
      <w:r>
        <w:t>6 RESULTS</w:t>
      </w:r>
    </w:p>
    <w:p>
      <w:pPr>
        <w:pStyle w:val="Heading2"/>
        <w:jc w:val="left"/>
        <w:keepNext/>
      </w:pPr>
      <w:r>
        <w:t>6.1 Frozen synthetic baseline</w:t>
      </w:r>
    </w:p>
    <w:p>
      <w:pPr>
        <w:spacing w:line="360" w:lineRule="auto" w:after="120"/>
        <w:ind w:firstLine="454"/>
        <w:jc w:val="both"/>
      </w:pPr>
      <w:r>
        <w:rPr>
          <w:rFonts w:ascii="Calibri" w:hAnsi="Calibri"/>
          <w:i w:val="0"/>
          <w:sz w:val="24"/>
        </w:rPr>
        <w:t>The frozen benchmark was generated with 256 synthetic scenes and concurrency set to eight. The benchmark exercises validation, transformation, provenance writes, SQLite catalog indexing, quality profiling, regional querying, and report generation. The complete metadata-path results are shown in Table 2.</w:t>
      </w:r>
    </w:p>
    <w:p>
      <w:pPr>
        <w:spacing w:before="160" w:after="80"/>
      </w:pPr>
      <w:r>
        <w:rPr>
          <w:rFonts w:ascii="Calibri" w:hAnsi="Calibri"/>
          <w:b/>
          <w:sz w:val="22"/>
        </w:rPr>
        <w:t>Table 2. Frozen synthetic benchmark results</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2381"/>
            <w:shd w:fill="D9E1F2"/>
            <w:tcMar>
              <w:top w:w="120" w:type="dxa"/>
              <w:start w:w="120" w:type="dxa"/>
              <w:bottom w:w="120" w:type="dxa"/>
              <w:end w:w="120" w:type="dxa"/>
            </w:tcMar>
            <w:vAlign w:val="center"/>
          </w:tcPr>
          <w:p>
            <w:pPr>
              <w:spacing w:after="0"/>
              <w:jc w:val="center"/>
            </w:pPr>
            <w:r>
              <w:rPr>
                <w:rFonts w:ascii="Calibri" w:hAnsi="Calibri"/>
                <w:b/>
                <w:sz w:val="20"/>
              </w:rPr>
              <w:t>Metric</w:t>
            </w:r>
          </w:p>
        </w:tc>
        <w:tc>
          <w:tcPr>
            <w:tcW w:type="dxa" w:w="2268"/>
            <w:shd w:fill="D9E1F2"/>
            <w:tcMar>
              <w:top w:w="120" w:type="dxa"/>
              <w:start w:w="120" w:type="dxa"/>
              <w:bottom w:w="120" w:type="dxa"/>
              <w:end w:w="120" w:type="dxa"/>
            </w:tcMar>
            <w:vAlign w:val="center"/>
          </w:tcPr>
          <w:p>
            <w:pPr>
              <w:spacing w:after="0"/>
              <w:jc w:val="center"/>
            </w:pPr>
            <w:r>
              <w:rPr>
                <w:rFonts w:ascii="Calibri" w:hAnsi="Calibri"/>
                <w:b/>
                <w:sz w:val="20"/>
              </w:rPr>
              <w:t>Recorded value</w:t>
            </w:r>
          </w:p>
        </w:tc>
        <w:tc>
          <w:tcPr>
            <w:tcW w:type="dxa" w:w="4535"/>
            <w:shd w:fill="D9E1F2"/>
            <w:tcMar>
              <w:top w:w="120" w:type="dxa"/>
              <w:start w:w="120" w:type="dxa"/>
              <w:bottom w:w="120" w:type="dxa"/>
              <w:end w:w="120" w:type="dxa"/>
            </w:tcMar>
            <w:vAlign w:val="center"/>
          </w:tcPr>
          <w:p>
            <w:pPr>
              <w:spacing w:after="0"/>
              <w:jc w:val="center"/>
            </w:pPr>
            <w:r>
              <w:rPr>
                <w:rFonts w:ascii="Calibri" w:hAnsi="Calibri"/>
                <w:b/>
                <w:sz w:val="20"/>
              </w:rPr>
              <w:t>Interpretation boundary</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Scenes ingested</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256</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Synthetic scenes in the controlled benchmark</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Elapsed time</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1.159317 s</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Local end-to-end metadata path</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Throughput</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220.819653 items/s</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Not provider or raster-download throughput</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Failures</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0</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Observed in this benchmark only</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Retries</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0</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Observed in this benchmark only</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Payload bytes</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106130</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Canonical metadata payload bytes</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Catalog scenes</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256</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Equal to successfully ingested scenes</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Usable scenes</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256</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Fixture quality criteria</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Usable scene ratio</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1.0</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Fixture property, not real Sentinel-2 distribution</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Mean cloud cover</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4.2</w:t>
            </w:r>
          </w:p>
        </w:tc>
        <w:tc>
          <w:tcPr>
            <w:tcW w:type="dxa" w:w="4535"/>
            <w:tcMar>
              <w:top w:w="120" w:type="dxa"/>
              <w:start w:w="120" w:type="dxa"/>
              <w:bottom w:w="120" w:type="dxa"/>
              <w:end w:w="120" w:type="dxa"/>
            </w:tcMar>
            <w:vAlign w:val="center"/>
          </w:tcPr>
          <w:p>
            <w:pPr>
              <w:spacing w:after="0" w:line="240" w:lineRule="auto"/>
              <w:jc w:val="center"/>
            </w:pPr>
            <w:r>
              <w:rPr>
                <w:rFonts w:ascii="Calibri" w:hAnsi="Calibri"/>
                <w:sz w:val="19"/>
              </w:rPr>
              <w:t>Fixture property</w:t>
            </w:r>
          </w:p>
        </w:tc>
      </w:tr>
      <w:tr>
        <w:tc>
          <w:tcPr>
            <w:tcW w:type="dxa" w:w="2381"/>
            <w:tcMar>
              <w:top w:w="120" w:type="dxa"/>
              <w:start w:w="120" w:type="dxa"/>
              <w:bottom w:w="120" w:type="dxa"/>
              <w:end w:w="120" w:type="dxa"/>
            </w:tcMar>
            <w:vAlign w:val="center"/>
          </w:tcPr>
          <w:p>
            <w:pPr>
              <w:spacing w:after="0" w:line="240" w:lineRule="auto"/>
              <w:jc w:val="left"/>
            </w:pPr>
            <w:r>
              <w:rPr>
                <w:rFonts w:ascii="Calibri" w:hAnsi="Calibri"/>
                <w:sz w:val="19"/>
              </w:rPr>
              <w:t>Asset completeness ratio</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1.0</w:t>
            </w:r>
          </w:p>
        </w:tc>
        <w:tc>
          <w:tcPr>
            <w:tcW w:type="dxa" w:w="4535"/>
            <w:tcMar>
              <w:top w:w="120" w:type="dxa"/>
              <w:start w:w="120" w:type="dxa"/>
              <w:bottom w:w="120" w:type="dxa"/>
              <w:end w:w="120" w:type="dxa"/>
            </w:tcMar>
            <w:vAlign w:val="center"/>
          </w:tcPr>
          <w:p>
            <w:pPr>
              <w:spacing w:after="0" w:line="240" w:lineRule="auto"/>
              <w:jc w:val="center"/>
            </w:pPr>
            <w:r>
              <w:rPr>
                <w:rFonts w:ascii="Calibri" w:hAnsi="Calibri"/>
                <w:sz w:val="19"/>
              </w:rPr>
              <w:t>Fixture property</w:t>
            </w:r>
          </w:p>
        </w:tc>
      </w:tr>
      <w:tr>
        <w:tc>
          <w:tcPr>
            <w:tcW w:type="dxa" w:w="2381"/>
            <w:tcMar>
              <w:top w:w="120" w:type="dxa"/>
              <w:start w:w="120" w:type="dxa"/>
              <w:bottom w:w="120" w:type="dxa"/>
              <w:end w:w="120" w:type="dxa"/>
            </w:tcMar>
            <w:vAlign w:val="center"/>
          </w:tcPr>
          <w:p>
            <w:pPr>
              <w:spacing w:after="0" w:line="240" w:lineRule="auto"/>
              <w:jc w:val="left"/>
            </w:pPr>
            <w:r>
              <w:rPr>
                <w:rFonts w:ascii="Calibri" w:hAnsi="Calibri"/>
                <w:sz w:val="19"/>
              </w:rPr>
              <w:t>Spatial query latency</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9.117 ms</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Recorded local benchmark value</w:t>
            </w:r>
          </w:p>
        </w:tc>
      </w:tr>
      <w:tr>
        <w:tc>
          <w:tcPr>
            <w:tcW w:type="dxa" w:w="2381"/>
            <w:tcMar>
              <w:top w:w="120" w:type="dxa"/>
              <w:start w:w="120" w:type="dxa"/>
              <w:bottom w:w="120" w:type="dxa"/>
              <w:end w:w="120" w:type="dxa"/>
            </w:tcMar>
            <w:vAlign w:val="center"/>
          </w:tcPr>
          <w:p>
            <w:pPr>
              <w:spacing w:after="0" w:line="240" w:lineRule="auto"/>
              <w:jc w:val="left"/>
            </w:pPr>
            <w:r>
              <w:rPr>
                <w:rFonts w:ascii="Calibri" w:hAnsi="Calibri"/>
                <w:sz w:val="19"/>
              </w:rPr>
              <w:t>Failure recovery ratio</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1.0</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Recorded field; not interpreted as recovery evidence because no failures occurred</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Payload megabytes</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0.10613</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Derived from payload bytes</w:t>
            </w:r>
          </w:p>
        </w:tc>
      </w:tr>
    </w:tbl>
    <w:p>
      <w:pPr>
        <w:spacing w:after="0"/>
      </w:pPr>
    </w:p>
    <w:p>
      <w:pPr>
        <w:spacing w:line="360" w:lineRule="auto" w:after="120"/>
        <w:ind w:firstLine="454"/>
        <w:jc w:val="both"/>
      </w:pPr>
      <w:r>
        <w:rPr>
          <w:rFonts w:ascii="Calibri" w:hAnsi="Calibri"/>
          <w:i w:val="0"/>
          <w:sz w:val="24"/>
        </w:rPr>
        <w:t>The benchmark completed with equal ingestion and catalog counts and with no recorded failures or retries. Within the controlled workload, this indicates that valid synthetic scenes were not lost between transformation, provenance persistence, and catalog indexing. The measured throughput and query latency are useful as regression references for this software baseline. They are not general claims about CDSE, network performance, or large raster workloads.</w:t>
      </w:r>
    </w:p>
    <w:p>
      <w:pPr>
        <w:pStyle w:val="Heading2"/>
        <w:jc w:val="left"/>
        <w:keepNext/>
      </w:pPr>
      <w:r>
        <w:t>6.2 Automated validation evidence</w:t>
      </w:r>
    </w:p>
    <w:p>
      <w:pPr>
        <w:spacing w:line="360" w:lineRule="auto" w:after="120"/>
        <w:ind w:firstLine="454"/>
        <w:jc w:val="both"/>
      </w:pPr>
      <w:r>
        <w:rPr>
          <w:rFonts w:ascii="Calibri" w:hAnsi="Calibri"/>
          <w:i w:val="0"/>
          <w:sz w:val="24"/>
        </w:rPr>
        <w:t>The released baseline records 53 passing offline tests. The test suite covers schema rejection, pagination, timeout and rate-limit recovery, OAuth2 expiry and token errors, provenance integrity, bounded worker limits, quality filters, raster ranges and NDVI, HTTP queries, artifact retention, SQLite contention, WAL durability, and deterministic report generation. CI executes the suite on Python 3.11 and 3.12 together with Ruff linting, formatting checks, and the offline health command.</w:t>
      </w:r>
    </w:p>
    <w:p>
      <w:pPr>
        <w:spacing w:line="360" w:lineRule="auto" w:after="120"/>
        <w:ind w:firstLine="454"/>
        <w:jc w:val="both"/>
      </w:pPr>
      <w:r>
        <w:rPr>
          <w:rFonts w:ascii="Calibri" w:hAnsi="Calibri"/>
          <w:i w:val="0"/>
          <w:sz w:val="24"/>
        </w:rPr>
        <w:t>This test evidence is particularly important for RQ2. The frozen throughput benchmark contains no failures, so it cannot by itself show recovery behavior. The controlled tests provide the evidence that transient failures and permanent input errors follow different code paths. The tests also provide stronger evidence for concurrency bounds than a single successful performance run.</w:t>
      </w:r>
    </w:p>
    <w:p>
      <w:pPr>
        <w:pStyle w:val="Heading2"/>
        <w:jc w:val="left"/>
        <w:keepNext/>
      </w:pPr>
      <w:r>
        <w:t>6.3 Dated offline-fallback experiment</w:t>
      </w:r>
    </w:p>
    <w:p>
      <w:pPr>
        <w:spacing w:line="360" w:lineRule="auto" w:after="120"/>
        <w:ind w:firstLine="454"/>
        <w:jc w:val="both"/>
      </w:pPr>
      <w:r>
        <w:rPr>
          <w:rFonts w:ascii="Calibri" w:hAnsi="Calibri"/>
          <w:i w:val="0"/>
          <w:sz w:val="24"/>
        </w:rPr>
        <w:t>The artifact dated 20260915 was produced by the live-experiment harness but explicitly records mode offline-fallback and provider offline-fixture. It therefore demonstrates the measurement and reporting path when live credentials are unavailable. Table 3 reports the values that can be interpreted safely within that mode.</w:t>
      </w:r>
    </w:p>
    <w:p>
      <w:pPr>
        <w:spacing w:before="160" w:after="80"/>
      </w:pPr>
      <w:r>
        <w:rPr>
          <w:rFonts w:ascii="Calibri" w:hAnsi="Calibri"/>
          <w:b/>
          <w:sz w:val="22"/>
        </w:rPr>
        <w:t>Table 3. Dated 20260915 offline-fallback artifact</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2381"/>
            <w:shd w:fill="D9E1F2"/>
            <w:tcMar>
              <w:top w:w="120" w:type="dxa"/>
              <w:start w:w="120" w:type="dxa"/>
              <w:bottom w:w="120" w:type="dxa"/>
              <w:end w:w="120" w:type="dxa"/>
            </w:tcMar>
            <w:vAlign w:val="center"/>
          </w:tcPr>
          <w:p>
            <w:pPr>
              <w:spacing w:after="0"/>
              <w:jc w:val="center"/>
            </w:pPr>
            <w:r>
              <w:rPr>
                <w:rFonts w:ascii="Calibri" w:hAnsi="Calibri"/>
                <w:b/>
                <w:sz w:val="20"/>
              </w:rPr>
              <w:t>Metric</w:t>
            </w:r>
          </w:p>
        </w:tc>
        <w:tc>
          <w:tcPr>
            <w:tcW w:type="dxa" w:w="2268"/>
            <w:shd w:fill="D9E1F2"/>
            <w:tcMar>
              <w:top w:w="120" w:type="dxa"/>
              <w:start w:w="120" w:type="dxa"/>
              <w:bottom w:w="120" w:type="dxa"/>
              <w:end w:w="120" w:type="dxa"/>
            </w:tcMar>
            <w:vAlign w:val="center"/>
          </w:tcPr>
          <w:p>
            <w:pPr>
              <w:spacing w:after="0"/>
              <w:jc w:val="center"/>
            </w:pPr>
            <w:r>
              <w:rPr>
                <w:rFonts w:ascii="Calibri" w:hAnsi="Calibri"/>
                <w:b/>
                <w:sz w:val="20"/>
              </w:rPr>
              <w:t>Recorded value</w:t>
            </w:r>
          </w:p>
        </w:tc>
        <w:tc>
          <w:tcPr>
            <w:tcW w:type="dxa" w:w="4535"/>
            <w:shd w:fill="D9E1F2"/>
            <w:tcMar>
              <w:top w:w="120" w:type="dxa"/>
              <w:start w:w="120" w:type="dxa"/>
              <w:bottom w:w="120" w:type="dxa"/>
              <w:end w:w="120" w:type="dxa"/>
            </w:tcMar>
            <w:vAlign w:val="center"/>
          </w:tcPr>
          <w:p>
            <w:pPr>
              <w:spacing w:after="0"/>
              <w:jc w:val="center"/>
            </w:pPr>
            <w:r>
              <w:rPr>
                <w:rFonts w:ascii="Calibri" w:hAnsi="Calibri"/>
                <w:b/>
                <w:sz w:val="20"/>
              </w:rPr>
              <w:t>Scope</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Mode</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offline-fallback</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Not authenticated CDSE</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Provider</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offline-fixture</w:t>
            </w:r>
          </w:p>
        </w:tc>
        <w:tc>
          <w:tcPr>
            <w:tcW w:type="dxa" w:w="4535"/>
            <w:tcMar>
              <w:top w:w="120" w:type="dxa"/>
              <w:start w:w="120" w:type="dxa"/>
              <w:bottom w:w="120" w:type="dxa"/>
              <w:end w:w="120" w:type="dxa"/>
            </w:tcMar>
            <w:vAlign w:val="center"/>
          </w:tcPr>
          <w:p>
            <w:pPr>
              <w:spacing w:after="0" w:line="240" w:lineRule="auto"/>
              <w:jc w:val="center"/>
            </w:pPr>
            <w:r>
              <w:rPr>
                <w:rFonts w:ascii="Calibri" w:hAnsi="Calibri"/>
                <w:sz w:val="19"/>
              </w:rPr>
              <w:t>Checked-in fixture</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Items returned</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1</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Single fixture item</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Search round-trip</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4.8285 ms</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Fixture path, not provider network latency</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Scenes ingested</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1</w:t>
            </w:r>
          </w:p>
        </w:tc>
        <w:tc>
          <w:tcPr>
            <w:tcW w:type="dxa" w:w="4535"/>
            <w:tcMar>
              <w:top w:w="120" w:type="dxa"/>
              <w:start w:w="120" w:type="dxa"/>
              <w:bottom w:w="120" w:type="dxa"/>
              <w:end w:w="120" w:type="dxa"/>
            </w:tcMar>
            <w:vAlign w:val="center"/>
          </w:tcPr>
          <w:p>
            <w:pPr>
              <w:spacing w:after="0" w:line="240" w:lineRule="auto"/>
              <w:jc w:val="center"/>
            </w:pPr>
            <w:r>
              <w:rPr>
                <w:rFonts w:ascii="Calibri" w:hAnsi="Calibri"/>
                <w:sz w:val="19"/>
              </w:rPr>
              <w:t>Single item</w:t>
            </w:r>
          </w:p>
        </w:tc>
      </w:tr>
      <w:tr>
        <w:tc>
          <w:tcPr>
            <w:tcW w:type="dxa" w:w="2381"/>
            <w:tcMar>
              <w:top w:w="120" w:type="dxa"/>
              <w:start w:w="120" w:type="dxa"/>
              <w:bottom w:w="120" w:type="dxa"/>
              <w:end w:w="120" w:type="dxa"/>
            </w:tcMar>
            <w:vAlign w:val="center"/>
          </w:tcPr>
          <w:p>
            <w:pPr>
              <w:spacing w:after="0" w:line="240" w:lineRule="auto"/>
              <w:jc w:val="left"/>
            </w:pPr>
            <w:r>
              <w:rPr>
                <w:rFonts w:ascii="Calibri" w:hAnsi="Calibri"/>
                <w:sz w:val="19"/>
              </w:rPr>
              <w:t>Metadata throughput</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91.182639 items/s</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One-item harness telemetry</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Windows processed</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1</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Single calibrated raster window</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Window throughput</w:t>
            </w:r>
          </w:p>
        </w:tc>
        <w:tc>
          <w:tcPr>
            <w:tcW w:type="dxa" w:w="2268"/>
            <w:tcMar>
              <w:top w:w="120" w:type="dxa"/>
              <w:start w:w="120" w:type="dxa"/>
              <w:bottom w:w="120" w:type="dxa"/>
              <w:end w:w="120" w:type="dxa"/>
            </w:tcMar>
            <w:vAlign w:val="center"/>
          </w:tcPr>
          <w:p>
            <w:pPr>
              <w:spacing w:after="0" w:line="240" w:lineRule="auto"/>
              <w:jc w:val="left"/>
            </w:pPr>
            <w:r>
              <w:rPr>
                <w:rFonts w:ascii="Calibri" w:hAnsi="Calibri"/>
                <w:sz w:val="19"/>
              </w:rPr>
              <w:t>142.551675 windows/s</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One-window telemetry only</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Window peak memory</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14136 bytes</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Recorded for the single window</w:t>
            </w:r>
          </w:p>
        </w:tc>
      </w:tr>
      <w:tr>
        <w:tc>
          <w:tcPr>
            <w:tcW w:type="dxa" w:w="2381"/>
            <w:tcMar>
              <w:top w:w="120" w:type="dxa"/>
              <w:start w:w="120" w:type="dxa"/>
              <w:bottom w:w="120" w:type="dxa"/>
              <w:end w:w="120" w:type="dxa"/>
            </w:tcMar>
            <w:vAlign w:val="center"/>
          </w:tcPr>
          <w:p>
            <w:pPr>
              <w:spacing w:after="0" w:line="240" w:lineRule="auto"/>
              <w:jc w:val="center"/>
            </w:pPr>
            <w:r>
              <w:rPr>
                <w:rFonts w:ascii="Calibri" w:hAnsi="Calibri"/>
                <w:sz w:val="19"/>
              </w:rPr>
              <w:t>Sample NDVI</w:t>
            </w:r>
          </w:p>
        </w:tc>
        <w:tc>
          <w:tcPr>
            <w:tcW w:type="dxa" w:w="2268"/>
            <w:tcMar>
              <w:top w:w="120" w:type="dxa"/>
              <w:start w:w="120" w:type="dxa"/>
              <w:bottom w:w="120" w:type="dxa"/>
              <w:end w:w="120" w:type="dxa"/>
            </w:tcMar>
            <w:vAlign w:val="center"/>
          </w:tcPr>
          <w:p>
            <w:pPr>
              <w:spacing w:after="0" w:line="240" w:lineRule="auto"/>
              <w:jc w:val="center"/>
            </w:pPr>
            <w:r>
              <w:rPr>
                <w:rFonts w:ascii="Calibri" w:hAnsi="Calibri"/>
                <w:sz w:val="19"/>
              </w:rPr>
              <w:t>0.423131</w:t>
            </w:r>
          </w:p>
        </w:tc>
        <w:tc>
          <w:tcPr>
            <w:tcW w:type="dxa" w:w="4535"/>
            <w:tcMar>
              <w:top w:w="120" w:type="dxa"/>
              <w:start w:w="120" w:type="dxa"/>
              <w:bottom w:w="120" w:type="dxa"/>
              <w:end w:w="120" w:type="dxa"/>
            </w:tcMar>
            <w:vAlign w:val="center"/>
          </w:tcPr>
          <w:p>
            <w:pPr>
              <w:spacing w:after="0" w:line="240" w:lineRule="auto"/>
              <w:jc w:val="left"/>
            </w:pPr>
            <w:r>
              <w:rPr>
                <w:rFonts w:ascii="Calibri" w:hAnsi="Calibri"/>
                <w:sz w:val="19"/>
              </w:rPr>
              <w:t>Synthetic numerical example</w:t>
            </w:r>
          </w:p>
        </w:tc>
      </w:tr>
    </w:tbl>
    <w:p>
      <w:pPr>
        <w:spacing w:after="0"/>
      </w:pPr>
    </w:p>
    <w:p>
      <w:pPr>
        <w:spacing w:line="360" w:lineRule="auto" w:after="120"/>
        <w:ind w:firstLine="454"/>
        <w:jc w:val="both"/>
      </w:pPr>
      <w:r>
        <w:rPr>
          <w:rFonts w:ascii="Calibri" w:hAnsi="Calibri"/>
          <w:i w:val="0"/>
          <w:sz w:val="24"/>
        </w:rPr>
        <w:t>The fallback artifact is intentionally not combined with the frozen benchmark as if both represented the same experimental population. Its value is procedural: it demonstrates that the environment-aware command records operating mode, metadata throughput, query timing, and window telemetry in a dated artifact. It also demonstrates the importance of preserving mode information, because the same numeric field would be misleading if described as live-provider performance.</w:t>
      </w:r>
    </w:p>
    <w:p>
      <w:pPr>
        <w:pStyle w:val="Heading2"/>
        <w:jc w:val="left"/>
        <w:keepNext/>
      </w:pPr>
      <w:r>
        <w:t>6.4 Evidence by research question</w:t>
      </w:r>
    </w:p>
    <w:p>
      <w:pPr>
        <w:spacing w:before="160" w:after="80"/>
      </w:pPr>
      <w:r>
        <w:rPr>
          <w:rFonts w:ascii="Calibri" w:hAnsi="Calibri"/>
          <w:b/>
          <w:sz w:val="22"/>
        </w:rPr>
        <w:t>Table 4. Evidence status by research question</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850"/>
            <w:shd w:fill="D9E1F2"/>
            <w:tcMar>
              <w:top w:w="120" w:type="dxa"/>
              <w:start w:w="120" w:type="dxa"/>
              <w:bottom w:w="120" w:type="dxa"/>
              <w:end w:w="120" w:type="dxa"/>
            </w:tcMar>
            <w:vAlign w:val="center"/>
          </w:tcPr>
          <w:p>
            <w:pPr>
              <w:spacing w:after="0"/>
              <w:jc w:val="center"/>
            </w:pPr>
            <w:r>
              <w:rPr>
                <w:rFonts w:ascii="Calibri" w:hAnsi="Calibri"/>
                <w:b/>
                <w:sz w:val="20"/>
              </w:rPr>
              <w:t>RQ</w:t>
            </w:r>
          </w:p>
        </w:tc>
        <w:tc>
          <w:tcPr>
            <w:tcW w:type="dxa" w:w="3005"/>
            <w:shd w:fill="D9E1F2"/>
            <w:tcMar>
              <w:top w:w="120" w:type="dxa"/>
              <w:start w:w="120" w:type="dxa"/>
              <w:bottom w:w="120" w:type="dxa"/>
              <w:end w:w="120" w:type="dxa"/>
            </w:tcMar>
            <w:vAlign w:val="center"/>
          </w:tcPr>
          <w:p>
            <w:pPr>
              <w:spacing w:after="0"/>
              <w:jc w:val="center"/>
            </w:pPr>
            <w:r>
              <w:rPr>
                <w:rFonts w:ascii="Calibri" w:hAnsi="Calibri"/>
                <w:b/>
                <w:sz w:val="20"/>
              </w:rPr>
              <w:t>Evidence status</w:t>
            </w:r>
          </w:p>
        </w:tc>
        <w:tc>
          <w:tcPr>
            <w:tcW w:type="dxa" w:w="5329"/>
            <w:shd w:fill="D9E1F2"/>
            <w:tcMar>
              <w:top w:w="120" w:type="dxa"/>
              <w:start w:w="120" w:type="dxa"/>
              <w:bottom w:w="120" w:type="dxa"/>
              <w:end w:w="120" w:type="dxa"/>
            </w:tcMar>
            <w:vAlign w:val="center"/>
          </w:tcPr>
          <w:p>
            <w:pPr>
              <w:spacing w:after="0"/>
              <w:jc w:val="center"/>
            </w:pPr>
            <w:r>
              <w:rPr>
                <w:rFonts w:ascii="Calibri" w:hAnsi="Calibri"/>
                <w:b/>
                <w:sz w:val="20"/>
              </w:rPr>
              <w:t>Result</w:t>
            </w:r>
          </w:p>
        </w:tc>
      </w:tr>
      <w:tr>
        <w:tc>
          <w:tcPr>
            <w:tcW w:type="dxa" w:w="850"/>
            <w:tcMar>
              <w:top w:w="120" w:type="dxa"/>
              <w:start w:w="120" w:type="dxa"/>
              <w:bottom w:w="120" w:type="dxa"/>
              <w:end w:w="120" w:type="dxa"/>
            </w:tcMar>
            <w:vAlign w:val="center"/>
          </w:tcPr>
          <w:p>
            <w:pPr>
              <w:spacing w:after="0" w:line="240" w:lineRule="auto"/>
              <w:jc w:val="center"/>
            </w:pPr>
            <w:r>
              <w:rPr>
                <w:rFonts w:ascii="Calibri" w:hAnsi="Calibri"/>
                <w:sz w:val="19"/>
              </w:rPr>
              <w:t>RQ1</w:t>
            </w:r>
          </w:p>
        </w:tc>
        <w:tc>
          <w:tcPr>
            <w:tcW w:type="dxa" w:w="3005"/>
            <w:tcMar>
              <w:top w:w="120" w:type="dxa"/>
              <w:start w:w="120" w:type="dxa"/>
              <w:bottom w:w="120" w:type="dxa"/>
              <w:end w:w="120" w:type="dxa"/>
            </w:tcMar>
            <w:vAlign w:val="center"/>
          </w:tcPr>
          <w:p>
            <w:pPr>
              <w:spacing w:after="0" w:line="240" w:lineRule="auto"/>
              <w:jc w:val="left"/>
            </w:pPr>
            <w:r>
              <w:rPr>
                <w:rFonts w:ascii="Calibri" w:hAnsi="Calibri"/>
                <w:sz w:val="19"/>
              </w:rPr>
              <w:t>Strong within implemented scope</w:t>
            </w:r>
          </w:p>
        </w:tc>
        <w:tc>
          <w:tcPr>
            <w:tcW w:type="dxa" w:w="5329"/>
            <w:tcMar>
              <w:top w:w="120" w:type="dxa"/>
              <w:start w:w="120" w:type="dxa"/>
              <w:bottom w:w="120" w:type="dxa"/>
              <w:end w:w="120" w:type="dxa"/>
            </w:tcMar>
            <w:vAlign w:val="center"/>
          </w:tcPr>
          <w:p>
            <w:pPr>
              <w:spacing w:after="0" w:line="240" w:lineRule="auto"/>
              <w:jc w:val="left"/>
            </w:pPr>
            <w:r>
              <w:rPr>
                <w:rFonts w:ascii="Calibri" w:hAnsi="Calibri"/>
                <w:sz w:val="19"/>
              </w:rPr>
              <w:t>Validated STAC/CDSE-shaped metadata is transformed to EOScene while raw canonical payloads and manifests preserve traceability.</w:t>
            </w:r>
          </w:p>
        </w:tc>
      </w:tr>
      <w:tr>
        <w:tc>
          <w:tcPr>
            <w:tcW w:type="dxa" w:w="850"/>
            <w:tcMar>
              <w:top w:w="120" w:type="dxa"/>
              <w:start w:w="120" w:type="dxa"/>
              <w:bottom w:w="120" w:type="dxa"/>
              <w:end w:w="120" w:type="dxa"/>
            </w:tcMar>
            <w:vAlign w:val="center"/>
          </w:tcPr>
          <w:p>
            <w:pPr>
              <w:spacing w:after="0" w:line="240" w:lineRule="auto"/>
              <w:jc w:val="center"/>
            </w:pPr>
            <w:r>
              <w:rPr>
                <w:rFonts w:ascii="Calibri" w:hAnsi="Calibri"/>
                <w:sz w:val="19"/>
              </w:rPr>
              <w:t>RQ2</w:t>
            </w:r>
          </w:p>
        </w:tc>
        <w:tc>
          <w:tcPr>
            <w:tcW w:type="dxa" w:w="3005"/>
            <w:tcMar>
              <w:top w:w="120" w:type="dxa"/>
              <w:start w:w="120" w:type="dxa"/>
              <w:bottom w:w="120" w:type="dxa"/>
              <w:end w:w="120" w:type="dxa"/>
            </w:tcMar>
            <w:vAlign w:val="center"/>
          </w:tcPr>
          <w:p>
            <w:pPr>
              <w:spacing w:after="0" w:line="240" w:lineRule="auto"/>
              <w:jc w:val="left"/>
            </w:pPr>
            <w:r>
              <w:rPr>
                <w:rFonts w:ascii="Calibri" w:hAnsi="Calibri"/>
                <w:sz w:val="19"/>
              </w:rPr>
              <w:t>Strong functional evidence; limited operational evidence</w:t>
            </w:r>
          </w:p>
        </w:tc>
        <w:tc>
          <w:tcPr>
            <w:tcW w:type="dxa" w:w="5329"/>
            <w:tcMar>
              <w:top w:w="120" w:type="dxa"/>
              <w:start w:w="120" w:type="dxa"/>
              <w:bottom w:w="120" w:type="dxa"/>
              <w:end w:w="120" w:type="dxa"/>
            </w:tcMar>
            <w:vAlign w:val="center"/>
          </w:tcPr>
          <w:p>
            <w:pPr>
              <w:spacing w:after="0" w:line="240" w:lineRule="auto"/>
              <w:jc w:val="left"/>
            </w:pPr>
            <w:r>
              <w:rPr>
                <w:rFonts w:ascii="Calibri" w:hAnsi="Calibri"/>
                <w:sz w:val="19"/>
              </w:rPr>
              <w:t>Semaphore bounds work and tests cover timeout, 429, token expiry, and malformed-input behavior. No production failure rate is measured.</w:t>
            </w:r>
          </w:p>
        </w:tc>
      </w:tr>
      <w:tr>
        <w:tc>
          <w:tcPr>
            <w:tcW w:type="dxa" w:w="850"/>
            <w:tcMar>
              <w:top w:w="120" w:type="dxa"/>
              <w:start w:w="120" w:type="dxa"/>
              <w:bottom w:w="120" w:type="dxa"/>
              <w:end w:w="120" w:type="dxa"/>
            </w:tcMar>
            <w:vAlign w:val="center"/>
          </w:tcPr>
          <w:p>
            <w:pPr>
              <w:spacing w:after="0" w:line="240" w:lineRule="auto"/>
              <w:jc w:val="center"/>
            </w:pPr>
            <w:r>
              <w:rPr>
                <w:rFonts w:ascii="Calibri" w:hAnsi="Calibri"/>
                <w:sz w:val="19"/>
              </w:rPr>
              <w:t>RQ3</w:t>
            </w:r>
          </w:p>
        </w:tc>
        <w:tc>
          <w:tcPr>
            <w:tcW w:type="dxa" w:w="3005"/>
            <w:tcMar>
              <w:top w:w="120" w:type="dxa"/>
              <w:start w:w="120" w:type="dxa"/>
              <w:bottom w:w="120" w:type="dxa"/>
              <w:end w:w="120" w:type="dxa"/>
            </w:tcMar>
            <w:vAlign w:val="center"/>
          </w:tcPr>
          <w:p>
            <w:pPr>
              <w:spacing w:after="0" w:line="240" w:lineRule="auto"/>
              <w:jc w:val="left"/>
            </w:pPr>
            <w:r>
              <w:rPr>
                <w:rFonts w:ascii="Calibri" w:hAnsi="Calibri"/>
                <w:sz w:val="19"/>
              </w:rPr>
              <w:t>Functional evidence plus one frozen latency point</w:t>
            </w:r>
          </w:p>
        </w:tc>
        <w:tc>
          <w:tcPr>
            <w:tcW w:type="dxa" w:w="5329"/>
            <w:tcMar>
              <w:top w:w="120" w:type="dxa"/>
              <w:start w:w="120" w:type="dxa"/>
              <w:bottom w:w="120" w:type="dxa"/>
              <w:end w:w="120" w:type="dxa"/>
            </w:tcMar>
            <w:vAlign w:val="center"/>
          </w:tcPr>
          <w:p>
            <w:pPr>
              <w:spacing w:after="0" w:line="240" w:lineRule="auto"/>
              <w:jc w:val="left"/>
            </w:pPr>
            <w:r>
              <w:rPr>
                <w:rFonts w:ascii="Calibri" w:hAnsi="Calibri"/>
                <w:sz w:val="19"/>
              </w:rPr>
              <w:t>Regional, temporal, quality, and platform queries are supported. SQLite/WAL behavior is tested locally; distributed scalability is not evaluated.</w:t>
            </w:r>
          </w:p>
        </w:tc>
      </w:tr>
      <w:tr>
        <w:tc>
          <w:tcPr>
            <w:tcW w:type="dxa" w:w="850"/>
            <w:tcMar>
              <w:top w:w="120" w:type="dxa"/>
              <w:start w:w="120" w:type="dxa"/>
              <w:bottom w:w="120" w:type="dxa"/>
              <w:end w:w="120" w:type="dxa"/>
            </w:tcMar>
            <w:vAlign w:val="center"/>
          </w:tcPr>
          <w:p>
            <w:pPr>
              <w:spacing w:after="0" w:line="240" w:lineRule="auto"/>
              <w:jc w:val="center"/>
            </w:pPr>
            <w:r>
              <w:rPr>
                <w:rFonts w:ascii="Calibri" w:hAnsi="Calibri"/>
                <w:sz w:val="19"/>
              </w:rPr>
              <w:t>RQ4</w:t>
            </w:r>
          </w:p>
        </w:tc>
        <w:tc>
          <w:tcPr>
            <w:tcW w:type="dxa" w:w="3005"/>
            <w:tcMar>
              <w:top w:w="120" w:type="dxa"/>
              <w:start w:w="120" w:type="dxa"/>
              <w:bottom w:w="120" w:type="dxa"/>
              <w:end w:w="120" w:type="dxa"/>
            </w:tcMar>
            <w:vAlign w:val="center"/>
          </w:tcPr>
          <w:p>
            <w:pPr>
              <w:spacing w:after="0" w:line="240" w:lineRule="auto"/>
              <w:jc w:val="left"/>
            </w:pPr>
            <w:r>
              <w:rPr>
                <w:rFonts w:ascii="Calibri" w:hAnsi="Calibri"/>
                <w:sz w:val="19"/>
              </w:rPr>
              <w:t>Strong reproducibility evidence for offline baseline</w:t>
            </w:r>
          </w:p>
        </w:tc>
        <w:tc>
          <w:tcPr>
            <w:tcW w:type="dxa" w:w="5329"/>
            <w:tcMar>
              <w:top w:w="120" w:type="dxa"/>
              <w:start w:w="120" w:type="dxa"/>
              <w:bottom w:w="120" w:type="dxa"/>
              <w:end w:w="120" w:type="dxa"/>
            </w:tcMar>
            <w:vAlign w:val="center"/>
          </w:tcPr>
          <w:p>
            <w:pPr>
              <w:spacing w:after="0" w:line="240" w:lineRule="auto"/>
              <w:jc w:val="left"/>
            </w:pPr>
            <w:r>
              <w:rPr>
                <w:rFonts w:ascii="Calibri" w:hAnsi="Calibri"/>
                <w:sz w:val="19"/>
              </w:rPr>
              <w:t>Frozen reports, fixtures, versioned source, CI, dated additive artifacts, and explicit modes create an inspectable research baseline.</w:t>
            </w:r>
          </w:p>
        </w:tc>
      </w:tr>
    </w:tbl>
    <w:p>
      <w:pPr>
        <w:spacing w:after="0"/>
      </w:pPr>
    </w:p>
    <w:p>
      <w:pPr>
        <w:pStyle w:val="Heading1"/>
        <w:jc w:val="left"/>
        <w:keepNext/>
      </w:pPr>
      <w:r>
        <w:t>7 ANALYSIS</w:t>
      </w:r>
    </w:p>
    <w:p>
      <w:pPr>
        <w:pStyle w:val="Heading2"/>
        <w:jc w:val="left"/>
        <w:keepNext/>
      </w:pPr>
      <w:r>
        <w:t>7.1 Analysis of RQ1: provider-neutral validation and provenance</w:t>
      </w:r>
    </w:p>
    <w:p>
      <w:pPr>
        <w:spacing w:line="360" w:lineRule="auto" w:after="120"/>
        <w:ind w:firstLine="454"/>
        <w:jc w:val="both"/>
      </w:pPr>
      <w:r>
        <w:rPr>
          <w:rFonts w:ascii="Calibri" w:hAnsi="Calibri"/>
          <w:i w:val="0"/>
          <w:sz w:val="24"/>
        </w:rPr>
        <w:t>RQ1 asks how heterogeneous STAC and CDSE metadata can be transformed into a transport-neutral scene model while preserving provenance. The implemented answer is a sequence of boundaries rather than a single parser. Provider adapters handle transport and provider-specific concerns. Validation rejects records that do not meet domain assumptions. Accepted records become EOScene instances, while the original canonical payload is stored under a SHA-256 content identity and referenced by append-only provenance metadata.</w:t>
      </w:r>
    </w:p>
    <w:p>
      <w:pPr>
        <w:spacing w:line="360" w:lineRule="auto" w:after="120"/>
        <w:ind w:firstLine="454"/>
        <w:jc w:val="both"/>
      </w:pPr>
      <w:r>
        <w:rPr>
          <w:rFonts w:ascii="Calibri" w:hAnsi="Calibri"/>
          <w:i w:val="0"/>
          <w:sz w:val="24"/>
        </w:rPr>
        <w:t>This separation is significant because it prevents provider details from becoming part of the catalog contract. The domain model can remain stable even when the provider-side search or authentication implementation changes. Provenance is also preserved before downstream analysis, so a normalized scene is not the only surviving representation of the source response. Within the tested schema and fixtures, the architecture therefore provides a credible answer to RQ1. The evidence does not establish compatibility with every valid STAC extension, every Copernicus product, or arbitrary non-STAC provider formats.</w:t>
      </w:r>
    </w:p>
    <w:p>
      <w:pPr>
        <w:pStyle w:val="Heading2"/>
        <w:jc w:val="left"/>
        <w:keepNext/>
      </w:pPr>
      <w:r>
        <w:t>7.2 Analysis of RQ2: bounded concurrency and failure recovery</w:t>
      </w:r>
    </w:p>
    <w:p>
      <w:pPr>
        <w:spacing w:line="360" w:lineRule="auto" w:after="120"/>
        <w:ind w:firstLine="454"/>
        <w:jc w:val="both"/>
      </w:pPr>
      <w:r>
        <w:rPr>
          <w:rFonts w:ascii="Calibri" w:hAnsi="Calibri"/>
          <w:i w:val="0"/>
          <w:sz w:val="24"/>
        </w:rPr>
        <w:t>RQ2 combines two concerns: resource bounds and failure semantics. The semaphore addresses the first by limiting the number of active ingestion workers. The second is addressed by classifying failures. Timeouts and rate-limit responses are transient and can be retried under explicit bounds, while malformed payloads and schema failures are terminal. OAuth2 expiry and token errors are exercised through controlled tests.</w:t>
      </w:r>
    </w:p>
    <w:p>
      <w:pPr>
        <w:spacing w:line="360" w:lineRule="auto" w:after="120"/>
        <w:ind w:firstLine="454"/>
        <w:jc w:val="both"/>
      </w:pPr>
      <w:r>
        <w:rPr>
          <w:rFonts w:ascii="Calibri" w:hAnsi="Calibri"/>
          <w:i w:val="0"/>
          <w:sz w:val="24"/>
        </w:rPr>
        <w:t>The analysis must distinguish functional recovery evidence from performance evidence. The frozen 256-scene run contained no failures and no retries. It therefore says nothing about recovery probability in a real provider environment. Recovery behavior is supported by deterministic fault-oriented tests, which demonstrate that the intended paths are implemented. A production claim would require repeated authenticated observations under realistic rate limits and network conditions. The current evidence answers RQ2 at the software-behavior level, not at the provider-service reliability level.</w:t>
      </w:r>
    </w:p>
    <w:p>
      <w:pPr>
        <w:pStyle w:val="Heading2"/>
        <w:jc w:val="left"/>
        <w:keepNext/>
      </w:pPr>
      <w:r>
        <w:t>7.3 Analysis of RQ3: SQLite catalog effectiveness</w:t>
      </w:r>
    </w:p>
    <w:p>
      <w:pPr>
        <w:spacing w:line="360" w:lineRule="auto" w:after="120"/>
        <w:ind w:firstLine="454"/>
        <w:jc w:val="both"/>
      </w:pPr>
      <w:r>
        <w:rPr>
          <w:rFonts w:ascii="Calibri" w:hAnsi="Calibri"/>
          <w:i w:val="0"/>
          <w:sz w:val="24"/>
        </w:rPr>
        <w:t>RQ3 asks whether a dependency-free SQLite catalog can support the required query classes under concurrent reader and writer contention. Functionally, the catalog supports the requested metadata predicates and the two-stage spatial query. WAL durability and contention behavior are included in regression coverage, and the frozen experiment records a 9.117 ms spatial-query value in the local test environment.</w:t>
      </w:r>
    </w:p>
    <w:p>
      <w:pPr>
        <w:spacing w:line="360" w:lineRule="auto" w:after="120"/>
        <w:ind w:firstLine="454"/>
        <w:jc w:val="both"/>
      </w:pPr>
      <w:r>
        <w:rPr>
          <w:rFonts w:ascii="Calibri" w:hAnsi="Calibri"/>
          <w:i w:val="0"/>
          <w:sz w:val="24"/>
        </w:rPr>
        <w:t>The evidence is sufficient to show that SQLite is a practical embedded baseline for the implemented single-node workload. It is not sufficient to establish a general latency distribution, a throughput ceiling, or suitability for multi-node execution. The design choice is therefore justified by simplicity, transactional behavior, testability, and local research requirements rather than by a claim that SQLite outperforms server-based spatial databases.</w:t>
      </w:r>
    </w:p>
    <w:p>
      <w:pPr>
        <w:pStyle w:val="Heading2"/>
        <w:jc w:val="left"/>
        <w:keepNext/>
      </w:pPr>
      <w:r>
        <w:t>7.4 Analysis of RQ4: reproducibility</w:t>
      </w:r>
    </w:p>
    <w:p>
      <w:pPr>
        <w:spacing w:line="360" w:lineRule="auto" w:after="120"/>
        <w:ind w:firstLine="454"/>
        <w:jc w:val="both"/>
      </w:pPr>
      <w:r>
        <w:rPr>
          <w:rFonts w:ascii="Calibri" w:hAnsi="Calibri"/>
          <w:i w:val="0"/>
          <w:sz w:val="24"/>
        </w:rPr>
        <w:t>RQ4 concerns the measurements and artifacts needed to make an offline baseline reproducible. The strongest result of the thesis is the combination of explicit configuration, checked-in fixtures, frozen reports, source versioning, CI, and dated additive artifacts. Reproducibility is treated as a property of the entire evidence chain, not only of a benchmark command.</w:t>
      </w:r>
    </w:p>
    <w:p>
      <w:pPr>
        <w:spacing w:line="360" w:lineRule="auto" w:after="120"/>
        <w:ind w:firstLine="454"/>
        <w:jc w:val="both"/>
      </w:pPr>
      <w:r>
        <w:rPr>
          <w:rFonts w:ascii="Calibri" w:hAnsi="Calibri"/>
          <w:i w:val="0"/>
          <w:sz w:val="24"/>
        </w:rPr>
        <w:t>The frozen report is particularly important because it gives later development a stable comparison point. New live or fallback observations are stored separately and must identify their operating mode. This prevents the most recent measurement from silently replacing the evidence used by the thesis. The approach does not remove all environmental effects: timing values can still change across hardware, operating systems, filesystems, and Python versions. It does, however, make those changes visible against a preserved baseline rather than hiding them in a moving target.</w:t>
      </w:r>
    </w:p>
    <w:p>
      <w:pPr>
        <w:pStyle w:val="Heading2"/>
        <w:jc w:val="left"/>
        <w:keepNext/>
      </w:pPr>
      <w:r>
        <w:t>7.5 Cross-cutting interpretation</w:t>
      </w:r>
    </w:p>
    <w:p>
      <w:pPr>
        <w:spacing w:line="360" w:lineRule="auto" w:after="120"/>
        <w:ind w:firstLine="454"/>
        <w:jc w:val="both"/>
      </w:pPr>
      <w:r>
        <w:rPr>
          <w:rFonts w:ascii="Calibri" w:hAnsi="Calibri"/>
          <w:i w:val="0"/>
          <w:sz w:val="24"/>
        </w:rPr>
        <w:t>Across all four questions, the system performs best where the research requirement can be expressed as an explicit contract. Schema rules, retry eligibility, worker limits, provenance identity, regional bounds, and artifact-retention rules can all be tested deterministically. The evidence becomes weaker where the claim depends on external variability, such as live-provider latency, representative cloud-cover distributions, raster-scale performance, or distributed operation.</w:t>
      </w:r>
    </w:p>
    <w:p>
      <w:pPr>
        <w:spacing w:line="360" w:lineRule="auto" w:after="120"/>
        <w:ind w:firstLine="454"/>
        <w:jc w:val="both"/>
      </w:pPr>
      <w:r>
        <w:rPr>
          <w:rFonts w:ascii="Calibri" w:hAnsi="Calibri"/>
          <w:i w:val="0"/>
          <w:sz w:val="24"/>
        </w:rPr>
        <w:t>This observation defines the scientific scope of the thesis. The architecture is credible as a reproducible research baseline precisely because it does not hide the difference between controlled evidence and external performance. The synthetic benchmark is useful when interpreted as a regression reference. It would become misleading only if it were presented as a measurement of CDSE or of the Sentinel-2 archive as a whole.</w:t>
      </w:r>
    </w:p>
    <w:p>
      <w:pPr>
        <w:pStyle w:val="Heading1"/>
        <w:jc w:val="left"/>
        <w:keepNext/>
      </w:pPr>
      <w:r>
        <w:t>8 DISCUSSION</w:t>
      </w:r>
    </w:p>
    <w:p>
      <w:pPr>
        <w:pStyle w:val="Heading2"/>
        <w:jc w:val="left"/>
        <w:keepNext/>
      </w:pPr>
      <w:r>
        <w:t>8.1 Scientific contribution</w:t>
      </w:r>
    </w:p>
    <w:p>
      <w:pPr>
        <w:spacing w:line="360" w:lineRule="auto" w:after="120"/>
        <w:ind w:firstLine="454"/>
        <w:jc w:val="both"/>
      </w:pPr>
      <w:r>
        <w:rPr>
          <w:rFonts w:ascii="Calibri" w:hAnsi="Calibri"/>
          <w:i w:val="0"/>
          <w:sz w:val="24"/>
        </w:rPr>
        <w:t>The scientific contribution of this work is an explicit architecture and evaluation protocol for a small Earth Observation research infrastructure. The contribution lies in the way provider access, domain validation, provenance, bounded concurrency, spatial persistence, lightweight analysis, and preserved evidence are connected. The architecture complements rather than replaces existing standards and provider platforms. STAC supplies a common description of assets, OGC standards motivate interoperable interfaces, and CDSE supplies a large-scale Copernicus access environment; the thesis focuses on the local research contracts that connect such external facilities to an auditable experimental pipeline (Open Geospatial Consortium, 2019; STAC Community, 2021; European Commission, 2024; Kovacs et al., 2026).</w:t>
      </w:r>
    </w:p>
    <w:p>
      <w:pPr>
        <w:spacing w:line="360" w:lineRule="auto" w:after="120"/>
        <w:ind w:firstLine="454"/>
        <w:jc w:val="both"/>
      </w:pPr>
      <w:r>
        <w:rPr>
          <w:rFonts w:ascii="Calibri" w:hAnsi="Calibri"/>
          <w:i w:val="0"/>
          <w:sz w:val="24"/>
        </w:rPr>
        <w:t>The work is therefore not novel because it invents metadata catalogs, OAuth2, SQLite, NDVI, or concurrency primitives. Its defensible originality is the integration and explicit treatment of those elements as research contracts in the Kvarken Space Center context. The resulting baseline makes it possible to distinguish what is known from controlled evidence from what remains to be tested in live operation.</w:t>
      </w:r>
    </w:p>
    <w:p>
      <w:pPr>
        <w:pStyle w:val="Heading2"/>
        <w:jc w:val="left"/>
        <w:keepNext/>
      </w:pPr>
      <w:r>
        <w:t>8.2 Engineering contribution</w:t>
      </w:r>
    </w:p>
    <w:p>
      <w:pPr>
        <w:spacing w:line="360" w:lineRule="auto" w:after="120"/>
        <w:ind w:firstLine="454"/>
        <w:jc w:val="both"/>
      </w:pPr>
      <w:r>
        <w:rPr>
          <w:rFonts w:ascii="Calibri" w:hAnsi="Calibri"/>
          <w:i w:val="0"/>
          <w:sz w:val="24"/>
        </w:rPr>
        <w:t>The engineering contribution is stronger and more concrete. The project implements typed provider boundaries, recoverable authentication, bounded asynchronous ingestion, content-addressed raw evidence, append-only manifests, indexed local persistence, metadata-first quality filtering, a limited raster/NDVI path, an educational API, continuous integration, and deterministic experiment commands. The runtime baseline remains small enough that each of these elements can be inspected without a large framework stack.</w:t>
      </w:r>
    </w:p>
    <w:p>
      <w:pPr>
        <w:spacing w:line="360" w:lineRule="auto" w:after="120"/>
        <w:ind w:firstLine="454"/>
        <w:jc w:val="both"/>
      </w:pPr>
      <w:r>
        <w:rPr>
          <w:rFonts w:ascii="Calibri" w:hAnsi="Calibri"/>
          <w:i w:val="0"/>
          <w:sz w:val="24"/>
        </w:rPr>
        <w:t>This simplicity also creates trade-offs. A standard-library-only runtime reduces installation variability, but it does not provide the geospatial capabilities of mature libraries. An embedded catalog is easy to reproduce, but it is not a distributed service. The thesis treats these trade-offs as deliberate scope decisions rather than universal recommendations.</w:t>
      </w:r>
    </w:p>
    <w:p>
      <w:pPr>
        <w:pStyle w:val="Heading2"/>
        <w:jc w:val="left"/>
        <w:keepNext/>
      </w:pPr>
      <w:r>
        <w:t>8.3 Educational contribution</w:t>
      </w:r>
    </w:p>
    <w:p>
      <w:pPr>
        <w:spacing w:line="360" w:lineRule="auto" w:after="120"/>
        <w:ind w:firstLine="454"/>
        <w:jc w:val="both"/>
      </w:pPr>
      <w:r>
        <w:rPr>
          <w:rFonts w:ascii="Calibri" w:hAnsi="Calibri"/>
          <w:i w:val="0"/>
          <w:sz w:val="24"/>
        </w:rPr>
        <w:t>The project includes a read-only API and offline-safe fixtures that make the pipeline suitable for educational demonstrations. Students or researchers can inspect how metadata enters the system, how it is validated, what is persisted, and how queries are executed without requiring live provider credentials. This supports teaching use at the infrastructure level.</w:t>
      </w:r>
    </w:p>
    <w:p>
      <w:pPr>
        <w:spacing w:line="360" w:lineRule="auto" w:after="120"/>
        <w:ind w:firstLine="454"/>
        <w:jc w:val="both"/>
      </w:pPr>
      <w:r>
        <w:rPr>
          <w:rFonts w:ascii="Calibri" w:hAnsi="Calibri"/>
          <w:i w:val="0"/>
          <w:sz w:val="24"/>
        </w:rPr>
        <w:t>No students, instructors, learning outcomes, or classroom interventions were evaluated. The thesis therefore does not claim that the system improves learning. Any educational effectiveness claim would require a separate empirical study with appropriate participants, tasks, and outcome measures.</w:t>
      </w:r>
    </w:p>
    <w:p>
      <w:pPr>
        <w:pStyle w:val="Heading2"/>
        <w:jc w:val="left"/>
        <w:keepNext/>
      </w:pPr>
      <w:r>
        <w:t>8.4 Reproducibility contribution</w:t>
      </w:r>
    </w:p>
    <w:p>
      <w:pPr>
        <w:spacing w:line="360" w:lineRule="auto" w:after="120"/>
        <w:ind w:firstLine="454"/>
        <w:jc w:val="both"/>
      </w:pPr>
      <w:r>
        <w:rPr>
          <w:rFonts w:ascii="Calibri" w:hAnsi="Calibri"/>
          <w:i w:val="0"/>
          <w:sz w:val="24"/>
        </w:rPr>
        <w:t>The frozen baseline, checked-in fixtures, deterministic report format, CI workflow, and append-only dated artifacts form a reproducibility contribution that is independent of absolute performance. A future developer can rerun the same offline procedure, compare the result with the frozen artifact, and identify changes in behavior. The same principle supports scientific review because exact claims in the thesis can be traced to a preserved software artifact rather than to an undocumented interactive session.</w:t>
      </w:r>
    </w:p>
    <w:p>
      <w:pPr>
        <w:pStyle w:val="Heading2"/>
        <w:jc w:val="left"/>
        <w:keepNext/>
      </w:pPr>
      <w:r>
        <w:t>8.5 Threats to validity</w:t>
      </w:r>
    </w:p>
    <w:p>
      <w:pPr>
        <w:pStyle w:val="Heading3"/>
        <w:jc w:val="left"/>
        <w:keepNext/>
      </w:pPr>
      <w:r>
        <w:t>8.5.1 Internal validity</w:t>
      </w:r>
    </w:p>
    <w:p>
      <w:pPr>
        <w:spacing w:line="360" w:lineRule="auto" w:after="120"/>
        <w:ind w:firstLine="454"/>
        <w:jc w:val="both"/>
      </w:pPr>
      <w:r>
        <w:rPr>
          <w:rFonts w:ascii="Calibri" w:hAnsi="Calibri"/>
          <w:i w:val="0"/>
          <w:sz w:val="24"/>
        </w:rPr>
        <w:t>The frozen benchmark is controlled, but the reported timing values are single recorded measurements rather than distributions from repeated trials. Hardware, filesystem behavior, operating system scheduling, Python version, and background processes can affect elapsed time. The benchmark is therefore more reliable as a regression snapshot than as a precise estimate of typical performance.</w:t>
      </w:r>
    </w:p>
    <w:p>
      <w:pPr>
        <w:pStyle w:val="Heading3"/>
        <w:jc w:val="left"/>
        <w:keepNext/>
      </w:pPr>
      <w:r>
        <w:t>8.5.2 Construct validity</w:t>
      </w:r>
    </w:p>
    <w:p>
      <w:pPr>
        <w:spacing w:line="360" w:lineRule="auto" w:after="120"/>
        <w:ind w:firstLine="454"/>
        <w:jc w:val="both"/>
      </w:pPr>
      <w:r>
        <w:rPr>
          <w:rFonts w:ascii="Calibri" w:hAnsi="Calibri"/>
          <w:i w:val="0"/>
          <w:sz w:val="24"/>
        </w:rPr>
        <w:t>Some metrics have narrow meaning. Throughput measures the implemented metadata path, not provider bandwidth or raster processing. Spatial-query latency measures the local catalog and geometry path. Failure recovery is better represented by controlled tests than by the benchmark field failure_recovery_ratio because the benchmark observed no failures. Educational capability is represented by interface availability, not by learning outcomes.</w:t>
      </w:r>
    </w:p>
    <w:p>
      <w:pPr>
        <w:pStyle w:val="Heading3"/>
        <w:jc w:val="left"/>
        <w:keepNext/>
      </w:pPr>
      <w:r>
        <w:t>8.5.3 External validity</w:t>
      </w:r>
    </w:p>
    <w:p>
      <w:pPr>
        <w:spacing w:line="360" w:lineRule="auto" w:after="120"/>
        <w:ind w:firstLine="454"/>
        <w:jc w:val="both"/>
      </w:pPr>
      <w:r>
        <w:rPr>
          <w:rFonts w:ascii="Calibri" w:hAnsi="Calibri"/>
          <w:i w:val="0"/>
          <w:sz w:val="24"/>
        </w:rPr>
        <w:t>Most empirical evidence is synthetic and offline. The work does not establish behavior across changing CDSE load, real-world authentication incidents, diverse Sentinel-2 product volumes, arbitrary coordinate systems, or distributed deployments. The Kvarken bounding box is a deterministic study preset rather than a validated operational region definition. These limitations restrict generalization beyond the implemented research baseline.</w:t>
      </w:r>
    </w:p>
    <w:p>
      <w:pPr>
        <w:pStyle w:val="Heading3"/>
        <w:jc w:val="left"/>
        <w:keepNext/>
      </w:pPr>
      <w:r>
        <w:t>8.5.4 Reproducibility limits</w:t>
      </w:r>
    </w:p>
    <w:p>
      <w:pPr>
        <w:spacing w:line="360" w:lineRule="auto" w:after="120"/>
        <w:ind w:firstLine="454"/>
        <w:jc w:val="both"/>
      </w:pPr>
      <w:r>
        <w:rPr>
          <w:rFonts w:ascii="Calibri" w:hAnsi="Calibri"/>
          <w:i w:val="0"/>
          <w:sz w:val="24"/>
        </w:rPr>
        <w:t>Versioned fixtures and artifacts improve reproducibility, but exact timing cannot be guaranteed across different machines. External provider interfaces may also evolve. The architecture mitigates this by separating provider adapters from domain logic, but future live experiments should preserve provider endpoint information, software version, configuration, and date alongside results.</w:t>
      </w:r>
    </w:p>
    <w:p>
      <w:pPr>
        <w:pStyle w:val="Heading2"/>
        <w:jc w:val="left"/>
        <w:keepNext/>
      </w:pPr>
      <w:r>
        <w:t>8.6 Implications for the Kvarken Space Center context</w:t>
      </w:r>
    </w:p>
    <w:p>
      <w:pPr>
        <w:spacing w:line="360" w:lineRule="auto" w:after="120"/>
        <w:ind w:firstLine="454"/>
        <w:jc w:val="both"/>
      </w:pPr>
      <w:r>
        <w:rPr>
          <w:rFonts w:ascii="Calibri" w:hAnsi="Calibri"/>
          <w:i w:val="0"/>
          <w:sz w:val="24"/>
        </w:rPr>
        <w:t>For the Kvarken Space Center context, the main implication is that a useful research infrastructure does not need to begin as a large operational platform. A smaller baseline can first make access rules, provenance, spatial filtering, failure handling, and evidence preservation explicit. This creates a stable point from which more capable raster processing, alternative storage backends, and cloud execution can be added without losing the ability to compare behavior.</w:t>
      </w:r>
    </w:p>
    <w:p>
      <w:pPr>
        <w:spacing w:line="360" w:lineRule="auto" w:after="120"/>
        <w:ind w:firstLine="454"/>
        <w:jc w:val="both"/>
      </w:pPr>
      <w:r>
        <w:rPr>
          <w:rFonts w:ascii="Calibri" w:hAnsi="Calibri"/>
          <w:i w:val="0"/>
          <w:sz w:val="24"/>
        </w:rPr>
        <w:t>The case-study claim should nevertheless remain modest. The thesis uses Kvarken as a regional and institutional context, but it does not document a formal organizational requirements study, deploy the system as a production service, or evaluate users. Future work should therefore connect the technical baseline with documented researcher and teaching workflows at Kvarken Space Center.</w:t>
      </w:r>
    </w:p>
    <w:p>
      <w:pPr>
        <w:pStyle w:val="Heading2"/>
        <w:jc w:val="left"/>
        <w:keepNext/>
      </w:pPr>
      <w:r>
        <w:t>8.7 Relationship to the supplied literature</w:t>
      </w:r>
    </w:p>
    <w:p>
      <w:pPr>
        <w:spacing w:line="360" w:lineRule="auto" w:after="120"/>
        <w:ind w:firstLine="454"/>
        <w:jc w:val="both"/>
      </w:pPr>
      <w:r>
        <w:rPr>
          <w:rFonts w:ascii="Calibri" w:hAnsi="Calibri"/>
          <w:i w:val="0"/>
          <w:sz w:val="24"/>
        </w:rPr>
        <w:t>The implemented system reflects the observation that Earth Observation research depends on well-described and repeatable data access. Sentinel-2 supplies a concrete multispectral mission context (Drusch et al., 2012), while the wider remote-sensing literature motivates repeated observations for environmental research (Mahecha et al., 2010). STAC supplies the asset-oriented metadata model used at the provider boundary, and OGC standards provide a broader interoperability context (STAC Community, 2021; Open Geospatial Consortium, 2019). CDSE supplies the external Copernicus access environment against which authentication and provider decoupling are designed (European Commission, 2024; Kovacs et al., 2026). SQLite WAL provides the local transactional mechanism used by the embedded catalog (SQLite Consortium, 2024).</w:t>
      </w:r>
    </w:p>
    <w:p>
      <w:pPr>
        <w:spacing w:line="360" w:lineRule="auto" w:after="120"/>
        <w:ind w:firstLine="454"/>
        <w:jc w:val="both"/>
      </w:pPr>
      <w:r>
        <w:rPr>
          <w:rFonts w:ascii="Calibri" w:hAnsi="Calibri"/>
          <w:i w:val="0"/>
          <w:sz w:val="24"/>
        </w:rPr>
        <w:t>The thesis therefore sits between standards, provider infrastructure, and local research engineering. Its contribution is not to challenge these technologies but to define a reproducible way to connect them under small-team constraints. A broader literature survey would be required to compare this architecture systematically with the full range of EO data cubes, cloud-native geospatial platforms, provenance frameworks, and spatial database systems. That comparison remains outside the evidence supplied for the present thesis.</w:t>
      </w:r>
    </w:p>
    <w:p>
      <w:pPr>
        <w:pStyle w:val="Heading1"/>
        <w:jc w:val="left"/>
        <w:keepNext/>
      </w:pPr>
      <w:r>
        <w:t>9 CONCLUSION AND FUTURE WORK</w:t>
      </w:r>
    </w:p>
    <w:p>
      <w:pPr>
        <w:pStyle w:val="Heading2"/>
        <w:jc w:val="left"/>
        <w:keepNext/>
      </w:pPr>
      <w:r>
        <w:t>9.1 Answer to RQ1</w:t>
      </w:r>
    </w:p>
    <w:p>
      <w:pPr>
        <w:spacing w:line="360" w:lineRule="auto" w:after="120"/>
        <w:ind w:firstLine="454"/>
        <w:jc w:val="both"/>
      </w:pPr>
      <w:r>
        <w:rPr>
          <w:rFonts w:ascii="Calibri" w:hAnsi="Calibri"/>
          <w:i w:val="0"/>
          <w:sz w:val="24"/>
        </w:rPr>
        <w:t>RQ1 asked how heterogeneous STAC and CDSE metadata can be validated and transformed into a transport-neutral Earth Observation scene model while preserving provenance. The implemented answer is to isolate provider behavior in adapters, validate untrusted metadata before persistence, transform accepted records into the frozen EOScene model, and store canonical raw payloads under SHA-256 identities with append-only manifest records. Within the implemented schema and fixtures, this provides a traceable boundary between external responses and internal research records.</w:t>
      </w:r>
    </w:p>
    <w:p>
      <w:pPr>
        <w:pStyle w:val="Heading2"/>
        <w:jc w:val="left"/>
        <w:keepNext/>
      </w:pPr>
      <w:r>
        <w:t>9.2 Answer to RQ2</w:t>
      </w:r>
    </w:p>
    <w:p>
      <w:pPr>
        <w:spacing w:line="360" w:lineRule="auto" w:after="120"/>
        <w:ind w:firstLine="454"/>
        <w:jc w:val="both"/>
      </w:pPr>
      <w:r>
        <w:rPr>
          <w:rFonts w:ascii="Calibri" w:hAnsi="Calibri"/>
          <w:i w:val="0"/>
          <w:sz w:val="24"/>
        </w:rPr>
        <w:t>RQ2 asked how asynchronous ingestion can remain bounded and recover from transient failures without retrying malformed payloads. The system uses an explicit semaphore to limit workers and classifies timeouts, rate-limit responses, and token expiry as recoverable conditions while treating malformed or invalid input as terminal. Automated tests demonstrate these behaviors. The thesis does not claim a measured production recovery rate because the frozen benchmark contained no failures and authenticated live-provider reliability was not evaluated.</w:t>
      </w:r>
    </w:p>
    <w:p>
      <w:pPr>
        <w:pStyle w:val="Heading2"/>
        <w:jc w:val="left"/>
        <w:keepNext/>
      </w:pPr>
      <w:r>
        <w:t>9.3 Answer to RQ3</w:t>
      </w:r>
    </w:p>
    <w:p>
      <w:pPr>
        <w:spacing w:line="360" w:lineRule="auto" w:after="120"/>
        <w:ind w:firstLine="454"/>
        <w:jc w:val="both"/>
      </w:pPr>
      <w:r>
        <w:rPr>
          <w:rFonts w:ascii="Calibri" w:hAnsi="Calibri"/>
          <w:i w:val="0"/>
          <w:sz w:val="24"/>
        </w:rPr>
        <w:t>RQ3 asked how effectively a dependency-free SQLite catalog can support regional, temporal, quality, and platform queries under local contention. The implementation supports these query classes, uses indexed metadata filters followed by deterministic geometry checks, and includes WAL durability and contention regression coverage. The frozen benchmark records a 9.117 ms spatial-query value in the local environment. This supports SQLite as a practical embedded baseline, but not as a general distributed or production-scale performance solution.</w:t>
      </w:r>
    </w:p>
    <w:p>
      <w:pPr>
        <w:pStyle w:val="Heading2"/>
        <w:jc w:val="left"/>
        <w:keepNext/>
      </w:pPr>
      <w:r>
        <w:t>9.4 Answer to RQ4</w:t>
      </w:r>
    </w:p>
    <w:p>
      <w:pPr>
        <w:spacing w:line="360" w:lineRule="auto" w:after="120"/>
        <w:ind w:firstLine="454"/>
        <w:jc w:val="both"/>
      </w:pPr>
      <w:r>
        <w:rPr>
          <w:rFonts w:ascii="Calibri" w:hAnsi="Calibri"/>
          <w:i w:val="0"/>
          <w:sz w:val="24"/>
        </w:rPr>
        <w:t>RQ4 asked which measurements and artifacts are sufficient to make an offline pipeline baseline reproducible. The project combines a frozen experiment report, checked-in fixtures, versioned source, explicit benchmark configuration, deterministic report schemas, CI across supported Python versions, and dated additive live/fallback artifacts. These elements create an inspectable baseline that can be rerun and compared without overwriting the evidence used by the thesis.</w:t>
      </w:r>
    </w:p>
    <w:p>
      <w:pPr>
        <w:pStyle w:val="Heading2"/>
        <w:jc w:val="left"/>
        <w:keepNext/>
      </w:pPr>
      <w:r>
        <w:t>9.5 Overall conclusion</w:t>
      </w:r>
    </w:p>
    <w:p>
      <w:pPr>
        <w:spacing w:line="360" w:lineRule="auto" w:after="120"/>
        <w:ind w:firstLine="454"/>
        <w:jc w:val="both"/>
      </w:pPr>
      <w:r>
        <w:rPr>
          <w:rFonts w:ascii="Calibri" w:hAnsi="Calibri"/>
          <w:i w:val="0"/>
          <w:sz w:val="24"/>
        </w:rPr>
        <w:t>The thesis demonstrates that a small Earth Observation research infrastructure can be designed around explicit contracts rather than around a large operational platform. Provider access, typed validation, bounded asynchronous ingestion, content-addressed provenance, embedded spatial persistence, metadata-first quality checks, a limited raster path, and an educational API can be integrated into one auditable baseline. The strongest result is not the absolute throughput number but the fact that the evidence chain is explicit: what is accepted, what can be retried, what is stored, how the region is evaluated, which artifact supports a claim, and where the claim stops.</w:t>
      </w:r>
    </w:p>
    <w:p>
      <w:pPr>
        <w:spacing w:line="360" w:lineRule="auto" w:after="120"/>
        <w:ind w:firstLine="454"/>
        <w:jc w:val="both"/>
      </w:pPr>
      <w:r>
        <w:rPr>
          <w:rFonts w:ascii="Calibri" w:hAnsi="Calibri"/>
          <w:i w:val="0"/>
          <w:sz w:val="24"/>
        </w:rPr>
        <w:t>The work should therefore be understood as an architectural and reproducibility contribution. It provides a credible foundation for future research and education in the Kvarken Space Center context, but it is not a finished planetary-scale data platform, a new remote-sensing algorithm, or a production benchmark of CDSE. The scientific value comes from the combination of implementation and restraint: the system demonstrates what can be reproduced today while making the remaining uncertainties visible.</w:t>
      </w:r>
    </w:p>
    <w:p>
      <w:pPr>
        <w:pStyle w:val="Heading2"/>
        <w:jc w:val="left"/>
        <w:keepNext/>
      </w:pPr>
      <w:r>
        <w:t>9.6 Future work</w:t>
      </w:r>
    </w:p>
    <w:p>
      <w:pPr>
        <w:spacing w:line="360" w:lineRule="auto" w:after="120"/>
        <w:ind w:firstLine="454"/>
        <w:jc w:val="both"/>
      </w:pPr>
      <w:r>
        <w:rPr>
          <w:rFonts w:ascii="Calibri" w:hAnsi="Calibri"/>
          <w:i w:val="0"/>
          <w:sz w:val="24"/>
        </w:rPr>
        <w:t>The most important next step is authenticated repeated CDSE observation. Future experiments should preserve dated provider measurements, run multiple repetitions, and record latency distributions rather than a single timing value. A concurrency sweep, for example across one, two, four, and eight workers, would provide stronger evidence for the relationship between bounded concurrency and throughput. Controlled timeout, HTTP 429, and token-expiry experiments could also be summarized quantitatively rather than represented only by pass/fail tests.</w:t>
      </w:r>
    </w:p>
    <w:p>
      <w:pPr>
        <w:spacing w:line="360" w:lineRule="auto" w:after="120"/>
        <w:ind w:firstLine="454"/>
        <w:jc w:val="both"/>
      </w:pPr>
      <w:r>
        <w:rPr>
          <w:rFonts w:ascii="Calibri" w:hAnsi="Calibri"/>
          <w:i w:val="0"/>
          <w:sz w:val="24"/>
        </w:rPr>
        <w:t>The raster layer should be extended with representative Sentinel-2 windows and explicit measurements of memory, bandwidth, and processing time. Optional GeoTIFF processing dependencies could be introduced while retaining the current lightweight baseline for comparison. The catalog could be compared with a server-based or distributed spatial backend when the research questions require multi-user or multi-node operation.</w:t>
      </w:r>
    </w:p>
    <w:p>
      <w:pPr>
        <w:spacing w:line="360" w:lineRule="auto" w:after="120"/>
        <w:ind w:firstLine="454"/>
        <w:jc w:val="both"/>
      </w:pPr>
      <w:r>
        <w:rPr>
          <w:rFonts w:ascii="Calibri" w:hAnsi="Calibri"/>
          <w:i w:val="0"/>
          <w:sz w:val="24"/>
        </w:rPr>
        <w:t>Finally, future work should connect the technical baseline with documented Kvarken Space Center workflows. Researcher requirements, teaching scenarios, and operational constraints could be collected and used to evaluate whether the infrastructure is useful beyond controlled software demonstrations. Such work would strengthen the case-study dimension and allow the educational contribution to be evaluated empirically rather than inferred from interface availability.</w:t>
      </w:r>
    </w:p>
    <w:p>
      <w:r>
        <w:br w:type="page"/>
      </w:r>
    </w:p>
    <w:p>
      <w:pPr>
        <w:pStyle w:val="Heading1"/>
        <w:jc w:val="left"/>
        <w:keepNext/>
      </w:pPr>
      <w:r>
        <w:t>REFERENCES</w:t>
      </w:r>
    </w:p>
    <w:p>
      <w:pPr>
        <w:spacing w:line="240" w:lineRule="auto" w:after="120"/>
        <w:ind w:left="567" w:hanging="567"/>
        <w:jc w:val="left"/>
      </w:pPr>
      <w:r>
        <w:rPr>
          <w:rFonts w:ascii="Calibri" w:hAnsi="Calibri"/>
          <w:sz w:val="22"/>
        </w:rPr>
        <w:t>Drusch, M., Del Bello, U., Carlier, S., Colin, O., Fernandez, V., Gascon, F., Hoersch, B., Isola, C., Laberinti, P., Martimort, P., et al. (2012). Sentinel-2: ESA's optical high-resolution mission for GMES operational services. Remote Sensing of Environment, 120, 25-36. https://doi.org/10.1016/j.rse.2011.11.026</w:t>
      </w:r>
    </w:p>
    <w:p>
      <w:pPr>
        <w:spacing w:line="240" w:lineRule="auto" w:after="120"/>
        <w:ind w:left="567" w:hanging="567"/>
        <w:jc w:val="left"/>
      </w:pPr>
      <w:r>
        <w:rPr>
          <w:rFonts w:ascii="Calibri" w:hAnsi="Calibri"/>
          <w:sz w:val="22"/>
        </w:rPr>
        <w:t>Ebrahimzadeh Esfahani, D. (2026). Kvarken EO Pipeline [Computer software and thesis repository]. GitHub. https://github.com/mhe931/kvarken</w:t>
      </w:r>
    </w:p>
    <w:p>
      <w:pPr>
        <w:spacing w:line="240" w:lineRule="auto" w:after="120"/>
        <w:ind w:left="567" w:hanging="567"/>
        <w:jc w:val="left"/>
      </w:pPr>
      <w:r>
        <w:rPr>
          <w:rFonts w:ascii="Calibri" w:hAnsi="Calibri"/>
          <w:sz w:val="22"/>
        </w:rPr>
        <w:t>European Commission. (2024). Copernicus Data Space Ecosystem. https://dataspace.copernicus.eu/</w:t>
      </w:r>
    </w:p>
    <w:p>
      <w:pPr>
        <w:spacing w:line="240" w:lineRule="auto" w:after="120"/>
        <w:ind w:left="567" w:hanging="567"/>
        <w:jc w:val="left"/>
      </w:pPr>
      <w:r>
        <w:rPr>
          <w:rFonts w:ascii="Calibri" w:hAnsi="Calibri"/>
          <w:sz w:val="22"/>
        </w:rPr>
        <w:t>Kovacs, et al. (2026). Copernicus Data Space Ecosystem establishes public cloud processing for earth observation data. Scientific Data. https://doi.org/10.1038/s41597-026-06765-8</w:t>
      </w:r>
    </w:p>
    <w:p>
      <w:pPr>
        <w:spacing w:line="240" w:lineRule="auto" w:after="120"/>
        <w:ind w:left="567" w:hanging="567"/>
        <w:jc w:val="left"/>
      </w:pPr>
      <w:r>
        <w:rPr>
          <w:rFonts w:ascii="Calibri" w:hAnsi="Calibri"/>
          <w:sz w:val="22"/>
        </w:rPr>
        <w:t>Mahecha, M. D., et al. (2010). Terrestrial ecosystem monitoring and the promise of remote sensing. Philosophical Transactions of the Royal Society B, 365(1550), 2531-2542. https://doi.org/10.1098/rstb.2010.0104</w:t>
      </w:r>
    </w:p>
    <w:p>
      <w:pPr>
        <w:spacing w:line="240" w:lineRule="auto" w:after="120"/>
        <w:ind w:left="567" w:hanging="567"/>
        <w:jc w:val="left"/>
      </w:pPr>
      <w:r>
        <w:rPr>
          <w:rFonts w:ascii="Calibri" w:hAnsi="Calibri"/>
          <w:sz w:val="22"/>
        </w:rPr>
        <w:t>Open Geospatial Consortium. (2019). OGC API - Features - Part 1: Core. https://www.ogc.org/standards/ogcapi-features/</w:t>
      </w:r>
    </w:p>
    <w:p>
      <w:pPr>
        <w:spacing w:line="240" w:lineRule="auto" w:after="120"/>
        <w:ind w:left="567" w:hanging="567"/>
        <w:jc w:val="left"/>
      </w:pPr>
      <w:r>
        <w:rPr>
          <w:rFonts w:ascii="Calibri" w:hAnsi="Calibri"/>
          <w:sz w:val="22"/>
        </w:rPr>
        <w:t>OpenAI. (2026). ChatGPT (GPT-5.6 Sol) [Large language model]. https://chatgpt.com/</w:t>
      </w:r>
    </w:p>
    <w:p>
      <w:pPr>
        <w:spacing w:line="240" w:lineRule="auto" w:after="120"/>
        <w:ind w:left="567" w:hanging="567"/>
        <w:jc w:val="left"/>
      </w:pPr>
      <w:r>
        <w:rPr>
          <w:rFonts w:ascii="Calibri" w:hAnsi="Calibri"/>
          <w:sz w:val="22"/>
        </w:rPr>
        <w:t>SQLite Consortium. (2024). Write-Ahead Logging. https://sqlite.org/wal.html</w:t>
      </w:r>
    </w:p>
    <w:p>
      <w:pPr>
        <w:spacing w:line="240" w:lineRule="auto" w:after="120"/>
        <w:ind w:left="567" w:hanging="567"/>
        <w:jc w:val="left"/>
      </w:pPr>
      <w:r>
        <w:rPr>
          <w:rFonts w:ascii="Calibri" w:hAnsi="Calibri"/>
          <w:sz w:val="22"/>
        </w:rPr>
        <w:t>STAC Community. (2021). SpatioTemporal Asset Catalog specification, version 1.0.0. https://stacspec.org/en/about/spec-v1-0-0/</w:t>
      </w:r>
    </w:p>
    <w:p>
      <w:pPr>
        <w:spacing w:line="240" w:lineRule="auto" w:after="120"/>
        <w:ind w:left="567" w:hanging="567"/>
        <w:jc w:val="left"/>
      </w:pPr>
      <w:r>
        <w:rPr>
          <w:rFonts w:ascii="Calibri" w:hAnsi="Calibri"/>
          <w:sz w:val="22"/>
        </w:rPr>
        <w:t>University of Vaasa. (2026). Writing guidelines and plagiarism detection. https://www.uwasa.fi/en/students/writing-guidelines-and-plagiarism-detection/writing-guidelines</w:t>
      </w:r>
    </w:p>
    <w:p>
      <w:r>
        <w:br w:type="page"/>
      </w:r>
    </w:p>
    <w:p>
      <w:pPr>
        <w:pStyle w:val="Heading1"/>
        <w:jc w:val="left"/>
        <w:keepNext/>
      </w:pPr>
      <w:r>
        <w:t>APPENDIX A. DISCLOSURE OF AI-ASSISTED WORK</w:t>
      </w:r>
    </w:p>
    <w:p>
      <w:pPr>
        <w:spacing w:line="360" w:lineRule="auto" w:after="120"/>
        <w:jc w:val="both"/>
      </w:pPr>
      <w:r>
        <w:rPr>
          <w:rFonts w:ascii="Calibri" w:hAnsi="Calibri"/>
          <w:i w:val="0"/>
          <w:sz w:val="24"/>
        </w:rPr>
        <w:t>Generative AI tools were used in the preparation of this thesis for substantial drafting assistance, restructuring, language editing, quality review, and preparation of supporting presentation material. The final compilation used OpenAI ChatGPT (GPT-5.6 Sol). The author reviewed, selected, revised, and accepted the final text and remains responsible for the research questions, system design, scientific claims, quantitative results, citations, limitations, and conclusions (OpenAI, 2026; University of Vaasa, 2026).</w:t>
      </w:r>
    </w:p>
    <w:p>
      <w:pPr>
        <w:spacing w:line="360" w:lineRule="auto" w:after="120"/>
        <w:jc w:val="both"/>
      </w:pPr>
      <w:r>
        <w:rPr>
          <w:rFonts w:ascii="Calibri" w:hAnsi="Calibri"/>
          <w:i w:val="0"/>
          <w:sz w:val="24"/>
        </w:rPr>
        <w:t>AI-generated text was not treated as empirical evidence. Numerical results reported in the thesis were taken from the project evidence described in the methodology and results chapters. Where AI-assisted restructuring introduced explanatory synthesis, the wording was constrained to the implemented system and the evidence boundaries already documented by the project. No live-provider results were invented to replace missing measurements.</w:t>
      </w:r>
    </w:p>
    <w:p>
      <w:pPr>
        <w:pStyle w:val="Heading1"/>
        <w:jc w:val="left"/>
        <w:keepNext/>
      </w:pPr>
      <w:r>
        <w:t>APPENDIX B. REPRODUCIBILITY AND CLAIM BOUNDARIES</w:t>
      </w:r>
    </w:p>
    <w:p>
      <w:pPr>
        <w:spacing w:line="360" w:lineRule="auto" w:after="120"/>
        <w:jc w:val="both"/>
      </w:pPr>
      <w:r>
        <w:rPr>
          <w:rFonts w:ascii="Calibri" w:hAnsi="Calibri"/>
          <w:i w:val="0"/>
          <w:sz w:val="24"/>
        </w:rPr>
        <w:t>The following statements define the intended interpretation of the released thesis baseline:</w:t>
      </w:r>
    </w:p>
    <w:p>
      <w:pPr>
        <w:pStyle w:val="ListBullet"/>
        <w:spacing w:line="360" w:lineRule="auto" w:after="60"/>
      </w:pPr>
      <w:r>
        <w:rPr>
          <w:rFonts w:ascii="Calibri" w:hAnsi="Calibri"/>
          <w:sz w:val="24"/>
        </w:rPr>
        <w:t>The evaluated release baseline is package version 0.1.0.</w:t>
      </w:r>
    </w:p>
    <w:p>
      <w:pPr>
        <w:pStyle w:val="ListBullet"/>
        <w:spacing w:line="360" w:lineRule="auto" w:after="60"/>
      </w:pPr>
      <w:r>
        <w:rPr>
          <w:rFonts w:ascii="Calibri" w:hAnsi="Calibri"/>
          <w:sz w:val="24"/>
        </w:rPr>
        <w:t>The core runtime declares no third-party Python dependencies and requires Python 3.11 or later.</w:t>
      </w:r>
    </w:p>
    <w:p>
      <w:pPr>
        <w:pStyle w:val="ListBullet"/>
        <w:spacing w:line="360" w:lineRule="auto" w:after="60"/>
      </w:pPr>
      <w:r>
        <w:rPr>
          <w:rFonts w:ascii="Calibri" w:hAnsi="Calibri"/>
          <w:sz w:val="24"/>
        </w:rPr>
        <w:t>The released baseline records 53 passing offline tests; this is a release record, not a newly rerun measurement in the thesis text.</w:t>
      </w:r>
    </w:p>
    <w:p>
      <w:pPr>
        <w:pStyle w:val="ListBullet"/>
        <w:spacing w:line="360" w:lineRule="auto" w:after="60"/>
      </w:pPr>
      <w:r>
        <w:rPr>
          <w:rFonts w:ascii="Calibri" w:hAnsi="Calibri"/>
          <w:sz w:val="24"/>
        </w:rPr>
        <w:t>The frozen benchmark contains 256 synthetic scenes at concurrency eight and is a local metadata-path regression reference.</w:t>
      </w:r>
    </w:p>
    <w:p>
      <w:pPr>
        <w:pStyle w:val="ListBullet"/>
        <w:spacing w:line="360" w:lineRule="auto" w:after="60"/>
      </w:pPr>
      <w:r>
        <w:rPr>
          <w:rFonts w:ascii="Calibri" w:hAnsi="Calibri"/>
          <w:sz w:val="24"/>
        </w:rPr>
        <w:t>The throughput value of 220.819653 items per second is not a measurement of CDSE or raster-download performance.</w:t>
      </w:r>
    </w:p>
    <w:p>
      <w:pPr>
        <w:pStyle w:val="ListBullet"/>
        <w:spacing w:line="360" w:lineRule="auto" w:after="60"/>
      </w:pPr>
      <w:r>
        <w:rPr>
          <w:rFonts w:ascii="Calibri" w:hAnsi="Calibri"/>
          <w:sz w:val="24"/>
        </w:rPr>
        <w:t>The 9.117 ms spatial-query value is a recorded local benchmark value, not a general latency guarantee.</w:t>
      </w:r>
    </w:p>
    <w:p>
      <w:pPr>
        <w:pStyle w:val="ListBullet"/>
        <w:spacing w:line="360" w:lineRule="auto" w:after="60"/>
      </w:pPr>
      <w:r>
        <w:rPr>
          <w:rFonts w:ascii="Calibri" w:hAnsi="Calibri"/>
          <w:sz w:val="24"/>
        </w:rPr>
        <w:t>The 20260915 artifact is explicitly offline-fallback with provider offline-fixture and must not be described as live CDSE performance.</w:t>
      </w:r>
    </w:p>
    <w:p>
      <w:pPr>
        <w:pStyle w:val="ListBullet"/>
        <w:spacing w:line="360" w:lineRule="auto" w:after="60"/>
      </w:pPr>
      <w:r>
        <w:rPr>
          <w:rFonts w:ascii="Calibri" w:hAnsi="Calibri"/>
          <w:sz w:val="24"/>
        </w:rPr>
        <w:t>The raster implementation demonstrates byte-range access, simple downsampling, and NDVI on aligned arrays; it is not a full GeoTIFF processing system.</w:t>
      </w:r>
    </w:p>
    <w:p>
      <w:pPr>
        <w:pStyle w:val="ListBullet"/>
        <w:spacing w:line="360" w:lineRule="auto" w:after="60"/>
      </w:pPr>
      <w:r>
        <w:rPr>
          <w:rFonts w:ascii="Calibri" w:hAnsi="Calibri"/>
          <w:sz w:val="24"/>
        </w:rPr>
        <w:t>The educational API demonstrates access for teaching scenarios, but educational outcomes were not evaluated.</w:t>
      </w:r>
    </w:p>
    <w:p>
      <w:pPr>
        <w:pStyle w:val="ListBullet"/>
        <w:spacing w:line="360" w:lineRule="auto" w:after="60"/>
      </w:pPr>
      <w:r>
        <w:rPr>
          <w:rFonts w:ascii="Calibri" w:hAnsi="Calibri"/>
          <w:sz w:val="24"/>
        </w:rPr>
        <w:t>The project does not claim distributed or production-scale scalability.</w:t>
      </w:r>
    </w:p>
    <w:sectPr w:rsidR="00FC693F" w:rsidRPr="0006063C" w:rsidSect="00034616">
      <w:footerReference w:type="default" r:id="rId9"/>
      <w:pgSz w:w="11906" w:h="16838"/>
      <w:pgMar w:top="1701" w:right="1701" w:bottom="1701" w:left="1701" w:header="850" w:footer="850" w:gutter="0"/>
      <w:cols w:space="720"/>
      <w:titlePg/>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Theme="majorHAnsi" w:eastAsiaTheme="majorEastAsia" w:hAnsiTheme="majorHAnsi" w:cstheme="majorBidi" w:ascii="Calibri" w:hAnsi="Calibr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Hybrid Earth Observation Data Infrastructure for Research and Education: A Case Study of Kvarken Space Center</dc:title>
  <dc:subject>Master's Thesis, University of Vaasa</dc:subject>
  <dc:creator>Daniel Ebrahimzadeh Esfahani</dc:creator>
  <cp:keywords>Earth Observation, STAC, CDSE, provenance, SQLite, reproducible research</cp:keywords>
  <dc:description>generated by python-docx</dc:description>
  <cp:lastModifiedBy/>
  <cp:revision>1</cp:revision>
  <dcterms:created xsi:type="dcterms:W3CDTF">2013-12-23T23:15:00Z</dcterms:created>
  <dcterms:modified xsi:type="dcterms:W3CDTF">2013-12-23T23:15:00Z</dcterms:modified>
  <cp:category/>
</cp:coreProperties>
</file>