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66B02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3053EE44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1EE86592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548D54B9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4CF8305F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68648D51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748E5056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12ACF35F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10014E5E" w14:textId="77777777" w:rsidR="004F05CE" w:rsidRDefault="004F05CE" w:rsidP="004F05CE">
      <w:pPr>
        <w:jc w:val="center"/>
        <w:rPr>
          <w:b/>
          <w:sz w:val="40"/>
          <w:szCs w:val="40"/>
        </w:rPr>
      </w:pPr>
    </w:p>
    <w:p w14:paraId="1D28313C" w14:textId="77777777" w:rsidR="004F05CE" w:rsidRPr="004F05CE" w:rsidRDefault="006D18CF" w:rsidP="004F05CE">
      <w:pPr>
        <w:jc w:val="center"/>
        <w:rPr>
          <w:b/>
          <w:sz w:val="40"/>
          <w:szCs w:val="40"/>
        </w:rPr>
      </w:pPr>
      <w:r w:rsidRPr="004F05CE">
        <w:rPr>
          <w:b/>
          <w:sz w:val="40"/>
          <w:szCs w:val="40"/>
        </w:rPr>
        <w:t>Predicting Wine Quality: A Conundrum</w:t>
      </w:r>
    </w:p>
    <w:p w14:paraId="29F59068" w14:textId="77777777" w:rsidR="006D18CF" w:rsidRPr="004F05CE" w:rsidRDefault="006D18CF" w:rsidP="004F05CE">
      <w:pPr>
        <w:jc w:val="center"/>
        <w:rPr>
          <w:sz w:val="36"/>
          <w:szCs w:val="36"/>
        </w:rPr>
      </w:pPr>
      <w:r w:rsidRPr="004F05CE">
        <w:rPr>
          <w:sz w:val="36"/>
          <w:szCs w:val="36"/>
        </w:rPr>
        <w:t>Would you like some cheese with that?</w:t>
      </w:r>
    </w:p>
    <w:p w14:paraId="4CB1B5CE" w14:textId="77777777" w:rsidR="004F05CE" w:rsidRDefault="004F05CE" w:rsidP="004F05CE">
      <w:pPr>
        <w:jc w:val="right"/>
      </w:pPr>
    </w:p>
    <w:p w14:paraId="58987960" w14:textId="77777777" w:rsidR="004F05CE" w:rsidRDefault="004F05CE" w:rsidP="004F05CE">
      <w:pPr>
        <w:jc w:val="right"/>
      </w:pPr>
    </w:p>
    <w:p w14:paraId="6C753409" w14:textId="77777777" w:rsidR="004F05CE" w:rsidRDefault="004F05CE" w:rsidP="004F05CE">
      <w:pPr>
        <w:jc w:val="right"/>
      </w:pPr>
    </w:p>
    <w:p w14:paraId="675A2724" w14:textId="77777777" w:rsidR="004F05CE" w:rsidRDefault="004F05CE" w:rsidP="004F05CE">
      <w:pPr>
        <w:jc w:val="right"/>
      </w:pPr>
    </w:p>
    <w:p w14:paraId="089C833F" w14:textId="77777777" w:rsidR="004F05CE" w:rsidRDefault="004F05CE" w:rsidP="004F05CE">
      <w:pPr>
        <w:jc w:val="right"/>
      </w:pPr>
    </w:p>
    <w:p w14:paraId="7763C254" w14:textId="77777777" w:rsidR="004F05CE" w:rsidRDefault="004F05CE" w:rsidP="004F05CE">
      <w:pPr>
        <w:jc w:val="right"/>
      </w:pPr>
    </w:p>
    <w:p w14:paraId="4923046E" w14:textId="77777777" w:rsidR="004F05CE" w:rsidRDefault="004F05CE" w:rsidP="004F05CE">
      <w:pPr>
        <w:jc w:val="right"/>
      </w:pPr>
    </w:p>
    <w:p w14:paraId="5F6DC9CC" w14:textId="77777777" w:rsidR="004F05CE" w:rsidRDefault="004F05CE" w:rsidP="004F05CE">
      <w:pPr>
        <w:jc w:val="right"/>
      </w:pPr>
    </w:p>
    <w:p w14:paraId="11E38F26" w14:textId="77777777" w:rsidR="004F05CE" w:rsidRDefault="004F05CE" w:rsidP="004F05CE">
      <w:pPr>
        <w:jc w:val="right"/>
      </w:pPr>
    </w:p>
    <w:p w14:paraId="61F757D4" w14:textId="77777777" w:rsidR="004F05CE" w:rsidRDefault="004F05CE" w:rsidP="004F05CE">
      <w:pPr>
        <w:jc w:val="right"/>
      </w:pPr>
    </w:p>
    <w:p w14:paraId="68F1549A" w14:textId="77777777" w:rsidR="004F05CE" w:rsidRDefault="004F05CE" w:rsidP="004F05CE">
      <w:pPr>
        <w:jc w:val="right"/>
      </w:pPr>
    </w:p>
    <w:p w14:paraId="0D478A11" w14:textId="77777777" w:rsidR="004F05CE" w:rsidRDefault="004F05CE" w:rsidP="004F05CE">
      <w:pPr>
        <w:jc w:val="right"/>
      </w:pPr>
    </w:p>
    <w:p w14:paraId="0C8853CB" w14:textId="77777777" w:rsidR="004F05CE" w:rsidRDefault="004F05CE" w:rsidP="004F05CE">
      <w:pPr>
        <w:jc w:val="right"/>
      </w:pPr>
    </w:p>
    <w:p w14:paraId="65034D43" w14:textId="77777777" w:rsidR="004F05CE" w:rsidRDefault="004F05CE" w:rsidP="004F05CE">
      <w:pPr>
        <w:jc w:val="right"/>
      </w:pPr>
    </w:p>
    <w:p w14:paraId="4AB7FE39" w14:textId="77777777" w:rsidR="004F05CE" w:rsidRDefault="004F05CE" w:rsidP="004F05CE">
      <w:pPr>
        <w:jc w:val="right"/>
      </w:pPr>
    </w:p>
    <w:p w14:paraId="0FA0A65A" w14:textId="77777777" w:rsidR="004F05CE" w:rsidRDefault="004F05CE" w:rsidP="004F05CE">
      <w:pPr>
        <w:jc w:val="right"/>
      </w:pPr>
    </w:p>
    <w:p w14:paraId="211A95C7" w14:textId="77777777" w:rsidR="004F05CE" w:rsidRDefault="004F05CE" w:rsidP="004F05CE">
      <w:pPr>
        <w:jc w:val="right"/>
      </w:pPr>
    </w:p>
    <w:p w14:paraId="13F0A6EC" w14:textId="77777777" w:rsidR="004F05CE" w:rsidRDefault="004F05CE" w:rsidP="004F05CE">
      <w:pPr>
        <w:jc w:val="right"/>
      </w:pPr>
    </w:p>
    <w:p w14:paraId="124064FC" w14:textId="77777777" w:rsidR="004F05CE" w:rsidRDefault="004F05CE" w:rsidP="004F05CE">
      <w:pPr>
        <w:jc w:val="right"/>
      </w:pPr>
    </w:p>
    <w:p w14:paraId="4B6EC255" w14:textId="77777777" w:rsidR="004F05CE" w:rsidRDefault="004F05CE" w:rsidP="004F05CE">
      <w:pPr>
        <w:jc w:val="right"/>
      </w:pPr>
    </w:p>
    <w:p w14:paraId="732205DA" w14:textId="77777777" w:rsidR="004F05CE" w:rsidRDefault="004F05CE" w:rsidP="004F05CE">
      <w:pPr>
        <w:jc w:val="right"/>
      </w:pPr>
    </w:p>
    <w:p w14:paraId="7B476744" w14:textId="77777777" w:rsidR="004F05CE" w:rsidRDefault="004F05CE" w:rsidP="004F05CE">
      <w:pPr>
        <w:jc w:val="right"/>
      </w:pPr>
    </w:p>
    <w:p w14:paraId="7D518B45" w14:textId="77777777" w:rsidR="004F05CE" w:rsidRDefault="004F05CE" w:rsidP="004F05CE">
      <w:pPr>
        <w:jc w:val="right"/>
      </w:pPr>
    </w:p>
    <w:p w14:paraId="3C58C1BD" w14:textId="77777777" w:rsidR="004F05CE" w:rsidRDefault="004F05CE" w:rsidP="004F05CE">
      <w:pPr>
        <w:jc w:val="right"/>
      </w:pPr>
      <w:r>
        <w:t>ST 599 Statistical Computing and Big Data-Project 3</w:t>
      </w:r>
    </w:p>
    <w:p w14:paraId="340D4A40" w14:textId="77777777" w:rsidR="004F05CE" w:rsidRDefault="004F05CE" w:rsidP="004F05CE">
      <w:pPr>
        <w:jc w:val="right"/>
      </w:pPr>
      <w:r>
        <w:t>June 2, 2014</w:t>
      </w:r>
    </w:p>
    <w:p w14:paraId="7CE643E0" w14:textId="77777777" w:rsidR="00011A0D" w:rsidRDefault="006D18CF" w:rsidP="004F05CE">
      <w:pPr>
        <w:jc w:val="right"/>
        <w:rPr>
          <w:b/>
        </w:rPr>
      </w:pPr>
      <w:r>
        <w:t>Matt Edwards, Song Hoa Choi, Gina Shellhammer, Kalbi Zongo</w:t>
      </w:r>
    </w:p>
    <w:p w14:paraId="28C6E548" w14:textId="77777777" w:rsidR="00011A0D" w:rsidRDefault="00011A0D">
      <w:pPr>
        <w:rPr>
          <w:b/>
        </w:rPr>
      </w:pPr>
    </w:p>
    <w:p w14:paraId="7156CD33" w14:textId="77777777" w:rsidR="00011A0D" w:rsidRPr="00FD1EE9" w:rsidRDefault="00011A0D">
      <w:pPr>
        <w:rPr>
          <w:b/>
        </w:rPr>
      </w:pPr>
      <w:r w:rsidRPr="00FD1EE9">
        <w:rPr>
          <w:b/>
        </w:rPr>
        <w:lastRenderedPageBreak/>
        <w:t>Introduction</w:t>
      </w:r>
    </w:p>
    <w:p w14:paraId="2A0B19C3" w14:textId="77777777" w:rsidR="009D2AB1" w:rsidRPr="00FD1EE9" w:rsidRDefault="009D2AB1" w:rsidP="009413DF"/>
    <w:p w14:paraId="06E8079D" w14:textId="20B64763" w:rsidR="00541AF7" w:rsidRPr="00FD1EE9" w:rsidRDefault="00011A0D" w:rsidP="00541AF7">
      <w:r w:rsidRPr="00FD1EE9">
        <w:t>To predict the blind taster quality score of a wine based on chemical tests, we collected</w:t>
      </w:r>
      <w:r w:rsidR="00994368" w:rsidRPr="00FD1EE9">
        <w:t xml:space="preserve"> “Wine Quality” data from UCI Machine Learning Repository, </w:t>
      </w:r>
      <w:hyperlink r:id="rId7" w:history="1">
        <w:r w:rsidR="00994368" w:rsidRPr="00FD1EE9">
          <w:rPr>
            <w:rStyle w:val="Hyperlink"/>
          </w:rPr>
          <w:t>https://archive.ics.uci.edu/ml/datasets.html</w:t>
        </w:r>
      </w:hyperlink>
      <w:r w:rsidR="009413DF" w:rsidRPr="00FD1EE9">
        <w:t xml:space="preserve">. There are twelve variables such as </w:t>
      </w:r>
      <w:r w:rsidR="006019BF" w:rsidRPr="00FD1EE9">
        <w:t>fixed acidity, volatile acidity, citric acid, residual sugar, chlorides, free sulfur dioxide, total sulfur dioxide, density, ph, sulphates, alcohol</w:t>
      </w:r>
      <w:r w:rsidR="009413DF" w:rsidRPr="00FD1EE9">
        <w:t xml:space="preserve">, and taster quality scale 0 to 10 in two datasets, </w:t>
      </w:r>
      <w:r w:rsidR="009F3623" w:rsidRPr="00FD1EE9">
        <w:t xml:space="preserve">4898 </w:t>
      </w:r>
      <w:r w:rsidR="009413DF" w:rsidRPr="00FD1EE9">
        <w:t>white and</w:t>
      </w:r>
      <w:r w:rsidR="009F3623" w:rsidRPr="00FD1EE9">
        <w:t xml:space="preserve"> 1599</w:t>
      </w:r>
      <w:r w:rsidR="009413DF" w:rsidRPr="00FD1EE9">
        <w:t xml:space="preserve"> red vinho verde wine </w:t>
      </w:r>
      <w:r w:rsidR="00A63D4B" w:rsidRPr="00FD1EE9">
        <w:t>samples from Northern Po</w:t>
      </w:r>
      <w:r w:rsidR="009F3623" w:rsidRPr="00FD1EE9">
        <w:t xml:space="preserve">rtugal. </w:t>
      </w:r>
      <w:r w:rsidR="00A63D4B" w:rsidRPr="00FD1EE9">
        <w:t>The taster quality scale 0 indicates ‘very bad’ and 10 indica</w:t>
      </w:r>
      <w:r w:rsidR="009F3623" w:rsidRPr="00FD1EE9">
        <w:t xml:space="preserve">te ‘very excellent’. </w:t>
      </w:r>
      <w:r w:rsidR="00541AF7" w:rsidRPr="00FD1EE9">
        <w:t>The response variable is the taster quality scale with eleven explanatory variables from various phytochemicals in wine. The median of taster quality in white (n = 2198) and red wine (n = 681) is between 5 and 6</w:t>
      </w:r>
      <w:r w:rsidR="00DF3B3E">
        <w:t xml:space="preserve"> (Figure1</w:t>
      </w:r>
      <w:r w:rsidR="004E387F">
        <w:t>)</w:t>
      </w:r>
      <w:r w:rsidR="00541AF7" w:rsidRPr="00FD1EE9">
        <w:t xml:space="preserve">. </w:t>
      </w:r>
      <w:r w:rsidR="00A60DEE" w:rsidRPr="00FD1EE9">
        <w:t xml:space="preserve"> We decided to use 5 </w:t>
      </w:r>
      <w:r w:rsidR="00A57FC2" w:rsidRPr="00FD1EE9">
        <w:t xml:space="preserve">and 6 from </w:t>
      </w:r>
      <w:r w:rsidR="004E387F">
        <w:t>taster quality scale to predict.</w:t>
      </w:r>
      <w:r w:rsidR="00A57FC2" w:rsidRPr="00FD1EE9">
        <w:t xml:space="preserve">  </w:t>
      </w:r>
    </w:p>
    <w:p w14:paraId="0E78C73D" w14:textId="77777777" w:rsidR="009F3623" w:rsidRPr="00FD1EE9" w:rsidRDefault="009F3623" w:rsidP="009413DF"/>
    <w:p w14:paraId="4A802149" w14:textId="77777777" w:rsidR="009413DF" w:rsidRPr="00FD1EE9" w:rsidRDefault="009413DF" w:rsidP="009413DF">
      <w:pPr>
        <w:rPr>
          <w:b/>
        </w:rPr>
      </w:pPr>
      <w:r w:rsidRPr="00FD1EE9">
        <w:rPr>
          <w:b/>
        </w:rPr>
        <w:t>Description of the machine learning method</w:t>
      </w:r>
    </w:p>
    <w:p w14:paraId="3089DB37" w14:textId="77777777" w:rsidR="00541AF7" w:rsidRPr="00FD1EE9" w:rsidRDefault="00541AF7" w:rsidP="009413DF"/>
    <w:p w14:paraId="254B3D55" w14:textId="77777777" w:rsidR="003F7EEA" w:rsidRPr="00FD1EE9" w:rsidRDefault="003F7EEA" w:rsidP="003F7EEA">
      <w:r w:rsidRPr="00FD1EE9">
        <w:t>There are steps to obtain the finding, 1) Stratified sampling method 2) Principal component analysis 3) Ordinal regression.</w:t>
      </w:r>
    </w:p>
    <w:p w14:paraId="527CA7BD" w14:textId="4A791A71" w:rsidR="003F7EEA" w:rsidRPr="00FD1EE9" w:rsidRDefault="003F7EEA" w:rsidP="003F7EEA">
      <w:r w:rsidRPr="00FD1EE9">
        <w:t>First, we constructed training and testing set by using stratified the quality variables. 37.5% of items in strata were randomly selected to be in the testing set and remaining 62.5% were the training set. Secondly, principal comp</w:t>
      </w:r>
      <w:r w:rsidR="00B6753C">
        <w:t>onent analysis was conduct to find the scores of wine</w:t>
      </w:r>
      <w:r w:rsidRPr="00FD1EE9">
        <w:t xml:space="preserve">. Finally, ordinal regression is to predict the ordinal categorical dependent variable – scale with the explanatory variables. </w:t>
      </w:r>
    </w:p>
    <w:p w14:paraId="147A8609" w14:textId="17E21E72" w:rsidR="00FD1EE9" w:rsidRPr="0091018D" w:rsidRDefault="00207E59" w:rsidP="00FD1EE9">
      <w:pPr>
        <w:widowControl w:val="0"/>
        <w:autoSpaceDE w:val="0"/>
        <w:autoSpaceDN w:val="0"/>
        <w:adjustRightInd w:val="0"/>
        <w:rPr>
          <w:rFonts w:cs="Times"/>
          <w:b/>
        </w:rPr>
      </w:pPr>
      <w:r w:rsidRPr="00FD1EE9">
        <w:t xml:space="preserve">Ordinal regression is </w:t>
      </w:r>
      <w:r w:rsidR="006D18CF" w:rsidRPr="00FD1EE9">
        <w:t>one of the general linear models</w:t>
      </w:r>
      <w:r w:rsidR="00D57B00">
        <w:t xml:space="preserve"> and </w:t>
      </w:r>
      <w:r w:rsidR="00D57B00" w:rsidRPr="00FD1EE9">
        <w:t xml:space="preserve">its formula is similar to logistic binomial regression. </w:t>
      </w:r>
      <w:r w:rsidR="006D18CF" w:rsidRPr="00FD1EE9">
        <w:t xml:space="preserve">This is </w:t>
      </w:r>
      <w:r w:rsidRPr="00FD1EE9">
        <w:t>to predict the ordinal categorical dependent variable – scale with the explanatory variables. Because taster quality scale is</w:t>
      </w:r>
      <w:r w:rsidR="008E5A79" w:rsidRPr="00FD1EE9">
        <w:t xml:space="preserve"> ordinal categorical variable, </w:t>
      </w:r>
      <w:r w:rsidRPr="00FD1EE9">
        <w:t xml:space="preserve">ordinal regression is </w:t>
      </w:r>
      <w:r w:rsidR="00B35CF8">
        <w:t>reasonable</w:t>
      </w:r>
      <w:r w:rsidRPr="00FD1EE9">
        <w:t xml:space="preserve"> to predict the taster quality from various phytochemicals. </w:t>
      </w:r>
      <w:r w:rsidR="00EF1B6E" w:rsidRPr="00FD1EE9">
        <w:t xml:space="preserve">This is also to determine which the significant effect of various phytochemicals on the taster quality scale. </w:t>
      </w:r>
      <w:r w:rsidR="00D57B00">
        <w:rPr>
          <w:rFonts w:cs="Times"/>
        </w:rPr>
        <w:t>Y</w:t>
      </w:r>
      <w:r w:rsidR="003F7EEA">
        <w:rPr>
          <w:rFonts w:cs="Times"/>
        </w:rPr>
        <w:t xml:space="preserve"> ={r</w:t>
      </w:r>
      <w:r w:rsidR="003F7EEA" w:rsidRPr="003F7EEA">
        <w:rPr>
          <w:rFonts w:cs="Times"/>
          <w:sz w:val="16"/>
          <w:szCs w:val="16"/>
        </w:rPr>
        <w:t>1</w:t>
      </w:r>
      <w:r w:rsidR="003F7EEA">
        <w:rPr>
          <w:rFonts w:cs="Times"/>
        </w:rPr>
        <w:t>, …r</w:t>
      </w:r>
      <w:r w:rsidR="003F7EEA" w:rsidRPr="003F7EEA">
        <w:rPr>
          <w:rFonts w:cs="Times"/>
          <w:sz w:val="16"/>
          <w:szCs w:val="16"/>
        </w:rPr>
        <w:t>q</w:t>
      </w:r>
      <w:r w:rsidR="003F7EEA">
        <w:rPr>
          <w:rFonts w:cs="Times"/>
        </w:rPr>
        <w:t xml:space="preserve">}, </w:t>
      </w:r>
      <w:r w:rsidR="00D57B00">
        <w:rPr>
          <w:rFonts w:cs="Times"/>
        </w:rPr>
        <w:t>(</w:t>
      </w:r>
      <w:r w:rsidR="003F7EEA">
        <w:rPr>
          <w:rFonts w:cs="Times"/>
        </w:rPr>
        <w:t>r</w:t>
      </w:r>
      <w:r w:rsidR="003F7EEA" w:rsidRPr="003F7EEA">
        <w:rPr>
          <w:rFonts w:cs="Times"/>
          <w:sz w:val="16"/>
          <w:szCs w:val="16"/>
        </w:rPr>
        <w:t>1</w:t>
      </w:r>
      <m:oMath>
        <m:r>
          <w:rPr>
            <w:rFonts w:ascii="Cambria Math" w:hAnsi="Cambria Math" w:cs="Times"/>
          </w:rPr>
          <m:t>≺</m:t>
        </m:r>
      </m:oMath>
      <w:r w:rsidR="003F7EEA">
        <w:rPr>
          <w:rFonts w:cs="Times"/>
        </w:rPr>
        <w:t>…</w:t>
      </w:r>
      <m:oMath>
        <m:r>
          <w:rPr>
            <w:rFonts w:ascii="Cambria Math" w:hAnsi="Cambria Math" w:cs="Times"/>
          </w:rPr>
          <m:t>≺</m:t>
        </m:r>
      </m:oMath>
      <w:r w:rsidR="003F7EEA">
        <w:rPr>
          <w:rFonts w:cs="Times"/>
        </w:rPr>
        <w:t xml:space="preserve"> r</w:t>
      </w:r>
      <w:r w:rsidR="003F7EEA" w:rsidRPr="003F7EEA">
        <w:rPr>
          <w:rFonts w:cs="Times"/>
          <w:sz w:val="16"/>
          <w:szCs w:val="16"/>
        </w:rPr>
        <w:t>q</w:t>
      </w:r>
      <w:r w:rsidR="003F7EEA">
        <w:rPr>
          <w:rFonts w:cs="Times"/>
          <w:sz w:val="16"/>
          <w:szCs w:val="16"/>
        </w:rPr>
        <w:t xml:space="preserve"> </w:t>
      </w:r>
      <w:r w:rsidR="00D57B00">
        <w:rPr>
          <w:rFonts w:cs="Times"/>
        </w:rPr>
        <w:t xml:space="preserve">) </w:t>
      </w:r>
      <w:r w:rsidR="003F7EEA">
        <w:rPr>
          <w:rFonts w:cs="Times"/>
        </w:rPr>
        <w:t>with applied the stochastic ordering and the cumulative model, all pairwise different x</w:t>
      </w:r>
      <w:r w:rsidR="003F7EEA" w:rsidRPr="003F7EEA">
        <w:rPr>
          <w:rFonts w:cs="Times"/>
          <w:sz w:val="16"/>
          <w:szCs w:val="16"/>
        </w:rPr>
        <w:t xml:space="preserve">1 </w:t>
      </w:r>
      <w:r w:rsidR="003F7EEA">
        <w:rPr>
          <w:rFonts w:cs="Times"/>
        </w:rPr>
        <w:t>and x</w:t>
      </w:r>
      <w:r w:rsidR="003F7EEA" w:rsidRPr="003F7EEA">
        <w:rPr>
          <w:rFonts w:cs="Times"/>
          <w:sz w:val="16"/>
          <w:szCs w:val="16"/>
        </w:rPr>
        <w:t>2</w:t>
      </w:r>
      <w:r w:rsidR="003F7EEA">
        <w:rPr>
          <w:rFonts w:cs="Times"/>
        </w:rPr>
        <w:t xml:space="preserve"> is P(y </w:t>
      </w:r>
      <m:oMath>
        <m:r>
          <w:rPr>
            <w:rFonts w:ascii="Cambria Math" w:hAnsi="Cambria Math" w:cs="Times"/>
          </w:rPr>
          <m:t>≤</m:t>
        </m:r>
      </m:oMath>
      <w:r w:rsidR="003F7EEA">
        <w:rPr>
          <w:rFonts w:cs="Times"/>
        </w:rPr>
        <w:t xml:space="preserve"> r</w:t>
      </w:r>
      <w:r w:rsidR="003F7EEA" w:rsidRPr="00D57B00">
        <w:rPr>
          <w:rFonts w:cs="Times"/>
          <w:sz w:val="16"/>
          <w:szCs w:val="16"/>
        </w:rPr>
        <w:t>i</w:t>
      </w:r>
      <w:r w:rsidR="003F7EEA">
        <w:rPr>
          <w:rFonts w:cs="Times"/>
        </w:rPr>
        <w:t>|x</w:t>
      </w:r>
      <w:r w:rsidR="003F7EEA" w:rsidRPr="00D57B00">
        <w:rPr>
          <w:rFonts w:cs="Times"/>
          <w:sz w:val="16"/>
          <w:szCs w:val="16"/>
        </w:rPr>
        <w:t>1</w:t>
      </w:r>
      <w:r w:rsidR="003F7EEA">
        <w:rPr>
          <w:rFonts w:cs="Times"/>
        </w:rPr>
        <w:t xml:space="preserve">) </w:t>
      </w:r>
      <m:oMath>
        <m:r>
          <w:rPr>
            <w:rFonts w:ascii="Cambria Math" w:hAnsi="Cambria Math" w:cs="Times"/>
          </w:rPr>
          <m:t>≥</m:t>
        </m:r>
      </m:oMath>
      <w:r w:rsidR="00D57B00">
        <w:rPr>
          <w:rFonts w:cs="Times"/>
        </w:rPr>
        <w:t xml:space="preserve"> P(y </w:t>
      </w:r>
      <m:oMath>
        <m:r>
          <w:rPr>
            <w:rFonts w:ascii="Cambria Math" w:hAnsi="Cambria Math" w:cs="Times"/>
          </w:rPr>
          <m:t>≤</m:t>
        </m:r>
      </m:oMath>
      <w:r w:rsidR="003F7EEA">
        <w:rPr>
          <w:rFonts w:cs="Times"/>
        </w:rPr>
        <w:t>r</w:t>
      </w:r>
      <w:r w:rsidR="003F7EEA" w:rsidRPr="00D57B00">
        <w:rPr>
          <w:rFonts w:cs="Times"/>
          <w:sz w:val="16"/>
          <w:szCs w:val="16"/>
        </w:rPr>
        <w:t>i</w:t>
      </w:r>
      <w:r w:rsidR="003F7EEA">
        <w:rPr>
          <w:rFonts w:cs="Times"/>
        </w:rPr>
        <w:t>|x</w:t>
      </w:r>
      <w:r w:rsidR="003F7EEA" w:rsidRPr="00D57B00">
        <w:rPr>
          <w:rFonts w:cs="Times"/>
          <w:sz w:val="16"/>
          <w:szCs w:val="16"/>
        </w:rPr>
        <w:t>2</w:t>
      </w:r>
      <w:r w:rsidR="003F7EEA">
        <w:rPr>
          <w:rFonts w:cs="Times"/>
        </w:rPr>
        <w:t>) for all r</w:t>
      </w:r>
      <w:r w:rsidR="003F7EEA" w:rsidRPr="00D57B00">
        <w:rPr>
          <w:rFonts w:cs="Times"/>
          <w:sz w:val="16"/>
          <w:szCs w:val="16"/>
        </w:rPr>
        <w:t>i</w:t>
      </w:r>
      <w:r w:rsidR="00D57B00">
        <w:rPr>
          <w:rFonts w:cs="Times"/>
        </w:rPr>
        <w:t xml:space="preserve"> </w:t>
      </w:r>
      <m:oMath>
        <m:r>
          <w:rPr>
            <w:rFonts w:ascii="Cambria Math" w:hAnsi="Cambria Math" w:cs="Times"/>
          </w:rPr>
          <m:t>∈</m:t>
        </m:r>
      </m:oMath>
      <w:r w:rsidR="00D57B00">
        <w:rPr>
          <w:rFonts w:cs="Times"/>
        </w:rPr>
        <w:t xml:space="preserve"> </w:t>
      </w:r>
      <w:r w:rsidR="003F7EEA">
        <w:rPr>
          <w:rFonts w:cs="Times"/>
        </w:rPr>
        <w:t xml:space="preserve">Y or </w:t>
      </w:r>
      <w:r w:rsidR="00D57B00">
        <w:rPr>
          <w:rFonts w:cs="Times"/>
        </w:rPr>
        <w:t xml:space="preserve">P(y </w:t>
      </w:r>
      <m:oMath>
        <m:r>
          <w:rPr>
            <w:rFonts w:ascii="Cambria Math" w:hAnsi="Cambria Math" w:cs="Times"/>
          </w:rPr>
          <m:t>≤</m:t>
        </m:r>
      </m:oMath>
      <w:r w:rsidR="00D57B00">
        <w:rPr>
          <w:rFonts w:cs="Times"/>
        </w:rPr>
        <w:t xml:space="preserve"> r</w:t>
      </w:r>
      <w:r w:rsidR="00D57B00" w:rsidRPr="00D57B00">
        <w:rPr>
          <w:rFonts w:cs="Times"/>
          <w:sz w:val="16"/>
          <w:szCs w:val="16"/>
        </w:rPr>
        <w:t>i</w:t>
      </w:r>
      <w:r w:rsidR="00D57B00">
        <w:rPr>
          <w:rFonts w:cs="Times"/>
        </w:rPr>
        <w:t>|x</w:t>
      </w:r>
      <w:r w:rsidR="00D57B00" w:rsidRPr="00D57B00">
        <w:rPr>
          <w:rFonts w:cs="Times"/>
          <w:sz w:val="16"/>
          <w:szCs w:val="16"/>
        </w:rPr>
        <w:t>1</w:t>
      </w:r>
      <w:r w:rsidR="00D57B00">
        <w:rPr>
          <w:rFonts w:cs="Times"/>
        </w:rPr>
        <w:t xml:space="preserve">) </w:t>
      </w:r>
      <m:oMath>
        <m:r>
          <w:rPr>
            <w:rFonts w:ascii="Cambria Math" w:hAnsi="Cambria Math" w:cs="Times"/>
          </w:rPr>
          <m:t>≤</m:t>
        </m:r>
      </m:oMath>
      <w:r w:rsidR="00D57B00">
        <w:rPr>
          <w:rFonts w:cs="Times"/>
        </w:rPr>
        <w:t xml:space="preserve"> P(y </w:t>
      </w:r>
      <m:oMath>
        <m:r>
          <w:rPr>
            <w:rFonts w:ascii="Cambria Math" w:hAnsi="Cambria Math" w:cs="Times"/>
          </w:rPr>
          <m:t xml:space="preserve">≤   </m:t>
        </m:r>
      </m:oMath>
      <w:r w:rsidR="00D57B00">
        <w:rPr>
          <w:rFonts w:cs="Times"/>
        </w:rPr>
        <w:t>r</w:t>
      </w:r>
      <w:r w:rsidR="00D57B00" w:rsidRPr="00D57B00">
        <w:rPr>
          <w:rFonts w:cs="Times"/>
          <w:sz w:val="16"/>
          <w:szCs w:val="16"/>
        </w:rPr>
        <w:t>i</w:t>
      </w:r>
      <w:r w:rsidR="00D57B00">
        <w:rPr>
          <w:rFonts w:cs="Times"/>
        </w:rPr>
        <w:t>|x</w:t>
      </w:r>
      <w:r w:rsidR="00D57B00" w:rsidRPr="00D57B00">
        <w:rPr>
          <w:rFonts w:cs="Times"/>
          <w:sz w:val="16"/>
          <w:szCs w:val="16"/>
        </w:rPr>
        <w:t>2</w:t>
      </w:r>
      <w:r w:rsidR="00D57B00">
        <w:rPr>
          <w:rFonts w:cs="Times"/>
        </w:rPr>
        <w:t>) for all r</w:t>
      </w:r>
      <w:r w:rsidR="00D57B00" w:rsidRPr="00D57B00">
        <w:rPr>
          <w:rFonts w:cs="Times"/>
          <w:sz w:val="16"/>
          <w:szCs w:val="16"/>
        </w:rPr>
        <w:t>i</w:t>
      </w:r>
      <w:r w:rsidR="00D57B00">
        <w:rPr>
          <w:rFonts w:cs="Times"/>
        </w:rPr>
        <w:t xml:space="preserve"> </w:t>
      </w:r>
      <m:oMath>
        <m:r>
          <w:rPr>
            <w:rFonts w:ascii="Cambria Math" w:hAnsi="Cambria Math" w:cs="Times"/>
          </w:rPr>
          <m:t>∈</m:t>
        </m:r>
      </m:oMath>
      <w:r w:rsidR="00D57B00">
        <w:rPr>
          <w:rFonts w:cs="Times"/>
        </w:rPr>
        <w:t xml:space="preserve"> Y (Herbrich, Graepel, &amp; Obermayer, 1999). </w:t>
      </w:r>
      <w:r w:rsidR="0043585E">
        <w:rPr>
          <w:rFonts w:cs="Times"/>
        </w:rPr>
        <w:t xml:space="preserve">If our interest is the observing event, use the odds – </w:t>
      </w:r>
      <m:oMath>
        <m:r>
          <w:rPr>
            <w:rFonts w:ascii="Cambria Math" w:hAnsi="Cambria Math" w:cs="Times"/>
          </w:rPr>
          <m:t>θ</m:t>
        </m:r>
      </m:oMath>
      <w:r w:rsidR="0043585E" w:rsidRPr="0043585E">
        <w:rPr>
          <w:rFonts w:cs="Times"/>
          <w:sz w:val="16"/>
          <w:szCs w:val="16"/>
        </w:rPr>
        <w:t>j</w:t>
      </w:r>
      <w:r w:rsidR="0043585E">
        <w:rPr>
          <w:rFonts w:cs="Times"/>
        </w:rPr>
        <w:t xml:space="preserve"> = prob(score </w:t>
      </w:r>
      <m:oMath>
        <m:r>
          <w:rPr>
            <w:rFonts w:ascii="Cambria Math" w:hAnsi="Cambria Math" w:cs="Times"/>
          </w:rPr>
          <m:t>≤</m:t>
        </m:r>
      </m:oMath>
      <w:r w:rsidR="0043585E">
        <w:rPr>
          <w:rFonts w:cs="Times"/>
        </w:rPr>
        <w:t xml:space="preserve">  j) / prob(score </w:t>
      </w:r>
      <m:oMath>
        <m:r>
          <w:rPr>
            <w:rFonts w:ascii="Cambria Math" w:hAnsi="Cambria Math" w:cs="Times"/>
          </w:rPr>
          <m:t>≥</m:t>
        </m:r>
      </m:oMath>
      <w:r w:rsidR="0043585E">
        <w:rPr>
          <w:rFonts w:cs="Times"/>
        </w:rPr>
        <w:t xml:space="preserve"> j) or </w:t>
      </w:r>
      <m:oMath>
        <m:r>
          <w:rPr>
            <w:rFonts w:ascii="Cambria Math" w:hAnsi="Cambria Math" w:cs="Times"/>
          </w:rPr>
          <m:t>θ</m:t>
        </m:r>
      </m:oMath>
      <w:r w:rsidR="0043585E" w:rsidRPr="0043585E">
        <w:rPr>
          <w:rFonts w:cs="Times"/>
          <w:sz w:val="16"/>
          <w:szCs w:val="16"/>
        </w:rPr>
        <w:t>j</w:t>
      </w:r>
      <w:r w:rsidR="0043585E">
        <w:rPr>
          <w:rFonts w:cs="Times"/>
        </w:rPr>
        <w:t xml:space="preserve"> = prob(score </w:t>
      </w:r>
      <m:oMath>
        <m:r>
          <w:rPr>
            <w:rFonts w:ascii="Cambria Math" w:hAnsi="Cambria Math" w:cs="Times"/>
          </w:rPr>
          <m:t>≤</m:t>
        </m:r>
      </m:oMath>
      <w:r w:rsidR="0043585E">
        <w:rPr>
          <w:rFonts w:cs="Times"/>
        </w:rPr>
        <w:t xml:space="preserve">  j) / (1-prob(score </w:t>
      </w:r>
      <m:oMath>
        <m:r>
          <w:rPr>
            <w:rFonts w:ascii="Cambria Math" w:hAnsi="Cambria Math" w:cs="Times"/>
          </w:rPr>
          <m:t>≤</m:t>
        </m:r>
      </m:oMath>
      <w:r w:rsidR="0043585E">
        <w:rPr>
          <w:rFonts w:cs="Times"/>
        </w:rPr>
        <w:t xml:space="preserve">  j)). Thus, the ordinal logistic model is ln(</w:t>
      </w:r>
      <m:oMath>
        <m:r>
          <w:rPr>
            <w:rFonts w:ascii="Cambria Math" w:hAnsi="Cambria Math" w:cs="Times"/>
          </w:rPr>
          <m:t>θ</m:t>
        </m:r>
      </m:oMath>
      <w:r w:rsidR="0043585E" w:rsidRPr="0043585E">
        <w:rPr>
          <w:rFonts w:cs="Times"/>
          <w:sz w:val="16"/>
          <w:szCs w:val="16"/>
        </w:rPr>
        <w:t>j</w:t>
      </w:r>
      <w:r w:rsidR="0043585E">
        <w:rPr>
          <w:rFonts w:cs="Times"/>
        </w:rPr>
        <w:t xml:space="preserve"> </w:t>
      </w:r>
      <w:r w:rsidR="0091018D">
        <w:rPr>
          <w:rFonts w:cs="Times"/>
        </w:rPr>
        <w:t>)</w:t>
      </w:r>
      <w:r w:rsidR="0043585E">
        <w:rPr>
          <w:rFonts w:cs="Times"/>
        </w:rPr>
        <w:t xml:space="preserve">= </w:t>
      </w:r>
      <m:oMath>
        <m:r>
          <w:rPr>
            <w:rFonts w:ascii="Cambria Math" w:hAnsi="Cambria Math" w:cs="Times"/>
          </w:rPr>
          <m:t>α</m:t>
        </m:r>
      </m:oMath>
      <w:r w:rsidR="0043585E" w:rsidRPr="0043585E">
        <w:rPr>
          <w:rFonts w:cs="Times"/>
          <w:sz w:val="16"/>
          <w:szCs w:val="16"/>
        </w:rPr>
        <w:t>j</w:t>
      </w:r>
      <w:r w:rsidR="0043585E">
        <w:rPr>
          <w:rFonts w:cs="Times"/>
          <w:sz w:val="16"/>
          <w:szCs w:val="16"/>
        </w:rPr>
        <w:t xml:space="preserve"> </w:t>
      </w:r>
      <w:r w:rsidR="0043585E">
        <w:rPr>
          <w:rFonts w:cs="Times"/>
        </w:rPr>
        <w:t xml:space="preserve">– </w:t>
      </w:r>
      <m:oMath>
        <m:r>
          <w:rPr>
            <w:rFonts w:ascii="Cambria Math" w:hAnsi="Cambria Math" w:cs="Times"/>
          </w:rPr>
          <m:t>β</m:t>
        </m:r>
      </m:oMath>
      <w:r w:rsidR="0043585E">
        <w:rPr>
          <w:rFonts w:cs="Times"/>
        </w:rPr>
        <w:t>*X</w:t>
      </w:r>
      <w:r w:rsidR="0043585E" w:rsidRPr="0043585E">
        <w:rPr>
          <w:rFonts w:cs="Times"/>
          <w:sz w:val="16"/>
          <w:szCs w:val="16"/>
        </w:rPr>
        <w:t>1</w:t>
      </w:r>
      <w:r w:rsidR="0043585E">
        <w:rPr>
          <w:rFonts w:cs="Times"/>
          <w:sz w:val="16"/>
          <w:szCs w:val="16"/>
        </w:rPr>
        <w:t xml:space="preserve"> </w:t>
      </w:r>
      <w:r w:rsidR="0043585E">
        <w:rPr>
          <w:rFonts w:cs="Times"/>
        </w:rPr>
        <w:t xml:space="preserve">+ …+ </w:t>
      </w:r>
      <m:oMath>
        <m:r>
          <w:rPr>
            <w:rFonts w:ascii="Cambria Math" w:hAnsi="Cambria Math" w:cs="Times"/>
          </w:rPr>
          <m:t>β</m:t>
        </m:r>
      </m:oMath>
      <w:r w:rsidR="0043585E">
        <w:rPr>
          <w:rFonts w:cs="Times"/>
        </w:rPr>
        <w:t>*X</w:t>
      </w:r>
      <w:r w:rsidR="0091018D">
        <w:rPr>
          <w:rFonts w:cs="Times"/>
          <w:sz w:val="16"/>
          <w:szCs w:val="16"/>
        </w:rPr>
        <w:t xml:space="preserve">j </w:t>
      </w:r>
      <w:r w:rsidR="0091018D">
        <w:rPr>
          <w:rFonts w:cs="Times"/>
        </w:rPr>
        <w:t xml:space="preserve"> where </w:t>
      </w:r>
      <m:oMath>
        <m:r>
          <w:rPr>
            <w:rFonts w:ascii="Cambria Math" w:hAnsi="Cambria Math" w:cs="Times"/>
          </w:rPr>
          <m:t>α</m:t>
        </m:r>
      </m:oMath>
      <w:r w:rsidR="0091018D" w:rsidRPr="0043585E">
        <w:rPr>
          <w:rFonts w:cs="Times"/>
          <w:sz w:val="16"/>
          <w:szCs w:val="16"/>
        </w:rPr>
        <w:t>j</w:t>
      </w:r>
      <w:r w:rsidR="0091018D">
        <w:rPr>
          <w:rFonts w:cs="Times"/>
          <w:sz w:val="16"/>
          <w:szCs w:val="16"/>
        </w:rPr>
        <w:t xml:space="preserve"> </w:t>
      </w:r>
      <w:r w:rsidR="0091018D">
        <w:rPr>
          <w:rFonts w:cs="Times"/>
        </w:rPr>
        <w:t xml:space="preserve">is the threshold values. </w:t>
      </w:r>
      <w:r w:rsidR="00B35CF8">
        <w:rPr>
          <w:rFonts w:cs="Times"/>
        </w:rPr>
        <w:t xml:space="preserve">Selecting model is important to decide whether phytochemical variables effects or not. </w:t>
      </w:r>
    </w:p>
    <w:p w14:paraId="07E5CF5F" w14:textId="77777777" w:rsidR="00D57B00" w:rsidRDefault="00D57B00" w:rsidP="000E5464">
      <w:pPr>
        <w:rPr>
          <w:rFonts w:cs="Times"/>
        </w:rPr>
      </w:pPr>
    </w:p>
    <w:p w14:paraId="2689292A" w14:textId="77777777" w:rsidR="009413DF" w:rsidRPr="00FD1EE9" w:rsidRDefault="000E5464" w:rsidP="000E5464">
      <w:pPr>
        <w:rPr>
          <w:b/>
        </w:rPr>
      </w:pPr>
      <w:r w:rsidRPr="00FD1EE9">
        <w:rPr>
          <w:b/>
        </w:rPr>
        <w:t xml:space="preserve">Summary findings </w:t>
      </w:r>
    </w:p>
    <w:p w14:paraId="76FCEC92" w14:textId="77777777" w:rsidR="00C55441" w:rsidRPr="00FD1EE9" w:rsidRDefault="00C55441" w:rsidP="000E5464">
      <w:pPr>
        <w:rPr>
          <w:b/>
        </w:rPr>
      </w:pPr>
    </w:p>
    <w:p w14:paraId="44298633" w14:textId="0A742BAC" w:rsidR="009413DF" w:rsidRPr="00FD1EE9" w:rsidRDefault="009013F4" w:rsidP="000E5464">
      <w:pPr>
        <w:rPr>
          <w:b/>
        </w:rPr>
      </w:pPr>
      <w:r>
        <w:rPr>
          <w:b/>
        </w:rPr>
        <w:t>----will do it after our meeting tomorrow..</w:t>
      </w:r>
      <w:bookmarkStart w:id="0" w:name="_GoBack"/>
      <w:bookmarkEnd w:id="0"/>
    </w:p>
    <w:p w14:paraId="080E24BA" w14:textId="77777777" w:rsidR="000E5464" w:rsidRPr="00FD1EE9" w:rsidRDefault="000E5464" w:rsidP="000E5464">
      <w:pPr>
        <w:rPr>
          <w:b/>
        </w:rPr>
      </w:pPr>
    </w:p>
    <w:p w14:paraId="21A3B104" w14:textId="77777777" w:rsidR="000E5464" w:rsidRPr="00FD1EE9" w:rsidRDefault="000E5464" w:rsidP="000E5464">
      <w:pPr>
        <w:rPr>
          <w:b/>
        </w:rPr>
      </w:pPr>
      <w:r w:rsidRPr="00FD1EE9">
        <w:rPr>
          <w:b/>
        </w:rPr>
        <w:t xml:space="preserve">Discussion including assumptions/limitations </w:t>
      </w:r>
    </w:p>
    <w:p w14:paraId="1FCA97D5" w14:textId="77777777" w:rsidR="00D06629" w:rsidRPr="00FD1EE9" w:rsidRDefault="00D06629" w:rsidP="000E5464">
      <w:pPr>
        <w:rPr>
          <w:b/>
        </w:rPr>
      </w:pPr>
    </w:p>
    <w:p w14:paraId="3A2F94C1" w14:textId="77777777" w:rsidR="00C55441" w:rsidRPr="00FD1EE9" w:rsidRDefault="00BD7E8E" w:rsidP="00BD7E8E">
      <w:pPr>
        <w:pStyle w:val="ListParagraph"/>
        <w:numPr>
          <w:ilvl w:val="0"/>
          <w:numId w:val="2"/>
        </w:numPr>
        <w:rPr>
          <w:rFonts w:eastAsia="바탕" w:cs="바탕"/>
          <w:lang w:eastAsia="ko-KR"/>
        </w:rPr>
      </w:pPr>
      <w:r w:rsidRPr="00FD1EE9">
        <w:rPr>
          <w:rFonts w:eastAsia="바탕" w:cs="바탕"/>
          <w:lang w:eastAsia="ko-KR"/>
        </w:rPr>
        <w:t>multicollinearity</w:t>
      </w:r>
    </w:p>
    <w:p w14:paraId="4E6A89CD" w14:textId="6D414A56" w:rsidR="00BD7E8E" w:rsidRPr="00FD1EE9" w:rsidRDefault="008E5A79" w:rsidP="00BD7E8E">
      <w:pPr>
        <w:pStyle w:val="ListParagraph"/>
        <w:numPr>
          <w:ilvl w:val="0"/>
          <w:numId w:val="2"/>
        </w:numPr>
        <w:rPr>
          <w:rFonts w:eastAsia="바탕" w:cs="바탕"/>
          <w:lang w:eastAsia="ko-KR"/>
        </w:rPr>
      </w:pPr>
      <w:r w:rsidRPr="00FD1EE9">
        <w:rPr>
          <w:rFonts w:eastAsia="바탕" w:cs="바탕"/>
          <w:lang w:eastAsia="ko-KR"/>
        </w:rPr>
        <w:t>High</w:t>
      </w:r>
      <w:r w:rsidR="00BD7E8E" w:rsidRPr="00FD1EE9">
        <w:rPr>
          <w:rFonts w:eastAsia="바탕" w:cs="바탕"/>
          <w:lang w:eastAsia="ko-KR"/>
        </w:rPr>
        <w:t xml:space="preserve"> variation </w:t>
      </w:r>
    </w:p>
    <w:p w14:paraId="7CCDC511" w14:textId="77777777" w:rsidR="008E5A79" w:rsidRPr="00FD1EE9" w:rsidRDefault="008E5A79" w:rsidP="008E5A79">
      <w:pPr>
        <w:rPr>
          <w:rFonts w:eastAsia="바탕" w:cs="바탕"/>
          <w:lang w:eastAsia="ko-KR"/>
        </w:rPr>
      </w:pPr>
    </w:p>
    <w:p w14:paraId="2BE3DCFE" w14:textId="77777777" w:rsidR="008E5A79" w:rsidRDefault="008E5A79" w:rsidP="008E5A79">
      <w:pPr>
        <w:rPr>
          <w:rFonts w:ascii="바탕" w:eastAsia="바탕" w:hAnsi="바탕" w:cs="바탕" w:hint="eastAsia"/>
          <w:lang w:eastAsia="ko-KR"/>
        </w:rPr>
      </w:pPr>
    </w:p>
    <w:p w14:paraId="5FA1C7BA" w14:textId="77777777" w:rsidR="008E5A79" w:rsidRDefault="008E5A79" w:rsidP="008E5A79">
      <w:pPr>
        <w:rPr>
          <w:rFonts w:ascii="바탕" w:eastAsia="바탕" w:hAnsi="바탕" w:cs="바탕" w:hint="eastAsia"/>
          <w:lang w:eastAsia="ko-KR"/>
        </w:rPr>
      </w:pPr>
    </w:p>
    <w:p w14:paraId="5C780109" w14:textId="77777777" w:rsidR="008E5A79" w:rsidRDefault="008E5A79" w:rsidP="008E5A79">
      <w:pPr>
        <w:rPr>
          <w:rFonts w:ascii="바탕" w:eastAsia="바탕" w:hAnsi="바탕" w:cs="바탕" w:hint="eastAsia"/>
          <w:lang w:eastAsia="ko-KR"/>
        </w:rPr>
      </w:pPr>
    </w:p>
    <w:p w14:paraId="02CCA7A4" w14:textId="77777777" w:rsidR="008E5A79" w:rsidRPr="008E5A79" w:rsidRDefault="008E5A79" w:rsidP="008E5A79">
      <w:pPr>
        <w:rPr>
          <w:rFonts w:ascii="바탕" w:eastAsia="바탕" w:hAnsi="바탕" w:cs="바탕" w:hint="eastAsia"/>
          <w:lang w:eastAsia="ko-KR"/>
        </w:rPr>
      </w:pPr>
    </w:p>
    <w:p w14:paraId="68356792" w14:textId="77777777" w:rsidR="00C55441" w:rsidRPr="008E5A79" w:rsidRDefault="00C55441" w:rsidP="000E5464"/>
    <w:p w14:paraId="63D32DAB" w14:textId="77777777" w:rsidR="003C4B1B" w:rsidRDefault="003C4B1B" w:rsidP="000E5464">
      <w:pPr>
        <w:rPr>
          <w:b/>
        </w:rPr>
      </w:pPr>
      <w:r>
        <w:rPr>
          <w:b/>
        </w:rPr>
        <w:t>References</w:t>
      </w:r>
    </w:p>
    <w:p w14:paraId="378BECF6" w14:textId="5DFD4108" w:rsidR="003C4B1B" w:rsidRPr="008E5A79" w:rsidRDefault="003C4B1B" w:rsidP="000E5464">
      <w:r w:rsidRPr="008E5A79">
        <w:t xml:space="preserve">Ordinal Regression. Retrieved May 27, 2014 from </w:t>
      </w:r>
      <w:hyperlink r:id="rId8" w:history="1">
        <w:r w:rsidR="008E5A79" w:rsidRPr="008E5A79">
          <w:rPr>
            <w:rStyle w:val="Hyperlink"/>
          </w:rPr>
          <w:t>http://www.norusis.com/pdf/ASPC_v13.pdf</w:t>
        </w:r>
      </w:hyperlink>
    </w:p>
    <w:p w14:paraId="41497A43" w14:textId="77777777" w:rsidR="008E5A79" w:rsidRPr="008E5A79" w:rsidRDefault="008E5A79" w:rsidP="000E5464"/>
    <w:p w14:paraId="57B4B06A" w14:textId="34D499A5" w:rsidR="008E5A79" w:rsidRPr="008E5A79" w:rsidRDefault="008E5A79" w:rsidP="000E5464">
      <w:r>
        <w:t xml:space="preserve">Herbrich,R., Graepel, T., &amp; Obermayer, K. (1999). </w:t>
      </w:r>
      <w:r w:rsidRPr="008E5A79">
        <w:t>Regression models for ordinal data: A machine learning approach</w:t>
      </w:r>
      <w:r>
        <w:t>. Retrieved May 29, 2014 from</w:t>
      </w:r>
    </w:p>
    <w:p w14:paraId="0E0E6C2B" w14:textId="46903581" w:rsidR="003C4B1B" w:rsidRDefault="008E5A79" w:rsidP="000E5464">
      <w:hyperlink r:id="rId9" w:history="1">
        <w:r w:rsidRPr="00E35EFB">
          <w:rPr>
            <w:rStyle w:val="Hyperlink"/>
          </w:rPr>
          <w:t>http://research.microsoft.com/apps/pubs/default.aspx?id=65632</w:t>
        </w:r>
      </w:hyperlink>
    </w:p>
    <w:p w14:paraId="5B17293B" w14:textId="77777777" w:rsidR="008E5A79" w:rsidRPr="008E5A79" w:rsidRDefault="008E5A79" w:rsidP="000E5464"/>
    <w:p w14:paraId="0047EB3D" w14:textId="77777777" w:rsidR="008E5A79" w:rsidRPr="008E5A79" w:rsidRDefault="008E5A79" w:rsidP="000E5464"/>
    <w:p w14:paraId="62184087" w14:textId="77777777" w:rsidR="008E5A79" w:rsidRDefault="008E5A79" w:rsidP="000E5464">
      <w:pPr>
        <w:rPr>
          <w:b/>
        </w:rPr>
      </w:pPr>
    </w:p>
    <w:p w14:paraId="5A585615" w14:textId="77777777" w:rsidR="00C55441" w:rsidRDefault="00C55441" w:rsidP="000E5464">
      <w:pPr>
        <w:rPr>
          <w:b/>
        </w:rPr>
      </w:pPr>
      <w:r>
        <w:rPr>
          <w:b/>
        </w:rPr>
        <w:t>Appendix</w:t>
      </w:r>
    </w:p>
    <w:p w14:paraId="2CFA5588" w14:textId="718BEC9D" w:rsidR="004E387F" w:rsidRDefault="004E387F" w:rsidP="000E5464">
      <w:pPr>
        <w:rPr>
          <w:b/>
        </w:rPr>
      </w:pPr>
      <w:r>
        <w:rPr>
          <w:b/>
        </w:rPr>
        <w:t>Figure 1.  White/red wine taste quality</w:t>
      </w:r>
      <w:r w:rsidR="00DF3B3E">
        <w:rPr>
          <w:b/>
        </w:rPr>
        <w:t xml:space="preserve"> histogram</w:t>
      </w:r>
    </w:p>
    <w:p w14:paraId="09EB40C5" w14:textId="3AA010D1" w:rsidR="00C55441" w:rsidRDefault="00C55441" w:rsidP="000E5464">
      <w:pPr>
        <w:rPr>
          <w:b/>
        </w:rPr>
      </w:pPr>
    </w:p>
    <w:p w14:paraId="1DC4E025" w14:textId="4D2092E6" w:rsidR="004E387F" w:rsidRDefault="004E387F" w:rsidP="000E5464">
      <w:pPr>
        <w:rPr>
          <w:b/>
        </w:rPr>
      </w:pPr>
      <w:r>
        <w:rPr>
          <w:b/>
        </w:rPr>
        <w:t xml:space="preserve"> </w:t>
      </w:r>
      <w:r>
        <w:rPr>
          <w:b/>
          <w:noProof/>
          <w:lang w:eastAsia="en-US"/>
        </w:rPr>
        <w:drawing>
          <wp:inline distT="0" distB="0" distL="0" distR="0" wp14:anchorId="0973AABF" wp14:editId="744A551E">
            <wp:extent cx="3657600" cy="2438400"/>
            <wp:effectExtent l="0" t="0" r="0" b="0"/>
            <wp:docPr id="1" name="Picture 1" descr="Macintosh HD:Users:choiso:Downloads:white_his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iso:Downloads:white_his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8E37" w14:textId="77777777" w:rsidR="00DF3B3E" w:rsidRDefault="00DF3B3E" w:rsidP="000E5464">
      <w:pPr>
        <w:rPr>
          <w:b/>
        </w:rPr>
      </w:pPr>
    </w:p>
    <w:p w14:paraId="0C4ED29D" w14:textId="7AF68442" w:rsidR="00DF3B3E" w:rsidRDefault="00DF3B3E" w:rsidP="000E5464">
      <w:pPr>
        <w:rPr>
          <w:b/>
        </w:rPr>
      </w:pPr>
      <w:r>
        <w:rPr>
          <w:b/>
        </w:rPr>
        <w:t>-------------will add red wine histogram later</w:t>
      </w:r>
    </w:p>
    <w:p w14:paraId="5E3CC752" w14:textId="77777777" w:rsidR="00DF3B3E" w:rsidRDefault="00DF3B3E" w:rsidP="000E5464">
      <w:pPr>
        <w:rPr>
          <w:b/>
        </w:rPr>
      </w:pPr>
    </w:p>
    <w:p w14:paraId="5CB76BA1" w14:textId="77777777" w:rsidR="00DF3B3E" w:rsidRDefault="00DF3B3E" w:rsidP="000E5464">
      <w:pPr>
        <w:rPr>
          <w:b/>
        </w:rPr>
      </w:pPr>
    </w:p>
    <w:p w14:paraId="03A8ED56" w14:textId="77777777" w:rsidR="00DF3B3E" w:rsidRDefault="00DF3B3E" w:rsidP="000E5464">
      <w:pPr>
        <w:rPr>
          <w:b/>
        </w:rPr>
      </w:pPr>
    </w:p>
    <w:p w14:paraId="02A5BAA9" w14:textId="77777777" w:rsidR="00DF3B3E" w:rsidRDefault="00DF3B3E" w:rsidP="000E5464">
      <w:pPr>
        <w:rPr>
          <w:b/>
        </w:rPr>
      </w:pPr>
    </w:p>
    <w:p w14:paraId="2AF6A4A3" w14:textId="77777777" w:rsidR="00DF3B3E" w:rsidRDefault="00DF3B3E" w:rsidP="000E5464">
      <w:pPr>
        <w:rPr>
          <w:b/>
        </w:rPr>
      </w:pPr>
    </w:p>
    <w:p w14:paraId="5316C062" w14:textId="77777777" w:rsidR="00DF3B3E" w:rsidRDefault="00DF3B3E" w:rsidP="000E5464">
      <w:pPr>
        <w:rPr>
          <w:b/>
        </w:rPr>
      </w:pPr>
    </w:p>
    <w:p w14:paraId="2ADF3ECD" w14:textId="77777777" w:rsidR="00DF3B3E" w:rsidRDefault="00DF3B3E" w:rsidP="000E5464">
      <w:pPr>
        <w:rPr>
          <w:b/>
        </w:rPr>
      </w:pPr>
    </w:p>
    <w:p w14:paraId="51791816" w14:textId="77777777" w:rsidR="00DF3B3E" w:rsidRDefault="00DF3B3E" w:rsidP="000E5464">
      <w:pPr>
        <w:rPr>
          <w:b/>
        </w:rPr>
      </w:pPr>
    </w:p>
    <w:p w14:paraId="2D9DE720" w14:textId="77777777" w:rsidR="00DF3B3E" w:rsidRDefault="00DF3B3E" w:rsidP="000E5464">
      <w:pPr>
        <w:rPr>
          <w:b/>
        </w:rPr>
      </w:pPr>
    </w:p>
    <w:p w14:paraId="1DB87604" w14:textId="77777777" w:rsidR="00DF3B3E" w:rsidRDefault="00DF3B3E" w:rsidP="000E5464">
      <w:pPr>
        <w:rPr>
          <w:b/>
        </w:rPr>
      </w:pPr>
    </w:p>
    <w:p w14:paraId="4894448E" w14:textId="77777777" w:rsidR="00DF3B3E" w:rsidRDefault="00DF3B3E" w:rsidP="000E5464">
      <w:pPr>
        <w:rPr>
          <w:b/>
        </w:rPr>
      </w:pPr>
    </w:p>
    <w:p w14:paraId="7B16D1E6" w14:textId="77777777" w:rsidR="00DF3B3E" w:rsidRDefault="00DF3B3E" w:rsidP="000E5464">
      <w:pPr>
        <w:rPr>
          <w:b/>
        </w:rPr>
      </w:pPr>
    </w:p>
    <w:p w14:paraId="5891DCAF" w14:textId="2C7A794B" w:rsidR="00DF3B3E" w:rsidRDefault="00DF3B3E" w:rsidP="000E5464">
      <w:pPr>
        <w:rPr>
          <w:b/>
        </w:rPr>
      </w:pPr>
      <w:r>
        <w:rPr>
          <w:b/>
        </w:rPr>
        <w:t>Figure 2. Random prediction</w:t>
      </w:r>
    </w:p>
    <w:p w14:paraId="20012FFC" w14:textId="77777777" w:rsidR="00DF3B3E" w:rsidRDefault="00DF3B3E" w:rsidP="000E5464">
      <w:pPr>
        <w:rPr>
          <w:b/>
        </w:rPr>
      </w:pPr>
    </w:p>
    <w:p w14:paraId="6ECBFAB1" w14:textId="3575004C" w:rsidR="00DF3B3E" w:rsidRDefault="00DF3B3E" w:rsidP="000E5464">
      <w:pPr>
        <w:rPr>
          <w:b/>
        </w:rPr>
      </w:pPr>
      <w:r w:rsidRPr="00C55441">
        <w:rPr>
          <w:b/>
          <w:noProof/>
        </w:rPr>
        <w:drawing>
          <wp:inline distT="0" distB="0" distL="0" distR="0" wp14:anchorId="64993953" wp14:editId="65391D8F">
            <wp:extent cx="4775200" cy="2387600"/>
            <wp:effectExtent l="25400" t="0" r="0" b="0"/>
            <wp:docPr id="4" name="Picture 1" descr=":images:RandomPredi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mages:RandomPrediction.pd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07094" w14:textId="558DA162" w:rsidR="00011A0D" w:rsidRPr="009413DF" w:rsidRDefault="00011A0D" w:rsidP="000E5464">
      <w:pPr>
        <w:rPr>
          <w:b/>
        </w:rPr>
      </w:pPr>
    </w:p>
    <w:sectPr w:rsidR="00011A0D" w:rsidRPr="009413DF" w:rsidSect="00011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216B"/>
    <w:multiLevelType w:val="hybridMultilevel"/>
    <w:tmpl w:val="D89A0632"/>
    <w:lvl w:ilvl="0" w:tplc="E8CEE84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15FE3"/>
    <w:multiLevelType w:val="hybridMultilevel"/>
    <w:tmpl w:val="9B5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BF"/>
    <w:rsid w:val="00011A0D"/>
    <w:rsid w:val="000241AC"/>
    <w:rsid w:val="00091122"/>
    <w:rsid w:val="000E5464"/>
    <w:rsid w:val="0020380A"/>
    <w:rsid w:val="00207E59"/>
    <w:rsid w:val="00247046"/>
    <w:rsid w:val="003C4B1B"/>
    <w:rsid w:val="003F7EEA"/>
    <w:rsid w:val="0043585E"/>
    <w:rsid w:val="004E387F"/>
    <w:rsid w:val="004F05CE"/>
    <w:rsid w:val="00541AF7"/>
    <w:rsid w:val="00587CCE"/>
    <w:rsid w:val="006019BF"/>
    <w:rsid w:val="00626943"/>
    <w:rsid w:val="00652590"/>
    <w:rsid w:val="006D0DE1"/>
    <w:rsid w:val="006D18CF"/>
    <w:rsid w:val="00723A5D"/>
    <w:rsid w:val="007D56BC"/>
    <w:rsid w:val="008B36CD"/>
    <w:rsid w:val="008E5A79"/>
    <w:rsid w:val="009013F4"/>
    <w:rsid w:val="0091018D"/>
    <w:rsid w:val="009413DF"/>
    <w:rsid w:val="00994368"/>
    <w:rsid w:val="009D2AB1"/>
    <w:rsid w:val="009E6948"/>
    <w:rsid w:val="009F3623"/>
    <w:rsid w:val="00A57FC2"/>
    <w:rsid w:val="00A60DEE"/>
    <w:rsid w:val="00A63D4B"/>
    <w:rsid w:val="00B35CF8"/>
    <w:rsid w:val="00B6753C"/>
    <w:rsid w:val="00BD7E8E"/>
    <w:rsid w:val="00BE2FBE"/>
    <w:rsid w:val="00C55441"/>
    <w:rsid w:val="00D06629"/>
    <w:rsid w:val="00D57B00"/>
    <w:rsid w:val="00DE5A07"/>
    <w:rsid w:val="00DF3B3E"/>
    <w:rsid w:val="00EB7013"/>
    <w:rsid w:val="00EF1B6E"/>
    <w:rsid w:val="00F24C6C"/>
    <w:rsid w:val="00FD1EE9"/>
    <w:rsid w:val="00FF1E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B7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436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1EE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436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1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rchive.ics.uci.edu/ml/datasets.html" TargetMode="External"/><Relationship Id="rId8" Type="http://schemas.openxmlformats.org/officeDocument/2006/relationships/hyperlink" Target="http://www.norusis.com/pdf/ASPC_v13.pdf" TargetMode="External"/><Relationship Id="rId9" Type="http://schemas.openxmlformats.org/officeDocument/2006/relationships/hyperlink" Target="http://research.microsoft.com/apps/pubs/default.aspx?id=65632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CB6CE-CC4C-754B-B2A6-7730D5AF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534</Words>
  <Characters>3050</Characters>
  <Application>Microsoft Macintosh Word</Application>
  <DocSecurity>0</DocSecurity>
  <Lines>25</Lines>
  <Paragraphs>7</Paragraphs>
  <ScaleCrop>false</ScaleCrop>
  <Company>Gallaudet University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Hoa Choi</dc:creator>
  <cp:keywords/>
  <cp:lastModifiedBy>OSU Libraries</cp:lastModifiedBy>
  <cp:revision>8</cp:revision>
  <dcterms:created xsi:type="dcterms:W3CDTF">2014-05-30T00:07:00Z</dcterms:created>
  <dcterms:modified xsi:type="dcterms:W3CDTF">2014-05-30T01:33:00Z</dcterms:modified>
</cp:coreProperties>
</file>