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76.jpg" ContentType="image/jpeg"/>
  <Override PartName="/word/media/rId51.png" ContentType="image/png"/>
  <Override PartName="/word/media/rId54.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1"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risk management as a direct use case for this model. Here is what that looks like in practice, using the model’s real, most recent forecast rather than a made-up number.</w:t>
      </w:r>
    </w:p>
    <w:p>
      <w:pPr>
        <w:pStyle w:val="BodyText"/>
      </w:pPr>
      <w:r>
        <w:t xml:space="preserve">On 2026-08-25, the model predicted that BTC’s typical hourly price swing over the coming week would be about 0.47%. Scaled up to cover a full 7-day holding period, that works out to an expected price move of roughly</w:t>
      </w:r>
      <w:r>
        <w:t xml:space="preserve"> </w:t>
      </w:r>
      <w:r>
        <w:rPr>
          <w:b/>
          <w:bCs/>
        </w:rPr>
        <w:t xml:space="preserve">6% over the week</w:t>
      </w:r>
      <w:r>
        <w:t xml:space="preserve">.</w:t>
      </w:r>
    </w:p>
    <w:p>
      <w:pPr>
        <w:pStyle w:val="BodyText"/>
      </w:pPr>
      <w:r>
        <w:rPr>
          <w:b/>
          <w:bCs/>
        </w:rPr>
        <w:t xml:space="preserve">Sizing a position.</w:t>
      </w:r>
      <w:r>
        <w:t xml:space="preserve"> </w:t>
      </w:r>
      <w:r>
        <w:t xml:space="preserve">Suppose a trading desk wants to risk no more than $50,000 on a 7-day Bitcoin trade. If the model expects the price to move about 6% in a typical week, the desk can work backward to a position size: risking $50,000 on a trade expected to move 6% points to a position worth about</w:t>
      </w:r>
      <w:r>
        <w:t xml:space="preserve"> </w:t>
      </w:r>
      <w:r>
        <w:rPr>
          <w:b/>
          <w:bCs/>
        </w:rPr>
        <w:t xml:space="preserve">$823,000</w:t>
      </w:r>
      <w:r>
        <w:t xml:space="preserve">. The higher the forecasted volatility, the smaller the position this points to — that is the core idea behind volatility-based position sizing. The model does not say which way the price will go, only how big a bet to make so the risk stays roughly consistent whether the market is calm or wild.</w:t>
      </w:r>
    </w:p>
    <w:p>
      <w:pPr>
        <w:pStyle w:val="BodyText"/>
      </w:pPr>
      <w:r>
        <w:rPr>
          <w:b/>
          <w:bCs/>
        </w:rPr>
        <w:t xml:space="preserve">Estimating potential losses.</w:t>
      </w:r>
      <w:r>
        <w:t xml:space="preserve"> </w:t>
      </w:r>
      <w:r>
        <w:t xml:space="preserve">Once the position size is set, the same forecast turns into a plain risk statement: on an $823,000 position with an expected 6% weekly swing, there is roughly a 5% chance of losing more than about</w:t>
      </w:r>
      <w:r>
        <w:t xml:space="preserve"> </w:t>
      </w:r>
      <w:r>
        <w:rPr>
          <w:b/>
          <w:bCs/>
        </w:rPr>
        <w:t xml:space="preserve">$82,000</w:t>
      </w:r>
      <w:r>
        <w:t xml:space="preserve"> </w:t>
      </w:r>
      <w:r>
        <w:t xml:space="preserve">over the week. That is the kind of number that goes directly into a risk report.</w:t>
      </w:r>
    </w:p>
    <w:p>
      <w:pPr>
        <w:pStyle w:val="BodyText"/>
      </w:pPr>
      <w:r>
        <w:rPr>
          <w:b/>
          <w:bCs/>
        </w:rPr>
        <w:t xml:space="preserve">A trading idea.</w:t>
      </w:r>
      <w:r>
        <w:t xml:space="preserve"> </w:t>
      </w:r>
      <w:r>
        <w:t xml:space="preserve">Because this model forecasts how much BTC will actually move, it can be compared against how much the options market currently thinks BTC will move. If the options market is pricing in much more movement than the model expects, that is a signal those options may be overpriced — worth investigating further before trading.</w:t>
      </w:r>
    </w:p>
    <w:p>
      <w:pPr>
        <w:pStyle w:val="BodyText"/>
      </w:pPr>
      <w:r>
        <w:rPr>
          <w:b/>
          <w:bCs/>
        </w:rPr>
        <w:t xml:space="preserve">Why this is a helpful input, not the final answer.</w:t>
      </w:r>
      <w:r>
        <w:t xml:space="preserve"> </w:t>
      </w:r>
      <w:r>
        <w:t xml:space="preserve">The model gets it right often enough to be useful — it explains roughly 18% of the real ups and downs in volatility — but that also means most of it goes unexplained. Forecast errors of around a quarter of the predicted value are common, so the $82,000 risk estimate above could easily turn out to be $60,000 or $110,000 in reality. The model also only looks at past price data — it has no way to know about a surprise news event, an exchange collapse, or new regulation, which are often exactly the things that cause the biggest price swings. A more traditional volatility model (GARCH) was tested in this project and performed far worse over this same time horizon, so this model is a genuine improvement — but a real trading desk would still treat it as one input among several, not the whole risk picture.</w:t>
      </w:r>
    </w:p>
    <w:bookmarkEnd w:id="69"/>
    <w:bookmarkStart w:id="70" w:name="X6def088e5ea72286a89d62509b3db98cc6422fc"/>
    <w:p>
      <w:pPr>
        <w:pStyle w:val="Heading2"/>
      </w:pPr>
      <w:r>
        <w:t xml:space="preserve">11.2 Worked Example: Options Pricing and Volatility Trading Ideas</w:t>
      </w:r>
    </w:p>
    <w:p>
      <w:pPr>
        <w:pStyle w:val="FirstParagraph"/>
      </w:pPr>
      <w:r>
        <w:t xml:space="preserve">Options prices depend heavily on how much the underlying asset is expected to move — the volatility input Section 1.3 mentioned. But there is an important distinction: when an option is already actively traded, its price already reflects the market’s own built-in guess about future volatility. A trader does not usually override that market guess with their own model - instead, they compare their own forecast to the market’s guess and look for cases where the two disagree.</w:t>
      </w:r>
    </w:p>
    <w:p>
      <w:pPr>
        <w:pStyle w:val="BodyText"/>
      </w:pPr>
      <w:r>
        <w:t xml:space="preserve">This model’s forecast is useful in two situations. First, when there is no active market to reference at all - a custom or one-off options contract, for example - someone still has to estimate future volatility to arrive at a fair price, and a real forecasting model is a better starting point than simply assuming the future will look like the recent past. Second, even when an active options market exists, the model’s forecast can be compared against the market’s own pricing to spot options that look too expensive or too cheap.</w:t>
      </w:r>
    </w:p>
    <w:p>
      <w:pPr>
        <w:pStyle w:val="BodyText"/>
      </w:pPr>
      <w:r>
        <w:rPr>
          <w:b/>
          <w:bCs/>
        </w:rPr>
        <w:t xml:space="preserve">A concrete example.</w:t>
      </w:r>
      <w:r>
        <w:t xml:space="preserve"> </w:t>
      </w:r>
      <w:r>
        <w:t xml:space="preserve">Using the model’s real forecast from 2026-08-25 and BTC’s most recent recorded price of about $87,650: the model’s short-term volatility forecast, converted into the kind of yearly volatility figure options pricing normally uses, comes out to about</w:t>
      </w:r>
      <w:r>
        <w:t xml:space="preserve"> </w:t>
      </w:r>
      <w:r>
        <w:rPr>
          <w:b/>
          <w:bCs/>
        </w:rPr>
        <w:t xml:space="preserve">44%</w:t>
      </w:r>
      <w:r>
        <w:t xml:space="preserve">.</w:t>
      </w:r>
    </w:p>
    <w:p>
      <w:pPr>
        <w:pStyle w:val="BodyText"/>
      </w:pPr>
      <w:r>
        <w:t xml:space="preserve">Pricing a hypothetical 7-day BTC option using that 44% figure gives a fair value of about</w:t>
      </w:r>
      <w:r>
        <w:t xml:space="preserve"> </w:t>
      </w:r>
      <w:r>
        <w:rPr>
          <w:b/>
          <w:bCs/>
        </w:rPr>
        <w:t xml:space="preserve">$1,177</w:t>
      </w:r>
      <w:r>
        <w:t xml:space="preserve">. If the options market were instead pricing that same option using a volatility assumption of 50%, the market price would come out closer to</w:t>
      </w:r>
      <w:r>
        <w:t xml:space="preserve"> </w:t>
      </w:r>
      <w:r>
        <w:rPr>
          <w:b/>
          <w:bCs/>
        </w:rPr>
        <w:t xml:space="preserve">$1,454</w:t>
      </w:r>
      <w:r>
        <w:t xml:space="preserve"> </w:t>
      </w:r>
      <w:r>
        <w:t xml:space="preserve">- about $280 more expensive than what the model suggests is fair. If the market were pricing it using a lower volatility assumption of 35% instead, the price would be closer to</w:t>
      </w:r>
      <w:r>
        <w:t xml:space="preserve"> </w:t>
      </w:r>
      <w:r>
        <w:rPr>
          <w:b/>
          <w:bCs/>
        </w:rPr>
        <w:t xml:space="preserve">$792</w:t>
      </w:r>
      <w:r>
        <w:t xml:space="preserve"> </w:t>
      </w:r>
      <w:r>
        <w:t xml:space="preserve">- about $385 cheaper.</w:t>
      </w:r>
    </w:p>
    <w:p>
      <w:pPr>
        <w:pStyle w:val="BodyText"/>
      </w:pPr>
      <w:r>
        <w:t xml:space="preserve">The trading idea here is not</w:t>
      </w:r>
      <w:r>
        <w:t xml:space="preserve"> </w:t>
      </w:r>
      <w:r>
        <w:t xml:space="preserve">“use the model’s price instead of the market’s”</w:t>
      </w:r>
      <w:r>
        <w:t xml:space="preserve"> </w:t>
      </w:r>
      <w:r>
        <w:t xml:space="preserve">- it is</w:t>
      </w:r>
      <w:r>
        <w:t xml:space="preserve"> </w:t>
      </w:r>
      <w:r>
        <w:t xml:space="preserve">“if the market looks like the more expensive scenario, the option may be overpriced relative to what this model expects to happen, which could be worth selling; if it looks like the cheaper scenario, it may be underpriced, which could be worth buying.”</w:t>
      </w:r>
      <w:r>
        <w:t xml:space="preserve"> </w:t>
      </w:r>
      <w:r>
        <w:t xml:space="preserve">As with the risk example above, the model is only right often enough to be a useful signal, not a guarantee - so an idea like this would be sized carefully and combined with other information, never acted on by itself.</w:t>
      </w:r>
    </w:p>
    <w:bookmarkEnd w:id="70"/>
    <w:bookmarkEnd w:id="71"/>
    <w:bookmarkStart w:id="74" w:name="limitations-and-future-work"/>
    <w:p>
      <w:pPr>
        <w:pStyle w:val="Heading1"/>
      </w:pPr>
      <w:r>
        <w:t xml:space="preserve">12. Limitations and Future Work</w:t>
      </w:r>
    </w:p>
    <w:bookmarkStart w:id="72"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2"/>
    <w:bookmarkStart w:id="73"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3"/>
    <w:bookmarkEnd w:id="74"/>
    <w:bookmarkStart w:id="75"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5"/>
    <w:bookmarkStart w:id="82" w:name="X3a1c5ea00ba3cf55bd607c6a3e92bea18af39c0"/>
    <w:p>
      <w:pPr>
        <w:pStyle w:val="Heading1"/>
      </w:pPr>
      <w:r>
        <w:t xml:space="preserve">Appendix: Presentation Slides for Sections 11.1–11.2</w:t>
      </w:r>
    </w:p>
    <w:p>
      <w:pPr>
        <w:pStyle w:val="FirstParagraph"/>
      </w:pPr>
      <w:r>
        <w:t xml:space="preserve">The two worked examples in Section 11 were also built as standalone presentation slides, reproduced here exactly as delivered (</w:t>
      </w:r>
      <w:r>
        <w:rPr>
          <w:rStyle w:val="VerbatimChar"/>
        </w:rPr>
        <w:t xml:space="preserve">presentation/capstone-btc-volatility.pptx</w:t>
      </w:r>
      <w:r>
        <w:t xml:space="preserve">, slides 15–16).</w:t>
      </w:r>
    </w:p>
    <w:p>
      <w:pPr>
        <w:pStyle w:val="CaptionedFigure"/>
      </w:pPr>
      <w:r>
        <w:drawing>
          <wp:inline>
            <wp:extent cx="5334000" cy="2998875"/>
            <wp:effectExtent b="0" l="0" r="0" t="0"/>
            <wp:docPr descr="Presentation slide accompanying Section 11.1 — Worked Example: Position Sizing and Value-at-Risk." title="" id="77" name="Picture"/>
            <a:graphic>
              <a:graphicData uri="http://schemas.openxmlformats.org/drawingml/2006/picture">
                <pic:pic>
                  <pic:nvPicPr>
                    <pic:cNvPr descr="/private/tmp/claude-501/-Users-mohammedhejairi-Desktop-capstonefinal/b3c1a674-e894-4f2b-8ae2-db6d3a980c41/scratchpad/appendix_slide_var.jpg" id="78" name="Picture"/>
                    <pic:cNvPicPr>
                      <a:picLocks noChangeArrowheads="1" noChangeAspect="1"/>
                    </pic:cNvPicPr>
                  </pic:nvPicPr>
                  <pic:blipFill>
                    <a:blip r:embed="rId76"/>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11.1 — Worked Example: Position Sizing and Value-at-Risk.</w:t>
      </w:r>
    </w:p>
    <w:p>
      <w:pPr>
        <w:pStyle w:val="CaptionedFigure"/>
      </w:pPr>
      <w:r>
        <w:drawing>
          <wp:inline>
            <wp:extent cx="5334000" cy="2998875"/>
            <wp:effectExtent b="0" l="0" r="0" t="0"/>
            <wp:docPr descr="Presentation slide accompanying Section 11.2 — Worked Example: Options Pricing and Volatility Trading Ideas." title="" id="80" name="Picture"/>
            <a:graphic>
              <a:graphicData uri="http://schemas.openxmlformats.org/drawingml/2006/picture">
                <pic:pic>
                  <pic:nvPicPr>
                    <pic:cNvPr descr="/private/tmp/claude-501/-Users-mohammedhejairi-Desktop-capstonefinal/b3c1a674-e894-4f2b-8ae2-db6d3a980c41/scratchpad/appendix_slide_options.jpg" id="81" name="Picture"/>
                    <pic:cNvPicPr>
                      <a:picLocks noChangeArrowheads="1" noChangeAspect="1"/>
                    </pic:cNvPicPr>
                  </pic:nvPicPr>
                  <pic:blipFill>
                    <a:blip r:embed="rId79"/>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11.2 — Worked Example: Options Pricing and Volatility Trading Ideas.</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jpg" /><Relationship Type="http://schemas.openxmlformats.org/officeDocument/2006/relationships/image" Id="rId76" Target="media/rId76.jp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2026-08-29T19:55:32Z</dcterms:created>
  <dcterms:modified xsi:type="dcterms:W3CDTF">2026-08-29T19:55:32Z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