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DATA SCIENCE CAPSTONE — ISSUE LOG</w:t>
      </w:r>
    </w:p>
    <w:bookmarkStart w:id="11" w:name="issues-we-hit-and-how-we-fixed-them"/>
    <w:p>
      <w:pPr>
        <w:pStyle w:val="Heading1"/>
      </w:pPr>
      <w:r>
        <w:t xml:space="preserve">Issues We Hit, and How We Fixed Them</w:t>
      </w:r>
    </w:p>
    <w:p>
      <w:pPr>
        <w:pStyle w:val="FirstParagraph"/>
      </w:pPr>
      <w:r>
        <w:rPr>
          <w:i/>
          <w:iCs/>
        </w:rPr>
        <w:t xml:space="preserve">BTC Volatility Prediction — engineering issue log and postmortem</w:t>
      </w:r>
    </w:p>
    <w:p>
      <w:pPr>
        <w:pStyle w:val="BodyText"/>
      </w:pPr>
      <w:r>
        <w:t xml:space="preserve">Mohammed Hejairi · Cohort DSB2 · 2026-08-27</w:t>
      </w:r>
    </w:p>
    <w:p>
      <w:r>
        <w:pict>
          <v:rect style="width:0;height:1.5pt" o:hralign="center" o:hrstd="t" o:hr="t"/>
        </w:pict>
      </w:r>
    </w:p>
    <w:bookmarkStart w:id="9" w:name="purpose"/>
    <w:p>
      <w:pPr>
        <w:pStyle w:val="Heading2"/>
      </w:pPr>
      <w:r>
        <w:t xml:space="preserve">Purpose</w:t>
      </w:r>
    </w:p>
    <w:p>
      <w:pPr>
        <w:pStyle w:val="FirstParagraph"/>
      </w:pPr>
      <w:r>
        <w:t xml:space="preserve">This document is a chronological record of every technical issue, bug, and analytical flaw encountered while building the Bitcoin volatility prediction capstone, and exactly how each one was diagnosed and resolved. It exists as an engineering record separate from the main report: the main report presents the finished analysis, while this document shows the debugging trail behind it — what looked wrong, why it was wrong, and what changed.</w:t>
      </w:r>
    </w:p>
    <w:p>
      <w:pPr>
        <w:pStyle w:val="BodyText"/>
      </w:pPr>
      <w:r>
        <w:t xml:space="preserve">None of the issues below were cosmetic. Several directly determined which numbers ended up in the final report — most notably the ATR scale fix (Issue 5) and the forecast-horizon redesign (Issue 7), which is why they are documented in full rather than folded quietly into the final notebook.</w:t>
      </w:r>
    </w:p>
    <w:bookmarkEnd w:id="9"/>
    <w:bookmarkStart w:id="10" w:name="summary-table"/>
    <w:p>
      <w:pPr>
        <w:pStyle w:val="Heading2"/>
      </w:pPr>
      <w:r>
        <w:t xml:space="preserve">Summary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Issue</w:t>
            </w:r>
          </w:p>
        </w:tc>
        <w:tc>
          <w:tcPr/>
          <w:p>
            <w:pPr>
              <w:pStyle w:val="Compact"/>
            </w:pPr>
            <w:r>
              <w:t xml:space="preserve">Category</w:t>
            </w:r>
          </w:p>
        </w:tc>
        <w:tc>
          <w:tcPr/>
          <w:p>
            <w:pPr>
              <w:pStyle w:val="Compact"/>
            </w:pPr>
            <w:r>
              <w:t xml:space="preserve">Resolution</w:t>
            </w:r>
          </w:p>
        </w:tc>
      </w:tr>
      <w:tr>
        <w:tc>
          <w:tcPr/>
          <w:p>
            <w:pPr>
              <w:pStyle w:val="Compact"/>
            </w:pPr>
            <w:r>
              <w:t xml:space="preserve">1</w:t>
            </w:r>
          </w:p>
        </w:tc>
        <w:tc>
          <w:tcPr/>
          <w:p>
            <w:pPr>
              <w:pStyle w:val="Compact"/>
            </w:pPr>
            <w:r>
              <w:t xml:space="preserve">nbconvert working-directory mismatch</w:t>
            </w:r>
          </w:p>
        </w:tc>
        <w:tc>
          <w:tcPr/>
          <w:p>
            <w:pPr>
              <w:pStyle w:val="Compact"/>
            </w:pPr>
            <w:r>
              <w:t xml:space="preserve">Data pipeline</w:t>
            </w:r>
          </w:p>
        </w:tc>
        <w:tc>
          <w:tcPr/>
          <w:p>
            <w:pPr>
              <w:pStyle w:val="Compact"/>
            </w:pPr>
            <w:r>
              <w:t xml:space="preserve">Symlinked</w:t>
            </w:r>
            <w:r>
              <w:t xml:space="preserve"> </w:t>
            </w:r>
            <w:r>
              <w:rPr>
                <w:rStyle w:val="VerbatimChar"/>
              </w:rPr>
              <w:t xml:space="preserve">notebooks/data</w:t>
            </w:r>
            <w:r>
              <w:t xml:space="preserve"> </w:t>
            </w:r>
            <w:r>
              <w:t xml:space="preserve">and</w:t>
            </w:r>
            <w:r>
              <w:t xml:space="preserve"> </w:t>
            </w:r>
            <w:r>
              <w:rPr>
                <w:rStyle w:val="VerbatimChar"/>
              </w:rPr>
              <w:t xml:space="preserve">notebooks/models</w:t>
            </w:r>
            <w:r>
              <w:t xml:space="preserve"> </w:t>
            </w:r>
            <w:r>
              <w:t xml:space="preserve">to project-root paths</w:t>
            </w:r>
          </w:p>
        </w:tc>
      </w:tr>
      <w:tr>
        <w:tc>
          <w:tcPr/>
          <w:p>
            <w:pPr>
              <w:pStyle w:val="Compact"/>
            </w:pPr>
            <w:r>
              <w:t xml:space="preserve">2</w:t>
            </w:r>
          </w:p>
        </w:tc>
        <w:tc>
          <w:tcPr/>
          <w:p>
            <w:pPr>
              <w:pStyle w:val="Compact"/>
            </w:pPr>
            <w:r>
              <w:t xml:space="preserve">Empty live CSV → NaN in fetch-since logic</w:t>
            </w:r>
          </w:p>
        </w:tc>
        <w:tc>
          <w:tcPr/>
          <w:p>
            <w:pPr>
              <w:pStyle w:val="Compact"/>
            </w:pPr>
            <w:r>
              <w:t xml:space="preserve">Data pipeline</w:t>
            </w:r>
          </w:p>
        </w:tc>
        <w:tc>
          <w:tcPr/>
          <w:p>
            <w:pPr>
              <w:pStyle w:val="Compact"/>
            </w:pPr>
            <w:r>
              <w:t xml:space="preserve">Guarded with a non-empty check before taking</w:t>
            </w:r>
            <w:r>
              <w:t xml:space="preserve"> </w:t>
            </w:r>
            <w:r>
              <w:rPr>
                <w:rStyle w:val="VerbatimChar"/>
              </w:rPr>
              <w:t xml:space="preserve">max(date)</w:t>
            </w:r>
          </w:p>
        </w:tc>
      </w:tr>
      <w:tr>
        <w:tc>
          <w:tcPr/>
          <w:p>
            <w:pPr>
              <w:pStyle w:val="Compact"/>
            </w:pPr>
            <w:r>
              <w:t xml:space="preserve">3</w:t>
            </w:r>
          </w:p>
        </w:tc>
        <w:tc>
          <w:tcPr/>
          <w:p>
            <w:pPr>
              <w:pStyle w:val="Compact"/>
            </w:pPr>
            <w:r>
              <w:t xml:space="preserve">Pandas dtype upcast on concat</w:t>
            </w:r>
          </w:p>
        </w:tc>
        <w:tc>
          <w:tcPr/>
          <w:p>
            <w:pPr>
              <w:pStyle w:val="Compact"/>
            </w:pPr>
            <w:r>
              <w:t xml:space="preserve">Data pipeline</w:t>
            </w:r>
          </w:p>
        </w:tc>
        <w:tc>
          <w:tcPr/>
          <w:p>
            <w:pPr>
              <w:pStyle w:val="Compact"/>
            </w:pPr>
            <w:r>
              <w:t xml:space="preserve">Excluded empty frames from the concat so dtypes infer correctly</w:t>
            </w:r>
          </w:p>
        </w:tc>
      </w:tr>
      <w:tr>
        <w:tc>
          <w:tcPr/>
          <w:p>
            <w:pPr>
              <w:pStyle w:val="Compact"/>
            </w:pPr>
            <w:r>
              <w:t xml:space="preserve">4</w:t>
            </w:r>
          </w:p>
        </w:tc>
        <w:tc>
          <w:tcPr/>
          <w:p>
            <w:pPr>
              <w:pStyle w:val="Compact"/>
            </w:pPr>
            <w:r>
              <w:rPr>
                <w:rStyle w:val="VerbatimChar"/>
              </w:rPr>
              <w:t xml:space="preserve">ewma_sigma()</w:t>
            </w:r>
            <w:r>
              <w:t xml:space="preserve"> </w:t>
            </w:r>
            <w:r>
              <w:t xml:space="preserve">silently returned all NaN</w:t>
            </w:r>
          </w:p>
        </w:tc>
        <w:tc>
          <w:tcPr/>
          <w:p>
            <w:pPr>
              <w:pStyle w:val="Compact"/>
            </w:pPr>
            <w:r>
              <w:t xml:space="preserve">Data pipeline</w:t>
            </w:r>
          </w:p>
        </w:tc>
        <w:tc>
          <w:tcPr/>
          <w:p>
            <w:pPr>
              <w:pStyle w:val="Compact"/>
            </w:pPr>
            <w:r>
              <w:t xml:space="preserve">Seeded the recursion with</w:t>
            </w:r>
            <w:r>
              <w:t xml:space="preserve"> </w:t>
            </w:r>
            <w:r>
              <w:rPr>
                <w:rStyle w:val="VerbatimChar"/>
              </w:rPr>
              <w:t xml:space="preserve">np.nanmean()</w:t>
            </w:r>
            <w:r>
              <w:t xml:space="preserve"> </w:t>
            </w:r>
            <w:r>
              <w:t xml:space="preserve">instead of</w:t>
            </w:r>
            <w:r>
              <w:t xml:space="preserve"> </w:t>
            </w:r>
            <w:r>
              <w:rPr>
                <w:rStyle w:val="VerbatimChar"/>
              </w:rPr>
              <w:t xml:space="preserve">.mean()</w:t>
            </w:r>
          </w:p>
        </w:tc>
      </w:tr>
      <w:tr>
        <w:tc>
          <w:tcPr/>
          <w:p>
            <w:pPr>
              <w:pStyle w:val="Compact"/>
            </w:pPr>
            <w:r>
              <w:t xml:space="preserve">5</w:t>
            </w:r>
          </w:p>
        </w:tc>
        <w:tc>
          <w:tcPr/>
          <w:p>
            <w:pPr>
              <w:pStyle w:val="Compact"/>
            </w:pPr>
            <w:r>
              <w:t xml:space="preserve">ATR feature ~45,000x scale mismatch</w:t>
            </w:r>
          </w:p>
        </w:tc>
        <w:tc>
          <w:tcPr/>
          <w:p>
            <w:pPr>
              <w:pStyle w:val="Compact"/>
            </w:pPr>
            <w:r>
              <w:t xml:space="preserve">Feature engineering</w:t>
            </w:r>
          </w:p>
        </w:tc>
        <w:tc>
          <w:tcPr/>
          <w:p>
            <w:pPr>
              <w:pStyle w:val="Compact"/>
            </w:pPr>
            <w:r>
              <w:t xml:space="preserve">Added</w:t>
            </w:r>
            <w:r>
              <w:t xml:space="preserve"> </w:t>
            </w:r>
            <w:r>
              <w:rPr>
                <w:rStyle w:val="VerbatimChar"/>
              </w:rPr>
              <w:t xml:space="preserve">atr_pct = atr_14 / Close</w:t>
            </w:r>
            <w:r>
              <w:t xml:space="preserve">; R² went from −0.65 to +0.18</w:t>
            </w:r>
          </w:p>
        </w:tc>
      </w:tr>
      <w:tr>
        <w:tc>
          <w:tcPr/>
          <w:p>
            <w:pPr>
              <w:pStyle w:val="Compact"/>
            </w:pPr>
            <w:r>
              <w:t xml:space="preserve">6</w:t>
            </w:r>
          </w:p>
        </w:tc>
        <w:tc>
          <w:tcPr/>
          <w:p>
            <w:pPr>
              <w:pStyle w:val="Compact"/>
            </w:pPr>
            <w:r>
              <w:t xml:space="preserve">GARCH forecast was effectively static</w:t>
            </w:r>
          </w:p>
        </w:tc>
        <w:tc>
          <w:tcPr/>
          <w:p>
            <w:pPr>
              <w:pStyle w:val="Compact"/>
            </w:pPr>
            <w:r>
              <w:t xml:space="preserve">Model implementation</w:t>
            </w:r>
          </w:p>
        </w:tc>
        <w:tc>
          <w:tcPr/>
          <w:p>
            <w:pPr>
              <w:pStyle w:val="Compact"/>
            </w:pPr>
            <w:r>
              <w:t xml:space="preserve">Rebuilt as a genuine rolling multi-step</w:t>
            </w:r>
            <w:r>
              <w:t xml:space="preserve"> </w:t>
            </w:r>
            <w:r>
              <w:rPr>
                <w:rStyle w:val="VerbatimChar"/>
              </w:rPr>
              <w:t xml:space="preserve">.forecast(horizon=H)</w:t>
            </w:r>
            <w:r>
              <w:t xml:space="preserve"> </w:t>
            </w:r>
            <w:r>
              <w:t xml:space="preserve">call</w:t>
            </w:r>
          </w:p>
        </w:tc>
      </w:tr>
      <w:tr>
        <w:tc>
          <w:tcPr/>
          <w:p>
            <w:pPr>
              <w:pStyle w:val="Compact"/>
            </w:pPr>
            <w:r>
              <w:t xml:space="preserve">7</w:t>
            </w:r>
          </w:p>
        </w:tc>
        <w:tc>
          <w:tcPr/>
          <w:p>
            <w:pPr>
              <w:pStyle w:val="Compact"/>
            </w:pPr>
            <w:r>
              <w:t xml:space="preserve">R² ≈ 0.99 was a target-overlap artifact</w:t>
            </w:r>
          </w:p>
        </w:tc>
        <w:tc>
          <w:tcPr/>
          <w:p>
            <w:pPr>
              <w:pStyle w:val="Compact"/>
            </w:pPr>
            <w:r>
              <w:t xml:space="preserve">Methodology</w:t>
            </w:r>
          </w:p>
        </w:tc>
        <w:tc>
          <w:tcPr/>
          <w:p>
            <w:pPr>
              <w:pStyle w:val="Compact"/>
            </w:pPr>
            <w:r>
              <w:t xml:space="preserve">Set forecast horizon = rolling window (168h), eliminating the overlap</w:t>
            </w:r>
          </w:p>
        </w:tc>
      </w:tr>
      <w:tr>
        <w:tc>
          <w:tcPr/>
          <w:p>
            <w:pPr>
              <w:pStyle w:val="Compact"/>
            </w:pPr>
            <w:r>
              <w:t xml:space="preserve">8</w:t>
            </w:r>
          </w:p>
        </w:tc>
        <w:tc>
          <w:tcPr/>
          <w:p>
            <w:pPr>
              <w:pStyle w:val="Compact"/>
            </w:pPr>
            <w:r>
              <w:t xml:space="preserve">LSTM had no econometric grounding</w:t>
            </w:r>
          </w:p>
        </w:tc>
        <w:tc>
          <w:tcPr/>
          <w:p>
            <w:pPr>
              <w:pStyle w:val="Compact"/>
            </w:pPr>
            <w:r>
              <w:t xml:space="preserve">Methodology</w:t>
            </w:r>
          </w:p>
        </w:tc>
        <w:tc>
          <w:tcPr/>
          <w:p>
            <w:pPr>
              <w:pStyle w:val="Compact"/>
            </w:pPr>
            <w:r>
              <w:t xml:space="preserve">Replaced with EWMA (RiskMetrics), later re-tuned over a wider λ grid</w:t>
            </w:r>
          </w:p>
        </w:tc>
      </w:tr>
      <w:tr>
        <w:tc>
          <w:tcPr/>
          <w:p>
            <w:pPr>
              <w:pStyle w:val="Compact"/>
            </w:pPr>
            <w:r>
              <w:t xml:space="preserve">9</w:t>
            </w:r>
          </w:p>
        </w:tc>
        <w:tc>
          <w:tcPr/>
          <w:p>
            <w:pPr>
              <w:pStyle w:val="Compact"/>
            </w:pPr>
            <w:r>
              <w:t xml:space="preserve">“Beats persistence?”</w:t>
            </w:r>
            <w:r>
              <w:t xml:space="preserve"> </w:t>
            </w:r>
            <w:r>
              <w:t xml:space="preserve">values went stale</w:t>
            </w:r>
          </w:p>
        </w:tc>
        <w:tc>
          <w:tcPr/>
          <w:p>
            <w:pPr>
              <w:pStyle w:val="Compact"/>
            </w:pPr>
            <w:r>
              <w:t xml:space="preserve">Methodology</w:t>
            </w:r>
          </w:p>
        </w:tc>
        <w:tc>
          <w:tcPr/>
          <w:p>
            <w:pPr>
              <w:pStyle w:val="Compact"/>
            </w:pPr>
            <w:r>
              <w:t xml:space="preserve">Recomputed against the corrected 168h RMSE table</w:t>
            </w:r>
          </w:p>
        </w:tc>
      </w:tr>
      <w:tr>
        <w:tc>
          <w:tcPr/>
          <w:p>
            <w:pPr>
              <w:pStyle w:val="Compact"/>
            </w:pPr>
            <w:r>
              <w:t xml:space="preserve">10</w:t>
            </w:r>
          </w:p>
        </w:tc>
        <w:tc>
          <w:tcPr/>
          <w:p>
            <w:pPr>
              <w:pStyle w:val="Compact"/>
            </w:pPr>
            <w:r>
              <w:t xml:space="preserve">Double-escaped</w:t>
            </w:r>
            <w:r>
              <w:t xml:space="preserve"> </w:t>
            </w:r>
            <w:r>
              <w:rPr>
                <w:rStyle w:val="VerbatimChar"/>
              </w:rPr>
              <w:t xml:space="preserve">\n\n</w:t>
            </w:r>
            <w:r>
              <w:t xml:space="preserve"> </w:t>
            </w:r>
            <w:r>
              <w:t xml:space="preserve">broke report paragraphs</w:t>
            </w:r>
          </w:p>
        </w:tc>
        <w:tc>
          <w:tcPr/>
          <w:p>
            <w:pPr>
              <w:pStyle w:val="Compact"/>
            </w:pPr>
            <w:r>
              <w:t xml:space="preserve">Report/deck tooling</w:t>
            </w:r>
          </w:p>
        </w:tc>
        <w:tc>
          <w:tcPr/>
          <w:p>
            <w:pPr>
              <w:pStyle w:val="Compact"/>
            </w:pPr>
            <w:r>
              <w:t xml:space="preserve">Fixed the raw JSON escaping and regenerated the docx/PDF</w:t>
            </w:r>
          </w:p>
        </w:tc>
      </w:tr>
      <w:tr>
        <w:tc>
          <w:tcPr/>
          <w:p>
            <w:pPr>
              <w:pStyle w:val="Compact"/>
            </w:pPr>
            <w:r>
              <w:t xml:space="preserve">11</w:t>
            </w:r>
          </w:p>
        </w:tc>
        <w:tc>
          <w:tcPr/>
          <w:p>
            <w:pPr>
              <w:pStyle w:val="Compact"/>
            </w:pPr>
            <w:r>
              <w:t xml:space="preserve">python-pptx multi-paragraph shape corruption</w:t>
            </w:r>
          </w:p>
        </w:tc>
        <w:tc>
          <w:tcPr/>
          <w:p>
            <w:pPr>
              <w:pStyle w:val="Compact"/>
            </w:pPr>
            <w:r>
              <w:t xml:space="preserve">Report/deck tooling</w:t>
            </w:r>
          </w:p>
        </w:tc>
        <w:tc>
          <w:tcPr/>
          <w:p>
            <w:pPr>
              <w:pStyle w:val="Compact"/>
            </w:pPr>
            <w:r>
              <w:t xml:space="preserve">Edited/cloned paragraph XML directly; added visual review of every slide</w:t>
            </w:r>
          </w:p>
        </w:tc>
      </w:tr>
    </w:tbl>
    <w:p>
      <w:r>
        <w:pict>
          <v:rect style="width:0;height:1.5pt" o:hralign="center" o:hrstd="t" o:hr="t"/>
        </w:pict>
      </w:r>
    </w:p>
    <w:bookmarkEnd w:id="10"/>
    <w:bookmarkEnd w:id="11"/>
    <w:bookmarkStart w:id="16" w:name="a.-data-pipeline-bugs"/>
    <w:p>
      <w:pPr>
        <w:pStyle w:val="Heading1"/>
      </w:pPr>
      <w:r>
        <w:t xml:space="preserve">A. Data Pipeline Bugs</w:t>
      </w:r>
    </w:p>
    <w:bookmarkStart w:id="12" w:name="X25ed8053331def4798ed76ec6d98edc4b47904d"/>
    <w:p>
      <w:pPr>
        <w:pStyle w:val="Heading3"/>
      </w:pPr>
      <w:r>
        <w:t xml:space="preserve">1. Notebook execution working-directory mismatch</w:t>
      </w:r>
    </w:p>
    <w:p>
      <w:pPr>
        <w:pStyle w:val="FirstParagraph"/>
      </w:pPr>
      <w:r>
        <w:rPr>
          <w:b/>
          <w:bCs/>
        </w:rPr>
        <w:t xml:space="preserve">Problem:</w:t>
      </w:r>
      <w:r>
        <w:t xml:space="preserve"> </w:t>
      </w:r>
      <w:r>
        <w:t xml:space="preserve">Running the notebook headlessly via</w:t>
      </w:r>
      <w:r>
        <w:t xml:space="preserve"> </w:t>
      </w:r>
      <w:r>
        <w:rPr>
          <w:rStyle w:val="VerbatimChar"/>
        </w:rPr>
        <w:t xml:space="preserve">jupyter nbconvert --to notebook --execute --inplace</w:t>
      </w:r>
      <w:r>
        <w:t xml:space="preserve"> </w:t>
      </w:r>
      <w:r>
        <w:t xml:space="preserve">starts the kernel with its working directory set to the notebook’s own folder (</w:t>
      </w:r>
      <w:r>
        <w:rPr>
          <w:rStyle w:val="VerbatimChar"/>
        </w:rPr>
        <w:t xml:space="preserve">notebooks/</w:t>
      </w:r>
      <w:r>
        <w:t xml:space="preserve">), not the project root. Relative paths like</w:t>
      </w:r>
      <w:r>
        <w:t xml:space="preserve"> </w:t>
      </w:r>
      <w:r>
        <w:rPr>
          <w:rStyle w:val="VerbatimChar"/>
        </w:rPr>
        <w:t xml:space="preserve">data/btc_hourly_ohlcv.csv</w:t>
      </w:r>
      <w:r>
        <w:t xml:space="preserve"> </w:t>
      </w:r>
      <w:r>
        <w:t xml:space="preserve">and</w:t>
      </w:r>
      <w:r>
        <w:t xml:space="preserve"> </w:t>
      </w:r>
      <w:r>
        <w:rPr>
          <w:rStyle w:val="VerbatimChar"/>
        </w:rPr>
        <w:t xml:space="preserve">models/*.pkl</w:t>
      </w:r>
      <w:r>
        <w:t xml:space="preserve">, which worked fine in an interactive Jupyter session launched from the project root, failed to resolve during automated execution.</w:t>
      </w:r>
    </w:p>
    <w:p>
      <w:pPr>
        <w:pStyle w:val="BodyText"/>
      </w:pPr>
      <w:r>
        <w:rPr>
          <w:b/>
          <w:bCs/>
        </w:rPr>
        <w:t xml:space="preserve">Fix:</w:t>
      </w:r>
      <w:r>
        <w:t xml:space="preserve"> </w:t>
      </w:r>
      <w:r>
        <w:t xml:space="preserve">Created symlinks</w:t>
      </w:r>
      <w:r>
        <w:t xml:space="preserve"> </w:t>
      </w:r>
      <w:r>
        <w:rPr>
          <w:rStyle w:val="VerbatimChar"/>
        </w:rPr>
        <w:t xml:space="preserve">notebooks/data → ../data</w:t>
      </w:r>
      <w:r>
        <w:t xml:space="preserve"> </w:t>
      </w:r>
      <w:r>
        <w:t xml:space="preserve">and</w:t>
      </w:r>
      <w:r>
        <w:t xml:space="preserve"> </w:t>
      </w:r>
      <w:r>
        <w:rPr>
          <w:rStyle w:val="VerbatimChar"/>
        </w:rPr>
        <w:t xml:space="preserve">notebooks/models → ../models</w:t>
      </w:r>
      <w:r>
        <w:t xml:space="preserve">, so the same relative paths resolve correctly regardless of which directory the kernel treats as its working directory.</w:t>
      </w:r>
    </w:p>
    <w:bookmarkEnd w:id="12"/>
    <w:bookmarkStart w:id="13" w:name="Xd44da92df77f93a3cb16f7683b8bd896b4b9966"/>
    <w:p>
      <w:pPr>
        <w:pStyle w:val="Heading3"/>
      </w:pPr>
      <w:r>
        <w:t xml:space="preserve">2. Empty live-test CSV producing NaN in the fetch-since logic</w:t>
      </w:r>
    </w:p>
    <w:p>
      <w:pPr>
        <w:pStyle w:val="FirstParagraph"/>
      </w:pPr>
      <w:r>
        <w:rPr>
          <w:b/>
          <w:bCs/>
        </w:rPr>
        <w:t xml:space="preserve">Problem:</w:t>
      </w:r>
      <w:r>
        <w:t xml:space="preserve"> </w:t>
      </w:r>
      <w:r>
        <w:t xml:space="preserve">On the very first run, before any live-test data had been cached, the code that determines</w:t>
      </w:r>
      <w:r>
        <w:t xml:space="preserve"> </w:t>
      </w:r>
      <w:r>
        <w:t xml:space="preserve">“fetch new candles since the last cached timestamp”</w:t>
      </w:r>
      <w:r>
        <w:t xml:space="preserve"> </w:t>
      </w:r>
      <w:r>
        <w:t xml:space="preserve">read an empty CSV. Calling</w:t>
      </w:r>
      <w:r>
        <w:t xml:space="preserve"> </w:t>
      </w:r>
      <w:r>
        <w:rPr>
          <w:rStyle w:val="VerbatimChar"/>
        </w:rPr>
        <w:t xml:space="preserve">.max()</w:t>
      </w:r>
      <w:r>
        <w:t xml:space="preserve"> </w:t>
      </w:r>
      <w:r>
        <w:t xml:space="preserve">on an empty date column returned NaN, and that NaN was then passed to the exchange API as the fetch start time.</w:t>
      </w:r>
    </w:p>
    <w:p>
      <w:pPr>
        <w:pStyle w:val="BodyText"/>
      </w:pPr>
      <w:r>
        <w:rPr>
          <w:b/>
          <w:bCs/>
        </w:rPr>
        <w:t xml:space="preserve">Fix:</w:t>
      </w:r>
      <w:r>
        <w:t xml:space="preserve"> </w:t>
      </w:r>
      <w:r>
        <w:t xml:space="preserve">Added a</w:t>
      </w:r>
      <w:r>
        <w:t xml:space="preserve"> </w:t>
      </w:r>
      <w:r>
        <w:rPr>
          <w:rStyle w:val="VerbatimChar"/>
        </w:rPr>
        <w:t xml:space="preserve">len(df_live_existing) &gt; 0</w:t>
      </w:r>
      <w:r>
        <w:t xml:space="preserve"> </w:t>
      </w:r>
      <w:r>
        <w:t xml:space="preserve">guard before computing the max cached timestamp, falling back to a full historical fetch whenever no cache exists yet.</w:t>
      </w:r>
    </w:p>
    <w:bookmarkEnd w:id="13"/>
    <w:bookmarkStart w:id="14" w:name="X9fef6e6b268cfb5dd7f34161efbd7359b418b3f"/>
    <w:p>
      <w:pPr>
        <w:pStyle w:val="Heading3"/>
      </w:pPr>
      <w:r>
        <w:t xml:space="preserve">3. Pandas silently upcast every column to object dtype on concat</w:t>
      </w:r>
    </w:p>
    <w:p>
      <w:pPr>
        <w:pStyle w:val="FirstParagraph"/>
      </w:pPr>
      <w:r>
        <w:rPr>
          <w:b/>
          <w:bCs/>
        </w:rPr>
        <w:t xml:space="preserve">Problem:</w:t>
      </w:r>
      <w:r>
        <w:t xml:space="preserve"> </w:t>
      </w:r>
      <w:r>
        <w:t xml:space="preserve">Concatenating an empty, CSV-loaded DataFrame (which pandas types every column as</w:t>
      </w:r>
      <w:r>
        <w:t xml:space="preserve"> </w:t>
      </w:r>
      <w:r>
        <w:rPr>
          <w:rStyle w:val="VerbatimChar"/>
        </w:rPr>
        <w:t xml:space="preserve">object</w:t>
      </w:r>
      <w:r>
        <w:t xml:space="preserve"> </w:t>
      </w:r>
      <w:r>
        <w:t xml:space="preserve">when there are zero rows to infer a numeric type from) with a freshly fetched, correctly float-typed DataFrame silently upcasts the combined result’s columns to</w:t>
      </w:r>
      <w:r>
        <w:t xml:space="preserve"> </w:t>
      </w:r>
      <w:r>
        <w:rPr>
          <w:rStyle w:val="VerbatimChar"/>
        </w:rPr>
        <w:t xml:space="preserve">object</w:t>
      </w:r>
      <w:r>
        <w:t xml:space="preserve"> </w:t>
      </w:r>
      <w:r>
        <w:t xml:space="preserve">dtype. No error is raised — the corruption only shows up later, as numeric operations that should work start failing or behaving strangely.</w:t>
      </w:r>
    </w:p>
    <w:p>
      <w:pPr>
        <w:pStyle w:val="BodyText"/>
      </w:pPr>
      <w:r>
        <w:rPr>
          <w:b/>
          <w:bCs/>
        </w:rPr>
        <w:t xml:space="preserve">Fix:</w:t>
      </w:r>
      <w:r>
        <w:t xml:space="preserve"> </w:t>
      </w:r>
      <w:r>
        <w:t xml:space="preserve">Guarded the concatenation to only include non-empty frames, so dtype inference always runs against real, populated data.</w:t>
      </w:r>
    </w:p>
    <w:bookmarkEnd w:id="14"/>
    <w:bookmarkStart w:id="15" w:name="X7c28d39b832cf1da50eb133559ba26e0737f479"/>
    <w:p>
      <w:pPr>
        <w:pStyle w:val="Heading3"/>
      </w:pPr>
      <w:r>
        <w:t xml:space="preserve">4.</w:t>
      </w:r>
      <w:r>
        <w:t xml:space="preserve"> </w:t>
      </w:r>
      <w:r>
        <w:rPr>
          <w:rStyle w:val="VerbatimChar"/>
        </w:rPr>
        <w:t xml:space="preserve">ewma_sigma()</w:t>
      </w:r>
      <w:r>
        <w:t xml:space="preserve"> </w:t>
      </w:r>
      <w:r>
        <w:t xml:space="preserve">silently returned NaN for every live-test prediction</w:t>
      </w:r>
    </w:p>
    <w:p>
      <w:pPr>
        <w:pStyle w:val="FirstParagraph"/>
      </w:pPr>
      <w:r>
        <w:rPr>
          <w:b/>
          <w:bCs/>
        </w:rPr>
        <w:t xml:space="preserve">Problem:</w:t>
      </w:r>
      <w:r>
        <w:t xml:space="preserve"> </w:t>
      </w:r>
      <w:r>
        <w:t xml:space="preserve">The recursive EWMA volatility function seeded its running estimate using a plain</w:t>
      </w:r>
      <w:r>
        <w:t xml:space="preserve"> </w:t>
      </w:r>
      <w:r>
        <w:rPr>
          <w:rStyle w:val="VerbatimChar"/>
        </w:rPr>
        <w:t xml:space="preserve">.mean()</w:t>
      </w:r>
      <w:r>
        <w:t xml:space="preserve"> </w:t>
      </w:r>
      <w:r>
        <w:t xml:space="preserve">call.</w:t>
      </w:r>
      <w:r>
        <w:t xml:space="preserve"> </w:t>
      </w:r>
      <w:r>
        <w:rPr>
          <w:rStyle w:val="VerbatimChar"/>
        </w:rPr>
        <w:t xml:space="preserve">combined_features['hourly_return']</w:t>
      </w:r>
      <w:r>
        <w:t xml:space="preserve"> </w:t>
      </w:r>
      <w:r>
        <w:t xml:space="preserve">has one structural leading NaN — the very first row in the series has no prior price to compute a return from — and because</w:t>
      </w:r>
      <w:r>
        <w:t xml:space="preserve"> </w:t>
      </w:r>
      <w:r>
        <w:rPr>
          <w:rStyle w:val="VerbatimChar"/>
        </w:rPr>
        <w:t xml:space="preserve">.mean()</w:t>
      </w:r>
      <w:r>
        <w:t xml:space="preserve"> </w:t>
      </w:r>
      <w:r>
        <w:t xml:space="preserve">is not NaN-safe, that single NaN silently propagated through the entire recursive computation. Every downstream EWMA prediction on the live-test set came out as NaN, with no exception thrown anywhere.</w:t>
      </w:r>
    </w:p>
    <w:p>
      <w:pPr>
        <w:pStyle w:val="BodyText"/>
      </w:pPr>
      <w:r>
        <w:rPr>
          <w:b/>
          <w:bCs/>
        </w:rPr>
        <w:t xml:space="preserve">Fix:</w:t>
      </w:r>
      <w:r>
        <w:t xml:space="preserve"> </w:t>
      </w:r>
      <w:r>
        <w:t xml:space="preserve">Replaced the seeding call with</w:t>
      </w:r>
      <w:r>
        <w:t xml:space="preserve"> </w:t>
      </w:r>
      <w:r>
        <w:rPr>
          <w:rStyle w:val="VerbatimChar"/>
        </w:rPr>
        <w:t xml:space="preserve">np.nanmean()</w:t>
      </w:r>
      <w:r>
        <w:t xml:space="preserve">, which skips the NaN and seeds the recursion from the first valid return.</w:t>
      </w:r>
    </w:p>
    <w:p>
      <w:r>
        <w:pict>
          <v:rect style="width:0;height:1.5pt" o:hralign="center" o:hrstd="t" o:hr="t"/>
        </w:pict>
      </w:r>
    </w:p>
    <w:bookmarkEnd w:id="15"/>
    <w:bookmarkEnd w:id="16"/>
    <w:bookmarkStart w:id="18" w:name="b.-feature-engineering-bugs"/>
    <w:p>
      <w:pPr>
        <w:pStyle w:val="Heading1"/>
      </w:pPr>
      <w:r>
        <w:t xml:space="preserve">B. Feature Engineering Bugs</w:t>
      </w:r>
    </w:p>
    <w:bookmarkStart w:id="17" w:name="X1ac936b3dd0b1f597c2853bae4d5034f79a73c3"/>
    <w:p>
      <w:pPr>
        <w:pStyle w:val="Heading3"/>
      </w:pPr>
      <w:r>
        <w:t xml:space="preserve">5. ATR regressor was on the wrong scale by a factor of ≈45,000×</w:t>
      </w:r>
    </w:p>
    <w:p>
      <w:pPr>
        <w:pStyle w:val="FirstParagraph"/>
      </w:pPr>
      <w:r>
        <w:rPr>
          <w:b/>
          <w:bCs/>
        </w:rPr>
        <w:t xml:space="preserve">Problem:</w:t>
      </w:r>
      <w:r>
        <w:t xml:space="preserve"> </w:t>
      </w:r>
      <w:r>
        <w:t xml:space="preserve">HAR-RV-X’s regressors are all meant to sit on a comparable, fractional scale (roughly 0.001–0.03).</w:t>
      </w:r>
      <w:r>
        <w:t xml:space="preserve"> </w:t>
      </w:r>
      <w:r>
        <w:rPr>
          <w:rStyle w:val="VerbatimChar"/>
        </w:rPr>
        <w:t xml:space="preserve">atr_14</w:t>
      </w:r>
      <w:r>
        <w:t xml:space="preserve"> </w:t>
      </w:r>
      <w:r>
        <w:t xml:space="preserve">was left in raw dollar terms instead — mean ≈ $303, ranging up to ≈$3,189 across BTC’s price history. Worse, because BTC’s own price ranged from about $4,000 to over $90,000 across the dataset, a fixed dollar ATR value meant something completely different depending on when in history it was measured, so the Ridge regression had no stable relationship to learn from that column.</w:t>
      </w:r>
    </w:p>
    <w:p>
      <w:pPr>
        <w:pStyle w:val="BodyText"/>
      </w:pPr>
      <w:r>
        <w:rPr>
          <w:b/>
          <w:bCs/>
        </w:rPr>
        <w:t xml:space="preserve">Fix:</w:t>
      </w:r>
      <w:r>
        <w:t xml:space="preserve"> </w:t>
      </w:r>
      <w:r>
        <w:t xml:space="preserve">Engineered</w:t>
      </w:r>
      <w:r>
        <w:t xml:space="preserve"> </w:t>
      </w:r>
      <w:r>
        <w:rPr>
          <w:rStyle w:val="VerbatimChar"/>
        </w:rPr>
        <w:t xml:space="preserve">atr_pct = atr_14 / Close</w:t>
      </w:r>
      <w:r>
        <w:t xml:space="preserve">, putting ATR on the same price-normalized fractional scale as every other HAR-RV-X regressor.</w:t>
      </w:r>
    </w:p>
    <w:p>
      <w:pPr>
        <w:pStyle w:val="BodyText"/>
      </w:pPr>
      <w:r>
        <w:rPr>
          <w:b/>
          <w:bCs/>
        </w:rPr>
        <w:t xml:space="preserve">Impact:</w:t>
      </w:r>
      <w:r>
        <w:t xml:space="preserve"> </w:t>
      </w:r>
      <w:r>
        <w:t xml:space="preserve">This was the single highest-impact fix in the project. It took HAR-RV-X’s historical R² from −0.65 to +0.18, turning it from a broken feature into the strongest model in the whole comparison, on both the historical and live-test splits. It was found while systematically testing modeling-improvement ideas — the only one of six tested ideas that turned out to be a genuine bug rather than a modeling choice.</w:t>
      </w:r>
    </w:p>
    <w:p>
      <w:r>
        <w:pict>
          <v:rect style="width:0;height:1.5pt" o:hralign="center" o:hrstd="t" o:hr="t"/>
        </w:pict>
      </w:r>
    </w:p>
    <w:bookmarkEnd w:id="17"/>
    <w:bookmarkEnd w:id="18"/>
    <w:bookmarkStart w:id="20" w:name="c.-model-implementation-bugs"/>
    <w:p>
      <w:pPr>
        <w:pStyle w:val="Heading1"/>
      </w:pPr>
      <w:r>
        <w:t xml:space="preserve">C. Model Implementation Bugs</w:t>
      </w:r>
    </w:p>
    <w:bookmarkStart w:id="19" w:name="X60170c37a58f6ee98093b36c6e154c106f47ebe"/>
    <w:p>
      <w:pPr>
        <w:pStyle w:val="Heading3"/>
      </w:pPr>
      <w:r>
        <w:t xml:space="preserve">6. GARCH’s multi-step forecast was effectively static</w:t>
      </w:r>
    </w:p>
    <w:p>
      <w:pPr>
        <w:pStyle w:val="FirstParagraph"/>
      </w:pPr>
      <w:r>
        <w:rPr>
          <w:b/>
          <w:bCs/>
        </w:rPr>
        <w:t xml:space="preserve">Problem:</w:t>
      </w:r>
      <w:r>
        <w:t xml:space="preserve"> </w:t>
      </w:r>
      <w:r>
        <w:t xml:space="preserve">The original GARCH forecasting code did not perform a genuine rolling multi-step-ahead forecast across the test set — the forecast did not properly roll forward origin-by-origin the way a real out-of-sample evaluation requires.</w:t>
      </w:r>
    </w:p>
    <w:p>
      <w:pPr>
        <w:pStyle w:val="BodyText"/>
      </w:pPr>
      <w:r>
        <w:rPr>
          <w:b/>
          <w:bCs/>
        </w:rPr>
        <w:t xml:space="preserve">Fix:</w:t>
      </w:r>
      <w:r>
        <w:t xml:space="preserve"> </w:t>
      </w:r>
      <w:r>
        <w:t xml:space="preserve">Rebuilt the forecasting loop around</w:t>
      </w:r>
      <w:r>
        <w:t xml:space="preserve"> </w:t>
      </w:r>
      <w:r>
        <w:rPr>
          <w:rStyle w:val="VerbatimChar"/>
        </w:rPr>
        <w:t xml:space="preserve">.fix(params)</w:t>
      </w:r>
      <w:r>
        <w:t xml:space="preserve"> </w:t>
      </w:r>
      <w:r>
        <w:t xml:space="preserve">with a rolling</w:t>
      </w:r>
      <w:r>
        <w:t xml:space="preserve"> </w:t>
      </w:r>
      <w:r>
        <w:rPr>
          <w:rStyle w:val="VerbatimChar"/>
        </w:rPr>
        <w:t xml:space="preserve">horizon=1</w:t>
      </w:r>
      <w:r>
        <w:t xml:space="preserve"> </w:t>
      </w:r>
      <w:r>
        <w:t xml:space="preserve">forecast; later, as part of the 168-hour horizon redesign, upgraded it to a genuine multi-step call —</w:t>
      </w:r>
      <w:r>
        <w:t xml:space="preserve"> </w:t>
      </w:r>
      <w:r>
        <w:rPr>
          <w:rStyle w:val="VerbatimChar"/>
        </w:rPr>
        <w:t xml:space="preserve">.forecast(horizon=HORIZON, start=date, reindex=False)</w:t>
      </w:r>
      <w:r>
        <w:t xml:space="preserve"> </w:t>
      </w:r>
      <w:r>
        <w:t xml:space="preserve">— taking column</w:t>
      </w:r>
      <w:r>
        <w:t xml:space="preserve"> </w:t>
      </w:r>
      <w:r>
        <w:rPr>
          <w:rStyle w:val="VerbatimChar"/>
        </w:rPr>
        <w:t xml:space="preserve">[:, -1]</w:t>
      </w:r>
      <w:r>
        <w:t xml:space="preserve"> </w:t>
      </w:r>
      <w:r>
        <w:t xml:space="preserve">(the array’s shape is</w:t>
      </w:r>
      <w:r>
        <w:t xml:space="preserve"> </w:t>
      </w:r>
      <w:r>
        <w:rPr>
          <w:rStyle w:val="VerbatimChar"/>
        </w:rPr>
        <w:t xml:space="preserve">(n_origins, horizon)</w:t>
      </w:r>
      <w:r>
        <w:t xml:space="preserve">) as the H-step-ahead forecast for each origin.</w:t>
      </w:r>
    </w:p>
    <w:p>
      <w:r>
        <w:pict>
          <v:rect style="width:0;height:1.5pt" o:hralign="center" o:hrstd="t" o:hr="t"/>
        </w:pict>
      </w:r>
    </w:p>
    <w:bookmarkEnd w:id="19"/>
    <w:bookmarkEnd w:id="20"/>
    <w:bookmarkStart w:id="25" w:name="d.-methodological-design-issues"/>
    <w:p>
      <w:pPr>
        <w:pStyle w:val="Heading1"/>
      </w:pPr>
      <w:r>
        <w:t xml:space="preserve">D. Methodological / Design Issues</w:t>
      </w:r>
    </w:p>
    <w:bookmarkStart w:id="21" w:name="Xa590858f0f949b5151f1867b5ccf3261b793e7e"/>
    <w:p>
      <w:pPr>
        <w:pStyle w:val="Heading3"/>
      </w:pPr>
      <w:r>
        <w:t xml:space="preserve">7. Suspiciously high R² (≈0.99) traced to a target-construction artifact</w:t>
      </w:r>
    </w:p>
    <w:p>
      <w:pPr>
        <w:pStyle w:val="FirstParagraph"/>
      </w:pPr>
      <w:r>
        <w:rPr>
          <w:b/>
          <w:bCs/>
        </w:rPr>
        <w:t xml:space="preserve">Problem:</w:t>
      </w:r>
      <w:r>
        <w:t xml:space="preserve"> </w:t>
      </w:r>
      <w:r>
        <w:t xml:space="preserve">At the project’s original 1-hour-ahead forecast horizon, even the naive-persistence and Holt-Winters baselines scored an R² near 0.99 — too good to be genuine forecasting skill. Investigation traced the cause to how the target was built: a 168-hour rolling-window volatility figure, sampled every 1 hour, shares 167 of its 168 underlying hourly returns (99.4%) with its own value from one hour earlier.</w:t>
      </w:r>
      <w:r>
        <w:t xml:space="preserve"> </w:t>
      </w:r>
      <w:r>
        <w:t xml:space="preserve">“Forecasting”</w:t>
      </w:r>
      <w:r>
        <w:t xml:space="preserve"> </w:t>
      </w:r>
      <w:r>
        <w:t xml:space="preserve">it one hour ahead was therefore close to just copying the previous known value, not a real prediction.</w:t>
      </w:r>
    </w:p>
    <w:p>
      <w:pPr>
        <w:pStyle w:val="BodyText"/>
      </w:pPr>
      <w:r>
        <w:rPr>
          <w:b/>
          <w:bCs/>
        </w:rPr>
        <w:t xml:space="preserve">Fix:</w:t>
      </w:r>
      <w:r>
        <w:t xml:space="preserve"> </w:t>
      </w:r>
      <w:r>
        <w:t xml:space="preserve">The user proposed, and it was implemented, setting the forecast horizon equal to the rolling window length itself (168 hours). At that horizon, the forecast origin’s most recently known volatility value and the target share zero overlapping return observations — the standard non-overlapping design used in the realized-volatility literature.</w:t>
      </w:r>
    </w:p>
    <w:p>
      <w:pPr>
        <w:pStyle w:val="BodyText"/>
      </w:pPr>
      <w:r>
        <w:rPr>
          <w:b/>
          <w:bCs/>
        </w:rPr>
        <w:t xml:space="preserve">Impact:</w:t>
      </w:r>
      <w:r>
        <w:t xml:space="preserve"> </w:t>
      </w:r>
      <w:r>
        <w:t xml:space="preserve">Fixing this changed the entire model ranking: naive persistence and Holt-Winters, which had dominated under the flawed design, now correctly post negative R², while HAR-RV-X and EWMA emerge as the genuinely working models.</w:t>
      </w:r>
    </w:p>
    <w:bookmarkEnd w:id="21"/>
    <w:bookmarkStart w:id="22" w:name="Xaa4a2c45368dd3d4188977ad185e9f7541aa052"/>
    <w:p>
      <w:pPr>
        <w:pStyle w:val="Heading3"/>
      </w:pPr>
      <w:r>
        <w:t xml:space="preserve">7a. Consequence of the horizon fix: the live-test window shrank to ≈48 hours</w:t>
      </w:r>
    </w:p>
    <w:p>
      <w:pPr>
        <w:pStyle w:val="FirstParagraph"/>
      </w:pPr>
      <w:r>
        <w:rPr>
          <w:b/>
          <w:bCs/>
        </w:rPr>
        <w:t xml:space="preserve">Problem:</w:t>
      </w:r>
      <w:r>
        <w:t xml:space="preserve"> </w:t>
      </w:r>
      <w:r>
        <w:t xml:space="preserve">A prediction made 168 hours ahead of its features cannot be scored until 168 real hours have actually elapsed. With the live-test period still anchored to the original short, rolling</w:t>
      </w:r>
      <w:r>
        <w:t xml:space="preserve"> </w:t>
      </w:r>
      <w:r>
        <w:t xml:space="preserve">“recent days”</w:t>
      </w:r>
      <w:r>
        <w:t xml:space="preserve"> </w:t>
      </w:r>
      <w:r>
        <w:t xml:space="preserve">window, only a couple of days’ worth of predictions were old enough to have a real outcome to compare against — far too few to evaluate live performance meaningfully.</w:t>
      </w:r>
    </w:p>
    <w:p>
      <w:pPr>
        <w:pStyle w:val="BodyText"/>
      </w:pPr>
      <w:r>
        <w:rPr>
          <w:b/>
          <w:bCs/>
        </w:rPr>
        <w:t xml:space="preserve">Fix:</w:t>
      </w:r>
      <w:r>
        <w:t xml:space="preserve"> </w:t>
      </w:r>
      <w:r>
        <w:t xml:space="preserve">The user proposed switching from a rolling</w:t>
      </w:r>
      <w:r>
        <w:t xml:space="preserve"> </w:t>
      </w:r>
      <w:r>
        <w:t xml:space="preserve">“N years back from today”</w:t>
      </w:r>
      <w:r>
        <w:t xml:space="preserve"> </w:t>
      </w:r>
      <w:r>
        <w:t xml:space="preserve">date scheme to fixed calendar boundaries: training data spanning 2010-01-01 (Bitcoin’s own origin) through 2026-01-01, with the live-test window running from 2026-01-02 through yesterday. This expanded the live-test window to roughly eight months.</w:t>
      </w:r>
    </w:p>
    <w:p>
      <w:pPr>
        <w:pStyle w:val="BodyText"/>
      </w:pPr>
      <w:r>
        <w:rPr>
          <w:b/>
          <w:bCs/>
        </w:rPr>
        <w:t xml:space="preserve">Impact:</w:t>
      </w:r>
      <w:r>
        <w:t xml:space="preserve"> </w:t>
      </w:r>
      <w:r>
        <w:t xml:space="preserve">5,664 live-test predictions are now logged, with 5,496 of them already old enough to be scored as of the last full run.</w:t>
      </w:r>
    </w:p>
    <w:bookmarkEnd w:id="22"/>
    <w:bookmarkStart w:id="23" w:name="X046cdc27d0e2d3ff21fdeb1fd16f6f5fb9b5cb5"/>
    <w:p>
      <w:pPr>
        <w:pStyle w:val="Heading3"/>
      </w:pPr>
      <w:r>
        <w:t xml:space="preserve">8. LSTM had no econometric grounding for this problem</w:t>
      </w:r>
    </w:p>
    <w:p>
      <w:pPr>
        <w:pStyle w:val="FirstParagraph"/>
      </w:pPr>
      <w:r>
        <w:rPr>
          <w:b/>
          <w:bCs/>
        </w:rPr>
        <w:t xml:space="preserve">Problem:</w:t>
      </w:r>
      <w:r>
        <w:t xml:space="preserve"> </w:t>
      </w:r>
      <w:r>
        <w:t xml:space="preserve">The project’s original third model slot was an LSTM. On reflection, a generic recurrent sequence model has no built-in notion of volatility, risk, or econometric structure — it just learns an opaque nonlinear mapping over raw sequences, which sits awkwardly in a project framed as a quantitative time-series / risk-management study alongside GARCH and HAR-RV.</w:t>
      </w:r>
    </w:p>
    <w:p>
      <w:pPr>
        <w:pStyle w:val="BodyText"/>
      </w:pPr>
      <w:r>
        <w:rPr>
          <w:b/>
          <w:bCs/>
        </w:rPr>
        <w:t xml:space="preserve">Fix:</w:t>
      </w:r>
      <w:r>
        <w:t xml:space="preserve"> </w:t>
      </w:r>
      <w:r>
        <w:t xml:space="preserve">Replaced it with EWMA (exponentially weighted moving average volatility, the RiskMetrics-style estimator actually used on trading-desk risk systems) — a real risk-management tool with theoretical grounding, not a black box. Its decay factor λ was later re-tuned over a wider search grid (0.94 default → 0.995 tuned) as one of the systematic model-improvement passes.</w:t>
      </w:r>
    </w:p>
    <w:bookmarkEnd w:id="23"/>
    <w:bookmarkStart w:id="24" w:name="Xc62541f06e366f0f1100e2e6555bd98f1ad7609"/>
    <w:p>
      <w:pPr>
        <w:pStyle w:val="Heading3"/>
      </w:pPr>
      <w:r>
        <w:t xml:space="preserve">9.</w:t>
      </w:r>
      <w:r>
        <w:t xml:space="preserve"> </w:t>
      </w:r>
      <w:r>
        <w:t xml:space="preserve">“Beats persistence?”</w:t>
      </w:r>
      <w:r>
        <w:t xml:space="preserve"> </w:t>
      </w:r>
      <w:r>
        <w:t xml:space="preserve">comparison values went stale after the horizon redesign</w:t>
      </w:r>
    </w:p>
    <w:p>
      <w:pPr>
        <w:pStyle w:val="FirstParagraph"/>
      </w:pPr>
      <w:r>
        <w:rPr>
          <w:b/>
          <w:bCs/>
        </w:rPr>
        <w:t xml:space="preserve">Problem:</w:t>
      </w:r>
      <w:r>
        <w:t xml:space="preserve"> </w:t>
      </w:r>
      <w:r>
        <w:t xml:space="preserve">Comparison tables in the report and slide deck included a</w:t>
      </w:r>
      <w:r>
        <w:t xml:space="preserve"> </w:t>
      </w:r>
      <w:r>
        <w:t xml:space="preserve">“beats naive persistence?”</w:t>
      </w:r>
      <w:r>
        <w:t xml:space="preserve"> </w:t>
      </w:r>
      <w:r>
        <w:t xml:space="preserve">column computed once, early in the project. Under the original flawed 1-hour design, only Holt-Winters appeared to beat the naive baseline — itself an artifact of the same overlap problem described in Issue 7. Once the horizon redesign changed the actual model rankings, this column no longer matched the new numbers.</w:t>
      </w:r>
    </w:p>
    <w:p>
      <w:pPr>
        <w:pStyle w:val="BodyText"/>
      </w:pPr>
      <w:r>
        <w:rPr>
          <w:b/>
          <w:bCs/>
        </w:rPr>
        <w:t xml:space="preserve">Fix:</w:t>
      </w:r>
      <w:r>
        <w:t xml:space="preserve"> </w:t>
      </w:r>
      <w:r>
        <w:t xml:space="preserve">Recomputed every</w:t>
      </w:r>
      <w:r>
        <w:t xml:space="preserve"> </w:t>
      </w:r>
      <w:r>
        <w:t xml:space="preserve">“beats persistence?”</w:t>
      </w:r>
      <w:r>
        <w:t xml:space="preserve"> </w:t>
      </w:r>
      <w:r>
        <w:t xml:space="preserve">value directly against the corrected 168-hour RMSE table before propagating the numbers into the report and slide deck. Under the corrected design, HAR-RV-X and EWMA both genuinely beat naive persistence; naive persistence and Holt-Winters do not beat themselves, by definition, and GARCH does not beat persistence either.</w:t>
      </w:r>
    </w:p>
    <w:p>
      <w:r>
        <w:pict>
          <v:rect style="width:0;height:1.5pt" o:hralign="center" o:hrstd="t" o:hr="t"/>
        </w:pict>
      </w:r>
    </w:p>
    <w:bookmarkEnd w:id="24"/>
    <w:bookmarkEnd w:id="25"/>
    <w:bookmarkStart w:id="28" w:name="e.-report-deck-generation-bugs"/>
    <w:p>
      <w:pPr>
        <w:pStyle w:val="Heading1"/>
      </w:pPr>
      <w:r>
        <w:t xml:space="preserve">E. Report / Deck Generation Bugs</w:t>
      </w:r>
    </w:p>
    <w:p>
      <w:pPr>
        <w:pStyle w:val="FirstParagraph"/>
      </w:pPr>
      <w:r>
        <w:rPr>
          <w:i/>
          <w:iCs/>
        </w:rPr>
        <w:t xml:space="preserve">These issues were in the tooling used to produce the deliverables (Word report, PDF, and PowerPoint deck) rather than in the underlying analysis — but they were just as capable of silently shipping wrong content, so they’re recorded with the same rigor.</w:t>
      </w:r>
    </w:p>
    <w:bookmarkStart w:id="26" w:name="X2514ede7d3acb5a5f466983bb90f5ba2cff82a1"/>
    <w:p>
      <w:pPr>
        <w:pStyle w:val="Heading3"/>
      </w:pPr>
      <w:r>
        <w:t xml:space="preserve">10. Double-escaped</w:t>
      </w:r>
      <w:r>
        <w:t xml:space="preserve"> </w:t>
      </w:r>
      <w:r>
        <w:rPr>
          <w:rStyle w:val="VerbatimChar"/>
        </w:rPr>
        <w:t xml:space="preserve">\n\n</w:t>
      </w:r>
      <w:r>
        <w:t xml:space="preserve"> </w:t>
      </w:r>
      <w:r>
        <w:t xml:space="preserve">broke paragraph breaks in the generated report</w:t>
      </w:r>
    </w:p>
    <w:p>
      <w:pPr>
        <w:pStyle w:val="FirstParagraph"/>
      </w:pPr>
      <w:r>
        <w:rPr>
          <w:b/>
          <w:bCs/>
        </w:rPr>
        <w:t xml:space="preserve">Problem:</w:t>
      </w:r>
      <w:r>
        <w:t xml:space="preserve"> </w:t>
      </w:r>
      <w:r>
        <w:rPr>
          <w:rStyle w:val="VerbatimChar"/>
        </w:rPr>
        <w:t xml:space="preserve">report_results.json</w:t>
      </w:r>
      <w:r>
        <w:t xml:space="preserve">’s long-form narrative fields (</w:t>
      </w:r>
      <w:r>
        <w:rPr>
          <w:rStyle w:val="VerbatimChar"/>
        </w:rPr>
        <w:t xml:space="preserve">conclusion_text</w:t>
      </w:r>
      <w:r>
        <w:t xml:space="preserve">,</w:t>
      </w:r>
      <w:r>
        <w:t xml:space="preserve"> </w:t>
      </w:r>
      <w:r>
        <w:rPr>
          <w:rStyle w:val="VerbatimChar"/>
        </w:rPr>
        <w:t xml:space="preserve">live_test_discussion</w:t>
      </w:r>
      <w:r>
        <w:t xml:space="preserve">) contained a literal four-backslash sequence (</w:t>
      </w:r>
      <w:r>
        <w:rPr>
          <w:rStyle w:val="VerbatimChar"/>
        </w:rPr>
        <w:t xml:space="preserve">\\n\\n</w:t>
      </w:r>
      <w:r>
        <w:t xml:space="preserve">) in the raw file instead of a proper JSON</w:t>
      </w:r>
      <w:r>
        <w:t xml:space="preserve"> </w:t>
      </w:r>
      <w:r>
        <w:rPr>
          <w:rStyle w:val="VerbatimChar"/>
        </w:rPr>
        <w:t xml:space="preserve">\n\n</w:t>
      </w:r>
      <w:r>
        <w:t xml:space="preserve"> </w:t>
      </w:r>
      <w:r>
        <w:t xml:space="preserve">escape sequence. When substituted into the Markdown report template, this rendered as literal text rather than a paragraph break, causing sentences to run together mid-word — for example,</w:t>
      </w:r>
      <w:r>
        <w:t xml:space="preserve"> </w:t>
      </w:r>
      <w:r>
        <w:t xml:space="preserve">“…more interesting.headline finding is…”</w:t>
      </w:r>
      <w:r>
        <w:t xml:space="preserve"> </w:t>
      </w:r>
      <w:r>
        <w:t xml:space="preserve">with no space or break at all.</w:t>
      </w:r>
    </w:p>
    <w:p>
      <w:pPr>
        <w:pStyle w:val="BodyText"/>
      </w:pPr>
      <w:r>
        <w:rPr>
          <w:b/>
          <w:bCs/>
        </w:rPr>
        <w:t xml:space="preserve">Fix:</w:t>
      </w:r>
      <w:r>
        <w:t xml:space="preserve"> </w:t>
      </w:r>
      <w:r>
        <w:t xml:space="preserve">Patched by replacing the raw four-backslash sequence with a proper JSON-escaped newline directly in the file text (before JSON parsing), verified the fix by reloading with</w:t>
      </w:r>
      <w:r>
        <w:t xml:space="preserve"> </w:t>
      </w:r>
      <w:r>
        <w:rPr>
          <w:rStyle w:val="VerbatimChar"/>
        </w:rPr>
        <w:t xml:space="preserve">json.load()</w:t>
      </w:r>
      <w:r>
        <w:t xml:space="preserve">, and regenerated both the</w:t>
      </w:r>
      <w:r>
        <w:t xml:space="preserve"> </w:t>
      </w:r>
      <w:r>
        <w:rPr>
          <w:rStyle w:val="VerbatimChar"/>
        </w:rPr>
        <w:t xml:space="preserve">.docx</w:t>
      </w:r>
      <w:r>
        <w:t xml:space="preserve"> </w:t>
      </w:r>
      <w:r>
        <w:t xml:space="preserve">and</w:t>
      </w:r>
      <w:r>
        <w:t xml:space="preserve"> </w:t>
      </w:r>
      <w:r>
        <w:rPr>
          <w:rStyle w:val="VerbatimChar"/>
        </w:rPr>
        <w:t xml:space="preserve">.pdf</w:t>
      </w:r>
      <w:r>
        <w:t xml:space="preserve"> </w:t>
      </w:r>
      <w:r>
        <w:t xml:space="preserve">report.</w:t>
      </w:r>
    </w:p>
    <w:bookmarkEnd w:id="26"/>
    <w:bookmarkStart w:id="27" w:name="X693e6025ed410424c2435e341c13bf0d23852e8"/>
    <w:p>
      <w:pPr>
        <w:pStyle w:val="Heading3"/>
      </w:pPr>
      <w:r>
        <w:t xml:space="preserve">11. python-pptx multi-paragraph shape corruption (hit twice)</w:t>
      </w:r>
    </w:p>
    <w:p>
      <w:pPr>
        <w:pStyle w:val="FirstParagraph"/>
      </w:pPr>
      <w:r>
        <w:rPr>
          <w:b/>
          <w:bCs/>
        </w:rPr>
        <w:t xml:space="preserve">Problem:</w:t>
      </w:r>
      <w:r>
        <w:t xml:space="preserve"> </w:t>
      </w:r>
      <w:r>
        <w:t xml:space="preserve">Some PowerPoint text-box shapes internally contain several separate</w:t>
      </w:r>
      <w:r>
        <w:t xml:space="preserve"> </w:t>
      </w:r>
      <w:r>
        <w:rPr>
          <w:rStyle w:val="VerbatimChar"/>
        </w:rPr>
        <w:t xml:space="preserve">&lt;a:p&gt;</w:t>
      </w:r>
      <w:r>
        <w:t xml:space="preserve"> </w:t>
      </w:r>
      <w:r>
        <w:t xml:space="preserve">paragraph elements, even though python-pptx’s convenient</w:t>
      </w:r>
      <w:r>
        <w:t xml:space="preserve"> </w:t>
      </w:r>
      <w:r>
        <w:rPr>
          <w:rStyle w:val="VerbatimChar"/>
        </w:rPr>
        <w:t xml:space="preserve">.text</w:t>
      </w:r>
      <w:r>
        <w:t xml:space="preserve"> </w:t>
      </w:r>
      <w:r>
        <w:t xml:space="preserve">property shows them joined together with</w:t>
      </w:r>
      <w:r>
        <w:t xml:space="preserve"> </w:t>
      </w:r>
      <w:r>
        <w:rPr>
          <w:rStyle w:val="VerbatimChar"/>
        </w:rPr>
        <w:t xml:space="preserve">\n</w:t>
      </w:r>
      <w:r>
        <w:t xml:space="preserve"> </w:t>
      </w:r>
      <w:r>
        <w:t xml:space="preserve">characters when read back. A text-replacement helper that follows the common single-paragraph pattern — setting only</w:t>
      </w:r>
      <w:r>
        <w:t xml:space="preserve"> </w:t>
      </w:r>
      <w:r>
        <w:rPr>
          <w:rStyle w:val="VerbatimChar"/>
        </w:rPr>
        <w:t xml:space="preserve">paragraphs[0].runs[0].text</w:t>
      </w:r>
      <w:r>
        <w:t xml:space="preserve"> </w:t>
      </w:r>
      <w:r>
        <w:t xml:space="preserve">— silently stuffs an entire multi-line replacement string into paragraph 0 while leaving the shape’s original paragraphs 1, 2, etc. completely untouched. The result is duplicated or visually overflowing text on the rendered slide, and nothing about the python-pptx API call itself raises an error or warning.</w:t>
      </w:r>
    </w:p>
    <w:p>
      <w:pPr>
        <w:pStyle w:val="BodyText"/>
      </w:pPr>
      <w:r>
        <w:rPr>
          <w:b/>
          <w:bCs/>
        </w:rPr>
        <w:t xml:space="preserve">Fix:</w:t>
      </w:r>
      <w:r>
        <w:t xml:space="preserve"> </w:t>
      </w:r>
      <w:r>
        <w:t xml:space="preserve">On the</w:t>
      </w:r>
      <w:r>
        <w:t xml:space="preserve"> </w:t>
      </w:r>
      <w:r>
        <w:t xml:space="preserve">“What one record is”</w:t>
      </w:r>
      <w:r>
        <w:t xml:space="preserve"> </w:t>
      </w:r>
      <w:r>
        <w:t xml:space="preserve">bullet list (slide 4): restored paragraph 0’s correct short text, then cloned paragraph 2’s underlying XML element (via a deep copy inserted immediately after it) to properly add a new fourth bullet as its own paragraph, rather than concatenating more text into a single paragraph. On the</w:t>
      </w:r>
      <w:r>
        <w:t xml:space="preserve"> </w:t>
      </w:r>
      <w:r>
        <w:t xml:space="preserve">“History”</w:t>
      </w:r>
      <w:r>
        <w:t xml:space="preserve"> </w:t>
      </w:r>
      <w:r>
        <w:t xml:space="preserve">stat card (slide 4): set</w:t>
      </w:r>
      <w:r>
        <w:t xml:space="preserve"> </w:t>
      </w:r>
      <w:r>
        <w:rPr>
          <w:rStyle w:val="VerbatimChar"/>
        </w:rPr>
        <w:t xml:space="preserve">paragraphs[0]</w:t>
      </w:r>
      <w:r>
        <w:t xml:space="preserve"> </w:t>
      </w:r>
      <w:r>
        <w:t xml:space="preserve">and</w:t>
      </w:r>
      <w:r>
        <w:t xml:space="preserve"> </w:t>
      </w:r>
      <w:r>
        <w:rPr>
          <w:rStyle w:val="VerbatimChar"/>
        </w:rPr>
        <w:t xml:space="preserve">paragraphs[1]</w:t>
      </w:r>
      <w:r>
        <w:t xml:space="preserve"> </w:t>
      </w:r>
      <w:r>
        <w:t xml:space="preserve">as two distinct paragraph objects instead of embedding a</w:t>
      </w:r>
      <w:r>
        <w:t xml:space="preserve"> </w:t>
      </w:r>
      <w:r>
        <w:rPr>
          <w:rStyle w:val="VerbatimChar"/>
        </w:rPr>
        <w:t xml:space="preserve">\n</w:t>
      </w:r>
      <w:r>
        <w:t xml:space="preserve"> </w:t>
      </w:r>
      <w:r>
        <w:t xml:space="preserve">inside one</w:t>
      </w:r>
      <w:r>
        <w:t xml:space="preserve"> </w:t>
      </w:r>
      <w:r>
        <w:rPr>
          <w:rStyle w:val="VerbatimChar"/>
        </w:rPr>
        <w:t xml:space="preserve">set_text()</w:t>
      </w:r>
      <w:r>
        <w:t xml:space="preserve"> </w:t>
      </w:r>
      <w:r>
        <w:t xml:space="preserve">call.</w:t>
      </w:r>
    </w:p>
    <w:p>
      <w:pPr>
        <w:pStyle w:val="BodyText"/>
      </w:pPr>
      <w:r>
        <w:rPr>
          <w:b/>
          <w:bCs/>
        </w:rPr>
        <w:t xml:space="preserve">Impact:</w:t>
      </w:r>
      <w:r>
        <w:t xml:space="preserve"> </w:t>
      </w:r>
      <w:r>
        <w:t xml:space="preserve">Adopted a standing practice for the rest of the deck build: render every edited slide to an image (via a PDF export and</w:t>
      </w:r>
      <w:r>
        <w:t xml:space="preserve"> </w:t>
      </w:r>
      <w:r>
        <w:rPr>
          <w:rStyle w:val="VerbatimChar"/>
        </w:rPr>
        <w:t xml:space="preserve">pdftoppm</w:t>
      </w:r>
      <w:r>
        <w:t xml:space="preserve">) and visually inspect it before considering an edit finished. This is what caught both instances of this bug, and every one of the deck’s other edited slides was subsequently confirmed clean the same way before delivery.</w:t>
      </w:r>
    </w:p>
    <w:p>
      <w:r>
        <w:pict>
          <v:rect style="width:0;height:1.5pt" o:hralign="center" o:hrstd="t" o:hr="t"/>
        </w:pict>
      </w:r>
    </w:p>
    <w:bookmarkEnd w:id="27"/>
    <w:bookmarkEnd w:id="28"/>
    <w:bookmarkStart w:id="29" w:name="lessons-learned"/>
    <w:p>
      <w:pPr>
        <w:pStyle w:val="Heading1"/>
      </w:pPr>
      <w:r>
        <w:t xml:space="preserve">Lessons Learned</w:t>
      </w:r>
    </w:p>
    <w:p>
      <w:pPr>
        <w:pStyle w:val="Compact"/>
        <w:numPr>
          <w:ilvl w:val="0"/>
          <w:numId w:val="1001"/>
        </w:numPr>
      </w:pPr>
      <w:r>
        <w:rPr>
          <w:b/>
          <w:bCs/>
        </w:rPr>
        <w:t xml:space="preserve">Silent failures were the most dangerous category by far.</w:t>
      </w:r>
      <w:r>
        <w:t xml:space="preserve"> </w:t>
      </w:r>
      <w:r>
        <w:t xml:space="preserve">NaN propagation, dtype upcasting, and multi-paragraph shape corruption never raised an exception — every one of them was only caught through a downstream sanity check or a manual visual inspection, not an error message.</w:t>
      </w:r>
    </w:p>
    <w:p>
      <w:pPr>
        <w:pStyle w:val="Compact"/>
        <w:numPr>
          <w:ilvl w:val="0"/>
          <w:numId w:val="1001"/>
        </w:numPr>
      </w:pPr>
      <w:r>
        <w:rPr>
          <w:b/>
          <w:bCs/>
        </w:rPr>
        <w:t xml:space="preserve">A metric that looks too good deserves at least as much scrutiny as one that looks bad.</w:t>
      </w:r>
      <w:r>
        <w:t xml:space="preserve"> </w:t>
      </w:r>
      <w:r>
        <w:t xml:space="preserve">The R² ≈ 0.99 result (Issue 7) was a bug; the R² ≈ −11 result for GARCH later in the project was real, structural, and correctly reported as such.</w:t>
      </w:r>
    </w:p>
    <w:p>
      <w:pPr>
        <w:pStyle w:val="Compact"/>
        <w:numPr>
          <w:ilvl w:val="0"/>
          <w:numId w:val="1001"/>
        </w:numPr>
      </w:pPr>
      <w:r>
        <w:rPr>
          <w:b/>
          <w:bCs/>
        </w:rPr>
        <w:t xml:space="preserve">Feature scale mismatches can silently cripple a linear model without any error at all</w:t>
      </w:r>
      <w:r>
        <w:t xml:space="preserve"> </w:t>
      </w:r>
      <w:r>
        <w:t xml:space="preserve">(Issue 5) — catching it required actually reasoning about the numeric ranges involved, not just checking that the code ran.</w:t>
      </w:r>
    </w:p>
    <w:p>
      <w:pPr>
        <w:pStyle w:val="Compact"/>
        <w:numPr>
          <w:ilvl w:val="0"/>
          <w:numId w:val="1001"/>
        </w:numPr>
      </w:pPr>
      <w:r>
        <w:rPr>
          <w:b/>
          <w:bCs/>
        </w:rPr>
        <w:t xml:space="preserve">The most important methodological finding of the whole project may be a negative result.</w:t>
      </w:r>
      <w:r>
        <w:t xml:space="preserve"> </w:t>
      </w:r>
      <w:r>
        <w:t xml:space="preserve">A cross-validated check on an ensemble of HAR-RV-X and EWMA — which looked like a genuine improvement on a naive test-set comparison — revealed the CV-selected blend weight converged to 100% HAR-RV-X. The apparent improvement was noise from tuning against the test set, the same category of mistake as Issue 7, caught the second time only because rolling-origin cross-validation was applied rigorously rather than skipped as</w:t>
      </w:r>
      <w:r>
        <w:t xml:space="preserve"> </w:t>
      </w:r>
      <w:r>
        <w:t xml:space="preserve">“obviously fine.”</w:t>
      </w:r>
    </w:p>
    <w:p>
      <w:pPr>
        <w:pStyle w:val="Compact"/>
        <w:numPr>
          <w:ilvl w:val="0"/>
          <w:numId w:val="1001"/>
        </w:numPr>
      </w:pPr>
      <w:r>
        <w:rPr>
          <w:b/>
          <w:bCs/>
        </w:rPr>
        <w:t xml:space="preserve">Regenerating downstream deliverables (report, deck) after a substantive analysis change is its own source of bugs</w:t>
      </w:r>
      <w:r>
        <w:t xml:space="preserve">, distinct from the analysis itself — tooling gotchas like Issues 10 and 11 are easy to miss precisely because the underlying numbers are already correct by that point.</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2026-08-27T07:45:47Z</dcterms:created>
  <dcterms:modified xsi:type="dcterms:W3CDTF">2026-08-27T07:45:47Z</dcterms:modified>
</cp:coreProperties>
</file>

<file path=docProps/custom.xml><?xml version="1.0" encoding="utf-8"?>
<Properties xmlns="http://schemas.openxmlformats.org/officeDocument/2006/custom-properties" xmlns:vt="http://schemas.openxmlformats.org/officeDocument/2006/docPropsVTypes"/>
</file>