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further improvements validated by dedicated robustness checks - two additional regressors (EWMA’s own tuned sigma and realized skewness) and a genuine log(target) transform, which stack rather than duplicate each other’s gains (Sections 7.4.4-7.4.5) - HAR-RV-X is the strongest model on both splits, beating naive persistence by 17.1% RMSE historically and posting the best score on every metric on genuinely unseen live data (R-squared 0.1779, MAPE 27.18%). EWMA, re-tuned over a wider decay-factor grid (lambda=0.995), is a distant second. A wide range of further modifications - additional technical-indicator regressors, ensembling with EWMA, automated feature selection over the full feature set, alternative realized-volatility estimators, an LSTM given the same indicator set, and a naive log1p(x) transform that barely changed anything - were tested with the same cross-validation discipline and honestly did not improve on HAR-RV-X, and are reported as negative results rather than omitted; only the regressor and transform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50"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5"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three further improvements in Sections 7.4.4–7.4.5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At the time this was found, it became the actual kept HAR-RV-X model — since superseded by Section 7.4.5 below.</w:t>
      </w:r>
    </w:p>
    <w:bookmarkEnd w:id="43"/>
    <w:bookmarkStart w:id="44" w:name="X4fcb31b58c80755743d7a1c59f9b6a3778f4fd8"/>
    <w:p>
      <w:pPr>
        <w:pStyle w:val="Heading3"/>
      </w:pPr>
      <w:r>
        <w:t xml:space="preserve">7.4.5 Further Improvement: A Genuine log(target) Transform, Combined with 7.4.4</w:t>
      </w:r>
    </w:p>
    <w:p>
      <w:pPr>
        <w:pStyle w:val="FirstParagraph"/>
      </w:pPr>
      <w:r>
        <w:t xml:space="preserve">A comparison against an external thesis modeling Bitcoin volatility (Mishu, 2025) reported substantially higher R² using</w:t>
      </w:r>
      <w:r>
        <w:t xml:space="preserve"> </w:t>
      </w:r>
      <w:r>
        <w:rPr>
          <w:rStyle w:val="VerbatimChar"/>
        </w:rPr>
        <w:t xml:space="preserve">ln(RV)</w:t>
      </w:r>
      <w:r>
        <w:t xml:space="preserve"> </w:t>
      </w:r>
      <w:r>
        <w:t xml:space="preserve">as its actual modeling target. This project had already tested a log transform (</w:t>
      </w:r>
      <w:r>
        <w:rPr>
          <w:rStyle w:val="VerbatimChar"/>
        </w:rPr>
        <w:t xml:space="preserve">log1p(x)</w:t>
      </w:r>
      <w:r>
        <w:t xml:space="preserve">, Section 7.6) and found it nearly a no-op — but</w:t>
      </w:r>
      <w:r>
        <w:t xml:space="preserve"> </w:t>
      </w:r>
      <w:r>
        <w:rPr>
          <w:rStyle w:val="VerbatimChar"/>
        </w:rPr>
        <w:t xml:space="preserve">log1p(x) ≈ x</w:t>
      </w:r>
      <w:r>
        <w:t xml:space="preserve"> </w:t>
      </w:r>
      <w:r>
        <w:t xml:space="preserve">for values this small, so that was barely a transform at all. A genuine</w:t>
      </w:r>
      <w:r>
        <w:t xml:space="preserve"> </w:t>
      </w:r>
      <w:r>
        <w:rPr>
          <w:rStyle w:val="VerbatimChar"/>
        </w:rPr>
        <w:t xml:space="preserve">log(x)</w:t>
      </w:r>
      <w:r>
        <w:t xml:space="preserve"> </w:t>
      </w:r>
      <w:r>
        <w:t xml:space="preserve">is different:</w:t>
      </w:r>
    </w:p>
    <w:p>
      <w:pPr>
        <w:pStyle w:val="SourceCode"/>
      </w:pPr>
      <w:r>
        <w:rPr>
          <w:rStyle w:val="VerbatimChar"/>
        </w:rPr>
        <w:t xml:space="preserve">har_final_search.fit(har_final_train[har_final_cols], np.log(har_final_train['target']))</w:t>
      </w:r>
      <w:r>
        <w:br/>
      </w:r>
      <w:r>
        <w:rPr>
          <w:rStyle w:val="VerbatimChar"/>
        </w:rPr>
        <w:t xml:space="preserve">har_final_pred = np.exp(har_final_tuned.predict(har_final_test[har_final_cols]))  # always back-transformed</w:t>
      </w:r>
    </w:p>
    <w:p>
      <w:pPr>
        <w:pStyle w:val="FirstParagraph"/>
      </w:pPr>
      <w:r>
        <w:t xml:space="preserve">Fit in log-space, but — critically — R² is only ever reported after back-transforming predictions to the original scale via</w:t>
      </w:r>
      <w:r>
        <w:t xml:space="preserve"> </w:t>
      </w:r>
      <w:r>
        <w:rPr>
          <w:rStyle w:val="VerbatimChar"/>
        </w:rPr>
        <w:t xml:space="preserve">np.exp()</w:t>
      </w:r>
      <w:r>
        <w:t xml:space="preserve">, never in log-space itself, which is exactly the kind of inflated number that made the external comparison misleading in the first place. Evaluated fairly, the result is real: R² 0.1840 → 0.2342 on the historical split (the second-largest gain in this project, after the ATR fix) and 0.0610 → 0.1439 live. A bias check specific to log-transform regression (retransformation bias via Jensen’s inequality, which typically causes systematic under-prediction once back-transformed) found no such artifact — if anything, this model’s predictions are less biased than the raw-target model’s.</w:t>
      </w:r>
    </w:p>
    <w:p>
      <w:pPr>
        <w:pStyle w:val="BodyText"/>
      </w:pPr>
      <w:r>
        <w:t xml:space="preserve">The obvious follow-up: does this transform combine with Section 7.4.4’s two extra regressors, or fail to stack the way Section 7.6’s stacked ensemble already failed to combine two independently-good ideas once in this project? It stacks:</w:t>
      </w:r>
      <w:r>
        <w:t xml:space="preserve"> </w:t>
      </w:r>
      <w:r>
        <w:rPr>
          <w:b/>
          <w:bCs/>
        </w:rPr>
        <w:t xml:space="preserve">R² 0.1840 → 0.2419 historically, 0.0610 → 0.1779 live</w:t>
      </w:r>
      <w:r>
        <w:t xml:space="preserve"> </w:t>
      </w:r>
      <w:r>
        <w:t xml:space="preserve">— the best result anywhere in this project, on both splits, and now the actual kept HAR-RV-X model (6 regressors, fit on</w:t>
      </w:r>
      <w:r>
        <w:t xml:space="preserve"> </w:t>
      </w:r>
      <w:r>
        <w:rPr>
          <w:rStyle w:val="VerbatimChar"/>
        </w:rPr>
        <w:t xml:space="preserve">log(target)</w:t>
      </w:r>
      <w:r>
        <w:t xml:space="preserve">) reported everywhere in this document. The 4-regressor, raw-target version above is left in as the historical record of how this was built.</w:t>
      </w:r>
    </w:p>
    <w:bookmarkEnd w:id="44"/>
    <w:bookmarkEnd w:id="45"/>
    <w:bookmarkStart w:id="48"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6"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6"/>
    <w:bookmarkStart w:id="47"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7"/>
    <w:bookmarkEnd w:id="48"/>
    <w:bookmarkStart w:id="49"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Three did not — they changed the actual kept model, and are described in Sections 7.4.4–7.4.5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A stationary feature matrix for the generic-ML checks (a preprocessing fix, not a new feature).</w:t>
      </w:r>
      <w:r>
        <w:t xml:space="preserve"> </w:t>
      </w:r>
      <w:r>
        <w:t xml:space="preserve">The 54-feature matrix handed to XGBoost above and ElasticNet just above mixed non-stationary raw price/volume levels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w:t>
      </w:r>
      <w:r>
        <w:t xml:space="preserve">— all regime-dependent, ranging from roughly $4,000 to over $90,000 across this dataset) with genuinely stationary features (</w:t>
      </w:r>
      <w:r>
        <w:rPr>
          <w:rStyle w:val="VerbatimChar"/>
        </w:rPr>
        <w:t xml:space="preserve">hourly_return</w:t>
      </w:r>
      <w:r>
        <w:t xml:space="preserve">,</w:t>
      </w:r>
      <w:r>
        <w:t xml:space="preserve"> </w:t>
      </w:r>
      <w:r>
        <w:rPr>
          <w:rStyle w:val="VerbatimChar"/>
        </w:rPr>
        <w:t xml:space="preserve">atr_pct</w:t>
      </w:r>
      <w:r>
        <w:t xml:space="preserve">,</w:t>
      </w:r>
      <w:r>
        <w:t xml:space="preserve"> </w:t>
      </w:r>
      <w:r>
        <w:rPr>
          <w:rStyle w:val="VerbatimChar"/>
        </w:rPr>
        <w:t xml:space="preserve">rsi_14</w:t>
      </w:r>
      <w:r>
        <w:t xml:space="preserve">, and others).</w:t>
      </w:r>
      <w:r>
        <w:t xml:space="preserve"> </w:t>
      </w:r>
      <w:r>
        <w:rPr>
          <w:rStyle w:val="VerbatimChar"/>
        </w:rPr>
        <w:t xml:space="preserve">StandardScaler</w:t>
      </w:r>
      <w:r>
        <w:t xml:space="preserve"> </w:t>
      </w:r>
      <w:r>
        <w:t xml:space="preserve">doesn’t fix this — the problem is the underlying quantity drifting with BTC’s own price regime, not units, the same failure family as the ATR and ElasticNet scale bugs above. Dropping the 9 non-stationary base columns (27 of the original 54 lagged features remain) meaningfully improved both checks — XGBoost’s R² from −0.19 to 0.01, ElasticNet’s from −0.21 to −0.03 — without beating HAR-RV-X. The non-stationary levels were genuinely diluting the signal in both; removing them wasn’t enough to close the gap to HAR-RV-X’s engineered, multi-horizon regressors. Not adopted, but the improvement itself is the finding: preprocessing choices, not just model or feature choices, measurably moved these results.</w:t>
      </w:r>
    </w:p>
    <w:p>
      <w:pPr>
        <w:pStyle w:val="BodyText"/>
      </w:pPr>
      <w:r>
        <w:rPr>
          <w:b/>
          <w:bCs/>
        </w:rPr>
        <w:t xml:space="preserve">Row-count vs. time-aware rolling windows.</w:t>
      </w:r>
      <w:r>
        <w:t xml:space="preserve"> </w:t>
      </w:r>
      <w:r>
        <w:rPr>
          <w:rStyle w:val="VerbatimChar"/>
        </w:rPr>
        <w:t xml:space="preserve">volatility_7d</w:t>
      </w:r>
      <w:r>
        <w:t xml:space="preserve"> </w:t>
      </w:r>
      <w:r>
        <w:t xml:space="preserve">is built with an integer</w:t>
      </w:r>
      <w:r>
        <w:t xml:space="preserve"> </w:t>
      </w:r>
      <w:r>
        <w:rPr>
          <w:rStyle w:val="VerbatimChar"/>
        </w:rPr>
        <w:t xml:space="preserve">rolling(168)</w:t>
      </w:r>
      <w:r>
        <w:t xml:space="preserve"> </w:t>
      </w:r>
      <w:r>
        <w:t xml:space="preserve">window (168 rows), not a time-aware one — this notebook’s data never carries a</w:t>
      </w:r>
      <w:r>
        <w:t xml:space="preserve"> </w:t>
      </w:r>
      <w:r>
        <w:rPr>
          <w:rStyle w:val="VerbatimChar"/>
        </w:rPr>
        <w:t xml:space="preserve">DatetimeIndex</w:t>
      </w:r>
      <w:r>
        <w:t xml:space="preserve">, so</w:t>
      </w:r>
      <w:r>
        <w:t xml:space="preserve"> </w:t>
      </w:r>
      <w:r>
        <w:rPr>
          <w:rStyle w:val="VerbatimChar"/>
        </w:rPr>
        <w:t xml:space="preserve">rolling()</w:t>
      </w:r>
      <w:r>
        <w:t xml:space="preserve"> </w:t>
      </w:r>
      <w:r>
        <w:t xml:space="preserve">has no notion of the</w:t>
      </w:r>
      <w:r>
        <w:t xml:space="preserve"> </w:t>
      </w:r>
      <w:r>
        <w:rPr>
          <w:rStyle w:val="VerbatimChar"/>
        </w:rPr>
        <w:t xml:space="preserve">Date</w:t>
      </w:r>
      <w:r>
        <w:t xml:space="preserve"> </w:t>
      </w:r>
      <w:r>
        <w:t xml:space="preserve">column at all. A separate data-integrity check found 27 of 28 timestamp gaps in the raw feed, concentrated in 2017–2021; near any gap, a</w:t>
      </w:r>
      <w:r>
        <w:t xml:space="preserve"> </w:t>
      </w:r>
      <w:r>
        <w:t xml:space="preserve">“168-row”</w:t>
      </w:r>
      <w:r>
        <w:t xml:space="preserve"> </w:t>
      </w:r>
      <w:r>
        <w:t xml:space="preserve">window silently spans more than 168 real hours. Measured directly rather than assumed: 4,722 of 73,111 rows differ at all between a genuine time-aware</w:t>
      </w:r>
      <w:r>
        <w:t xml:space="preserve"> </w:t>
      </w:r>
      <w:r>
        <w:rPr>
          <w:rStyle w:val="VerbatimChar"/>
        </w:rPr>
        <w:t xml:space="preserve">'168h'</w:t>
      </w:r>
      <w:r>
        <w:t xml:space="preserve"> </w:t>
      </w:r>
      <w:r>
        <w:t xml:space="preserve">window and the row-based one used throughout this notebook, by up to 83.6% on individual affected rows. But every affected row falls in that same 2017–2021, training-only history — zero fall inside the held-out test window — so the distortion has no measurable effect on any number this report reports. Worth fixing for correctness in a production system (</w:t>
      </w:r>
      <w:r>
        <w:rPr>
          <w:rStyle w:val="VerbatimChar"/>
        </w:rPr>
        <w:t xml:space="preserve">set_index('Date').rolling('168h')</w:t>
      </w:r>
      <w:r>
        <w:t xml:space="preserve">), but there is nothing to adopt here: it wouldn’t change a single reported result.</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9"/>
    <w:bookmarkEnd w:id="50"/>
    <w:bookmarkStart w:id="58" w:name="comparison-metrics-and-final-evaluation"/>
    <w:p>
      <w:pPr>
        <w:pStyle w:val="BodyText"/>
      </w:pPr>
      <w:r>
        <w:rPr>
          <w:b/>
        </w:rPr>
        <w:t>Check 19: does this notebook’s R² match the literature’s own convention?</w:t>
      </w:r>
      <w:r>
        <w:t xml:space="preserve"> </w:t>
      </w:r>
      <w:r>
        <w:t>Every R² reported in this project — Table 1 below, Section 8.1, Section 9, and every check above — comes from scikit-learn’s r2_score (1 − SS_res/SS_tot). The HAR-RV literature this project builds on (Corsi, 2009, and its descendants, including the Mishu 2025 thesis discussed in Sections 7.4.5 and 8.1) conventionally reports a different, related quantity instead: a Mincer-Zarnowitz regression of actual values on predicted values (y_actual = α + β·y_pred + ε, fit by OLS), where an unbiased forecast has α = 0 and β = 1, and the regression’s own R² is reported as the model’s out-of-sample fit. Run on the kept HAR-RV-X model with Newey-West/HAC standard errors (accounting for the autocorrelation that 168-hour-ahead, hourly-origin forecasts have from overlapping windows), the Mincer-Zarnowitz R² comes out higher than scikit-learn’s in both splits — 0.2739 vs. 0.2419 historically, 0.2356 vs. 0.1779 live — because it only measures how well a straight-line fit through the predictions tracks the actuals, not deviation from y_pred = y_actual specifically. Part of the R² gap to externally reported benchmarks is therefore definitional, not just the calendar-window effect already identified in Section 7.4.5. The bias/slope coefficients are a separate, genuine finding: historically, α is small but marginally significant (t = −2.27) and β sits above 1 (1.27, t vs. 1 = 1.87) — mild evidence of prediction compression, underpredicting the largest moves and overpredicting the smallest. Neither departure from unbiasedness is statistically significant on the smaller live-test window (t = −1.06 and 0.77).</w:t>
      </w:r>
      <w:r>
        <w:rPr>
          <w:b/>
        </w:rPr>
        <w:t xml:space="preserve"> Diagnostic only</w:t>
      </w:r>
      <w:r>
        <w:t xml:space="preserve"> — it does not change the kept model.</w:t>
      </w:r>
    </w:p>
    <w:p>
      <w:pPr>
        <w:pStyle w:val="BodyText"/>
      </w:pPr>
      <w:r>
        <w:rPr>
          <w:b/>
        </w:rPr>
        <w:t>Check 20: ARIMA on volatility_7d’s own history.</w:t>
      </w:r>
      <w:r>
        <w:t xml:space="preserve"> </w:t>
      </w:r>
      <w:r>
        <w:t>GARCH above models variance dynamics; HAR-RV-X regresses on volatility at three fixed horizons. ARIMA is the classical alternative to both — autoregressive (AR) and moving-average (MA) terms on volatility_7d’s own history, differenced (I) if AIC prefers it, with no hand-picked regressors at all. Order (3, 0, 2) was selected by AIC on the training period only, then evaluated with a genuine 168-hour-ahead rolling-origin forecast — fixed parameters, one real observation appended at a time as it becomes available, the same leakage-free discipline as GARCH’s own rolling forecast (Section 7.3.3), just looped explicitly since statsmodels has no equivalent to arch’s single vectorized multi-origin call. R² = 0.0358 on HAR-RV-X (Final)’s own test dates — well short of 0.2419. Not adopted: the target’s own autocorrelation structure alone isn’t enough; HAR-RV-X’s three fixed horizons and the promoted EWMA_X/SKEW_X regressors are carrying real information ARIMA has no access to.</w:t>
      </w:r>
    </w:p>
    <w:p>
      <w:pPr>
        <w:pStyle w:val="BodyText"/>
      </w:pPr>
      <w:r>
        <w:rPr>
          <w:b/>
        </w:rPr>
        <w:t>Check 21: ARIMAX with HAR-RV-X’s own regressors.</w:t>
      </w:r>
      <w:r>
        <w:t xml:space="preserve"> </w:t>
      </w:r>
      <w:r>
        <w:t>The same six regressors as the kept model (RV_day/RV_week/RV_month, ATR_X, EWMA_X, SKEW_X), fit through SARIMAX instead of Ridge — a regression that also models autocorrelation in its own residuals via ARMA(2, 1, 2) terms (order again selected by AIC on training data only), rather than assuming they are independent noise. One honest simplification is worth flagging: SARIMAX’s own multi-step forecast needs these regressors’ future values too, which — like every other future quantity in this project — are not actually knowable at forecast time; this check holds each regressor at its last known value across the full 168-hour horizon, the same naive-persistence assumption already used elsewhere in this report (Section 7.1), just applied to an input rather than the output. R² = −0.0742 — worse than both HAR-RV-X (Final) and Check 20’s regressor-free ARIMA. Not adopted, and the shortfall relative to Check 20 is itself informative: it is consistent with the constant-future-exog simplification costing more than the regressors add, rather than evidence that the regressors themselves carry no signal — Checks 1 and 13 above already establish separately that HAR-RV-X’s own regressors do help when used the way HAR-RV-X actually uses them.</w:t>
      </w:r>
    </w:p>
    <w:p>
      <w:pPr>
        <w:pStyle w:val="BodyText"/>
      </w:pPr>
      <w:r>
        <w:rPr>
          <w:b/>
        </w:rPr>
        <w:t>Check 22: an LSTM classifier for the volatility regime.</w:t>
      </w:r>
      <w:r>
        <w:t xml:space="preserve"> </w:t>
      </w:r>
      <w:r>
        <w:t>Every model elsewhere in this report predicts volatility_7d’s exact value. Volatility clustering (Section 3.5) is fundamentally a statement about regime persistence — calm periods staying calm, turbulent periods staying turbulent — a coarser pattern than the exact number. This check reframes the target as a three-class Low/Moderate/High classification (tertile-split on the training target only, never the test set) and reuses Check 12’s LSTM architecture with a softmax head in place of its regression head. Two points of comparison: a majority-class floor, and — the more informative one — simply thresholding the kept HAR-RV-X (Final) model’s own continuous forecast at the same tertiles. The LSTM classifier scored Accuracy = 0.5036, Macro-F1 = 0.4210; thresholding HAR-RV-X (Final) instead scored Accuracy = 0.6447, Macro-F1 = 0.4425 — HAR-RV-X wins on both. One result is worth a closer look before accepting it at face value: the LSTM’s raw accuracy is actually below the naive majority-class baseline (0.6382). Investigating rather than just reporting it revealed a train/test regime-shift artifact — the classes are tertile-balanced on the training target (33/33/33 by construction), but the test period turned out measurably calmer (a 64/30/6 split under those same thresholds), so a classifier calibrated to expect a roughly even split over-predicts the classes it saw more often in training than the test period’s actual composition warrants; 52% of true-Low test points are misclassified as Moderate. Not adopted — but the diagnosis, not just the negative result, is the finding: Macro-F1 (which does not let a dominant class hide poor performance elsewhere) shows the LSTM did learn real signal (0.4210, well above majority-class’s 0.2597); it simply did not learn more than HAR-RV-X’s own forecast already captures.</w:t>
      </w:r>
    </w:p>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 log target)</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2" name="Picture"/>
            <a:graphic>
              <a:graphicData uri="http://schemas.openxmlformats.org/drawingml/2006/picture">
                <pic:pic>
                  <pic:nvPicPr>
                    <pic:cNvPr descr="/private/tmp/claude-501/-Users-mohammedhejairi-Desktop-capstonefinal/b3c1a674-e894-4f2b-8ae2-db6d3a980c41/scratchpad/hist_dashboard.png" id="53" name="Picture"/>
                    <pic:cNvPicPr>
                      <a:picLocks noChangeArrowheads="1" noChangeAspect="1"/>
                    </pic:cNvPicPr>
                  </pic:nvPicPr>
                  <pic:blipFill>
                    <a:blip r:embed="rId51"/>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log target), promoted from Robustness Checks (Sections 7.4.4-7.4.5) after validating on live data too, by a margin of 17.1%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5" name="Picture"/>
            <a:graphic>
              <a:graphicData uri="http://schemas.openxmlformats.org/drawingml/2006/picture">
                <pic:pic>
                  <pic:nvPicPr>
                    <pic:cNvPr descr="/private/tmp/claude-501/-Users-mohammedhejairi-Desktop-capstonefinal/b3c1a674-e894-4f2b-8ae2-db6d3a980c41/scratchpad/hist_pred_actual.png" id="56" name="Picture"/>
                    <pic:cNvPicPr>
                      <a:picLocks noChangeArrowheads="1" noChangeAspect="1"/>
                    </pic:cNvPicPr>
                  </pic:nvPicPr>
                  <pic:blipFill>
                    <a:blip r:embed="rId54"/>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7" w:name="X0ee4ffac0161f6f15c5862d43ca80d559de00cd"/>
    <w:p>
      <w:pPr>
        <w:pStyle w:val="Heading2"/>
      </w:pPr>
      <w:r>
        <w:t xml:space="preserve">8.1 Interpreting These Numbers: R², MAPE, and Why the Horizon Matters</w:t>
      </w:r>
    </w:p>
    <w:p>
      <w:pPr>
        <w:pStyle w:val="FirstParagraph"/>
      </w:pPr>
      <w:r>
        <w:t xml:space="preserve">Positive but modest R² values (0.18–0.24)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0.24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(0.18 vs. 0.24, Section 9) — is exactly the signature of genuine, if modest, forecasting skill, not an artifact in either direction. (A related question — whether some of that R² comes from evaluating on a compressed log scale rather than genuinely better forecasts — is tested directly in Section 7.4.5, using an external thesis’s much higher reported R² as the prompt; the answer there is no, the improvement survives even when strictly evaluated back on the original scale.)</w:t>
      </w:r>
      <w:r>
        <w:t xml:space="preserve"> (Whether that reported range would look different under this notebook’s own R² convention vs. the literature’s Mincer-Zarnowitz convention is examined directly in Section 7.6, Check 19.)</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(22.83% historical, 27.18% live) sits in a believable range for a genuinely hard financial forecasting problem — not spectacular, but real, and a meaningful improvement over the 1-hour-ahead version’s illusory near-zero error.</w:t>
      </w:r>
    </w:p>
    <w:bookmarkEnd w:id="57"/>
    <w:bookmarkEnd w:id="58"/>
    <w:bookmarkStart w:id="65"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60" name="Picture"/>
            <a:graphic>
              <a:graphicData uri="http://schemas.openxmlformats.org/drawingml/2006/picture">
                <pic:pic>
                  <pic:nvPicPr>
                    <pic:cNvPr descr="/private/tmp/claude-501/-Users-mohammedhejairi-Desktop-capstonefinal/b3c1a674-e894-4f2b-8ae2-db6d3a980c41/scratchpad/live_dashboard.png" id="61" name="Picture"/>
                    <pic:cNvPicPr>
                      <a:picLocks noChangeArrowheads="1" noChangeAspect="1"/>
                    </pic:cNvPicPr>
                  </pic:nvPicPr>
                  <pic:blipFill>
                    <a:blip r:embed="rId5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log target), the strongest model on genuinely unseen data by every metric.</w:t>
      </w:r>
    </w:p>
    <w:p>
      <w:pPr>
        <w:pStyle w:val="BodyText"/>
      </w:pPr>
      <w:r>
        <w:t xml:space="preserve">HAR-RV-X - Final (+ EWMA_X + SKEW_X, log target) wins outright on live data (RMSE 0.001406, R2 0.1779, MAPE 27.18%) - the version promoted after Sections 7.4.4-7.4.5’s robustness checks validated both the extra regressors and a genuine log(target) transform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3" name="Picture"/>
            <a:graphic>
              <a:graphicData uri="http://schemas.openxmlformats.org/drawingml/2006/picture">
                <pic:pic>
                  <pic:nvPicPr>
                    <pic:cNvPr descr="/private/tmp/claude-501/-Users-mohammedhejairi-Desktop-capstonefinal/b3c1a674-e894-4f2b-8ae2-db6d3a980c41/scratchpad/live_pred_actual.png" id="64" name="Picture"/>
                    <pic:cNvPicPr>
                      <a:picLocks noChangeArrowheads="1" noChangeAspect="1"/>
                    </pic:cNvPicPr>
                  </pic:nvPicPr>
                  <pic:blipFill>
                    <a:blip r:embed="rId6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5"/>
    <w:bookmarkStart w:id="68"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one of two checks, out of sixteen, that survived validation rather than being rejected,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6"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6"/>
    <w:bookmarkStart w:id="67"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w:t>
            </w:r>
          </w:p>
        </w:tc>
        <w:tc>
          <w:tcPr/>
          <w:p>
            <w:pPr>
              <w:pStyle w:val="Compact"/>
            </w:pPr>
            <w:r>
              <w:t xml:space="preserve">5-minute</w:t>
            </w:r>
          </w:p>
        </w:tc>
        <w:tc>
          <w:tcPr/>
          <w:p>
            <w:pPr>
              <w:pStyle w:val="Compact"/>
            </w:pPr>
            <w:r>
              <w:t xml:space="preserve">0.019105</w:t>
            </w:r>
          </w:p>
        </w:tc>
        <w:tc>
          <w:tcPr/>
          <w:p>
            <w:pPr>
              <w:pStyle w:val="Compact"/>
            </w:pPr>
            <w:r>
              <w:t xml:space="preserve">0.014642</w:t>
            </w:r>
          </w:p>
        </w:tc>
        <w:tc>
          <w:tcPr/>
          <w:p>
            <w:pPr>
              <w:pStyle w:val="Compact"/>
            </w:pPr>
            <w:r>
              <w:t xml:space="preserve">0.1508</w:t>
            </w:r>
          </w:p>
        </w:tc>
        <w:tc>
          <w:tcPr/>
          <w:p>
            <w:pPr>
              <w:pStyle w:val="Compact"/>
            </w:pPr>
            <w:r>
              <w:t xml:space="preserve">23.84%</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HAR-RV-X</w:t>
            </w:r>
          </w:p>
        </w:tc>
        <w:tc>
          <w:tcPr/>
          <w:p>
            <w:pPr>
              <w:pStyle w:val="Compact"/>
            </w:pPr>
            <w:r>
              <w:t xml:space="preserve">5-minute</w:t>
            </w:r>
          </w:p>
        </w:tc>
        <w:tc>
          <w:tcPr/>
          <w:p>
            <w:pPr>
              <w:pStyle w:val="Compact"/>
            </w:pPr>
            <w:r>
              <w:t xml:space="preserve">0.018645</w:t>
            </w:r>
          </w:p>
        </w:tc>
        <w:tc>
          <w:tcPr/>
          <w:p>
            <w:pPr>
              <w:pStyle w:val="Compact"/>
            </w:pPr>
            <w:r>
              <w:t xml:space="preserve">0.014949</w:t>
            </w:r>
          </w:p>
        </w:tc>
        <w:tc>
          <w:tcPr/>
          <w:p>
            <w:pPr>
              <w:pStyle w:val="Compact"/>
            </w:pPr>
            <w:r>
              <w:t xml:space="preserve">0.2401</w:t>
            </w:r>
          </w:p>
        </w:tc>
        <w:tc>
          <w:tcPr/>
          <w:p>
            <w:pPr>
              <w:pStyle w:val="Compact"/>
            </w:pPr>
            <w:r>
              <w:t xml:space="preserve">26.11%</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though the comparison has shifted since HAR-RV-X’s own hourly baseline picked up a further improvement the 5-minute companion pipeline has not (yet): a genuine log(target) transform (Sections 7.4.4-7.4.5) that stacks with the EWMA_X + SKEW_X regressors both resolutions already share. Tested at 5-minute resolution too, that same transform looked promising historically but reversed on live data there - the opposite of what happened at hourly resolution - so it was correctly rejected and left out of the 5-minute pipeline’s own kept model (Section 12.1). With that asymmetry in mind: HAR-RV-X’s live R² goes from 0.1779 to 0.2401 (about 1.3x, down from roughly 2x before the hourly side’s transform was added), while EWMA’s improves far more, from 0.013 to 0.147 (about 11x). The historical split now inverts entirely: HAR-RV-X’s hourly result (0.2419) actually exceeds its own 5-minute result (0.1508), whereas before the log-transform promotion hourly trailed 5-minute on this split too. This is not evidence against the resolution hypothesis - the 5-minute measurement is still less noisy by construction - it’s evidence that a modeling improvement found at one resolution does not automatically transfer to another, and needs the same live-validation discipline applied separately each time.</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7"/>
    <w:bookmarkEnd w:id="68"/>
    <w:bookmarkStart w:id="71"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plus a genuine log(target) transform, all three validated by dedicated robustness checks and shown to stack rather than duplicate each other’s gains - is a genuinely working model: R-squared of 0.2419 historically and 0.1779 on live, never-before-seen data, beating naive persistence by 17.1%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a naive log1p(x) transform of the target was nearly a no-op, since volatility_7d’s values are all small enough that log1p(x) is approximately x;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though a preprocessing fix - dropping non-stationary raw price/volume levels from that same 54-feature set - meaningfully improved both without closing the gap. Three modifications did help, and are the exception to all of the above: adding EWMA’s own tuned sigma and realized skewness as two further HAR-RV-X regressors (R-squared 0.1840 to 0.1992 historically, 0.0610 to 0.1217 live); a genuine log(x) transform of the target, prompted by an external thesis reporting much higher R-squared from modeling log realized variance, and confirmed here to be a real effect rather than a scale artifact of evaluating in log-space (R-squared 0.1840 to 0.2342 historically, 0.0610 to 0.1439 live, always evaluated after back-transforming to the original scale); and the discovery that the two combine rather than duplicate each other’s gains (R-squared 0.1840 to 0.2419 historically, 0.0610 to 0.1779 live) - unlike an earlier, initially-promising result (winsorizing extreme returns in the regressors) that reversed once corrected and re-tested on live data. This final combination is the version now reported as HAR-RV-X throughout this document.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three more validated improvements were combined and promoted - a genuinely working, and now meaningfully more accurate, honestly-validated forecasting model emerged, which is a more useful capstone result than an artificially perfect one would have been.</w:t>
      </w:r>
    </w:p>
    <w:bookmarkStart w:id="69" w:name="X0b43c62fd49ddc73138c73255c93c0c5b6ea879"/>
    <w:p>
      <w:pPr>
        <w:pStyle w:val="Heading2"/>
      </w:pPr>
      <w:r>
        <w:t xml:space="preserve">11.1 Worked Example: Position Sizing and Value-at-Risk</w:t>
      </w:r>
    </w:p>
    <w:p>
      <w:pPr>
        <w:pStyle w:val="FirstParagraph"/>
      </w:pPr>
      <w:r>
        <w:t xml:space="preserve">Section 1.3 named risk management as a direct use case for this model. Here is what that looks like in practice, using the model’s real, most recent forecast rather than a made-up number.</w:t>
      </w:r>
    </w:p>
    <w:p>
      <w:pPr>
        <w:pStyle w:val="BodyText"/>
      </w:pPr>
      <w:r>
        <w:t xml:space="preserve">On 2026-08-25, the model predicted that BTC’s typical hourly price swing over the coming week would be about 0.47%. Scaled up to cover a full 7-day holding period, that works out to an expected price move of roughly</w:t>
      </w:r>
      <w:r>
        <w:t xml:space="preserve"> </w:t>
      </w:r>
      <w:r>
        <w:rPr>
          <w:b/>
          <w:bCs/>
        </w:rPr>
        <w:t xml:space="preserve">6% over the week</w:t>
      </w:r>
      <w:r>
        <w:t xml:space="preserve">.</w:t>
      </w:r>
    </w:p>
    <w:p>
      <w:pPr>
        <w:pStyle w:val="BodyText"/>
      </w:pPr>
      <w:r>
        <w:rPr>
          <w:b/>
          <w:bCs/>
        </w:rPr>
        <w:t xml:space="preserve">Sizing a position.</w:t>
      </w:r>
      <w:r>
        <w:t xml:space="preserve"> </w:t>
      </w:r>
      <w:r>
        <w:t xml:space="preserve">Suppose a trading desk wants to risk no more than $50,000 on a 7-day Bitcoin trade. If the model expects the price to move about 6% in a typical week, the desk can work backward to a position size: risking $50,000 on a trade expected to move 6% points to a position worth about</w:t>
      </w:r>
      <w:r>
        <w:t xml:space="preserve"> </w:t>
      </w:r>
      <w:r>
        <w:rPr>
          <w:b/>
          <w:bCs/>
        </w:rPr>
        <w:t xml:space="preserve">$823,000</w:t>
      </w:r>
      <w:r>
        <w:t xml:space="preserve">. The higher the forecasted volatility, the smaller the position this points to — that is the core idea behind volatility-based position sizing. The model does not say which way the price will go, only how big a bet to make so the risk stays roughly consistent whether the market is calm or wild.</w:t>
      </w:r>
    </w:p>
    <w:p>
      <w:pPr>
        <w:pStyle w:val="BodyText"/>
      </w:pPr>
      <w:r>
        <w:rPr>
          <w:b/>
          <w:bCs/>
        </w:rPr>
        <w:t xml:space="preserve">Estimating potential losses.</w:t>
      </w:r>
      <w:r>
        <w:t xml:space="preserve"> </w:t>
      </w:r>
      <w:r>
        <w:t xml:space="preserve">Once the position size is set, the same forecast turns into a plain risk statement: on an $823,000 position with an expected 6% weekly swing, there is roughly a 5% chance of losing more than about</w:t>
      </w:r>
      <w:r>
        <w:t xml:space="preserve"> </w:t>
      </w:r>
      <w:r>
        <w:rPr>
          <w:b/>
          <w:bCs/>
        </w:rPr>
        <w:t xml:space="preserve">$82,000</w:t>
      </w:r>
      <w:r>
        <w:t xml:space="preserve"> </w:t>
      </w:r>
      <w:r>
        <w:t xml:space="preserve">over the week. That is the kind of number that goes directly into a risk report.</w:t>
      </w:r>
    </w:p>
    <w:p>
      <w:pPr>
        <w:pStyle w:val="BodyText"/>
      </w:pPr>
      <w:r>
        <w:rPr>
          <w:b/>
          <w:bCs/>
        </w:rPr>
        <w:t xml:space="preserve">A trading idea.</w:t>
      </w:r>
      <w:r>
        <w:t xml:space="preserve"> </w:t>
      </w:r>
      <w:r>
        <w:t xml:space="preserve">Because this model forecasts how much BTC will actually move, it can be compared against how much the options market currently thinks BTC will move. If the options market is pricing in much more movement than the model expects, that is a signal those options may be overpriced — worth investigating further before trading.</w:t>
      </w:r>
    </w:p>
    <w:p>
      <w:pPr>
        <w:pStyle w:val="BodyText"/>
      </w:pPr>
      <w:r>
        <w:rPr>
          <w:b/>
          <w:bCs/>
        </w:rPr>
        <w:t xml:space="preserve">Why this is a helpful input, not the final answer.</w:t>
      </w:r>
      <w:r>
        <w:t xml:space="preserve"> </w:t>
      </w:r>
      <w:r>
        <w:t xml:space="preserve">The model gets it right often enough to be useful — it explains roughly 18% of the real ups and downs in volatility — but that also means most of it goes unexplained. Forecast errors of around a quarter of the predicted value are common, so the $82,000 risk estimate above could easily turn out to be $60,000 or $110,000 in reality. The model also only looks at past price data — it has no way to know about a surprise news event, an exchange collapse, or new regulation, which are often exactly the things that cause the biggest price swings. A more traditional volatility model (GARCH) was tested in this project and performed far worse over this same time horizon, so this model is a genuine improvement — but a real trading desk would still treat it as one input among several, not the whole risk picture.</w:t>
      </w:r>
    </w:p>
    <w:bookmarkEnd w:id="69"/>
    <w:bookmarkStart w:id="70" w:name="X6def088e5ea72286a89d62509b3db98cc6422fc"/>
    <w:p>
      <w:pPr>
        <w:pStyle w:val="Heading2"/>
      </w:pPr>
      <w:r>
        <w:t xml:space="preserve">11.2 Worked Example: Options Pricing and Volatility Trading Ideas</w:t>
      </w:r>
    </w:p>
    <w:p>
      <w:pPr>
        <w:pStyle w:val="FirstParagraph"/>
      </w:pPr>
      <w:r>
        <w:t xml:space="preserve">Options prices depend heavily on how much the underlying asset is expected to move — the volatility input Section 1.3 mentioned. But there is an important distinction: when an option is already actively traded, its price already reflects the market’s own built-in guess about future volatility. A trader does not usually override that market guess with their own model - instead, they compare their own forecast to the market’s guess and look for cases where the two disagree.</w:t>
      </w:r>
    </w:p>
    <w:p>
      <w:pPr>
        <w:pStyle w:val="BodyText"/>
      </w:pPr>
      <w:r>
        <w:t xml:space="preserve">This model’s forecast is useful in two situations. First, when there is no active market to reference at all - a custom or one-off options contract, for example - someone still has to estimate future volatility to arrive at a fair price, and a real forecasting model is a better starting point than simply assuming the future will look like the recent past. Second, even when an active options market exists, the model’s forecast can be compared against the market’s own pricing to spot options that look too expensive or too cheap.</w:t>
      </w:r>
    </w:p>
    <w:p>
      <w:pPr>
        <w:pStyle w:val="BodyText"/>
      </w:pPr>
      <w:r>
        <w:rPr>
          <w:b/>
          <w:bCs/>
        </w:rPr>
        <w:t xml:space="preserve">A concrete example.</w:t>
      </w:r>
      <w:r>
        <w:t xml:space="preserve"> </w:t>
      </w:r>
      <w:r>
        <w:t xml:space="preserve">Using the model’s real forecast from 2026-08-25 and BTC’s most recent recorded price of about $87,650: the model’s short-term volatility forecast, converted into the kind of yearly volatility figure options pricing normally uses, comes out to about</w:t>
      </w:r>
      <w:r>
        <w:t xml:space="preserve"> </w:t>
      </w:r>
      <w:r>
        <w:rPr>
          <w:b/>
          <w:bCs/>
        </w:rPr>
        <w:t xml:space="preserve">44%</w:t>
      </w:r>
      <w:r>
        <w:t xml:space="preserve">.</w:t>
      </w:r>
    </w:p>
    <w:p>
      <w:pPr>
        <w:pStyle w:val="BodyText"/>
      </w:pPr>
      <w:r>
        <w:t xml:space="preserve">Pricing a hypothetical 7-day BTC option using that 44% figure gives a fair value of about</w:t>
      </w:r>
      <w:r>
        <w:t xml:space="preserve"> </w:t>
      </w:r>
      <w:r>
        <w:rPr>
          <w:b/>
          <w:bCs/>
        </w:rPr>
        <w:t xml:space="preserve">$1,177</w:t>
      </w:r>
      <w:r>
        <w:t xml:space="preserve">. If the options market were instead pricing that same option using a volatility assumption of 50%, the market price would come out closer to</w:t>
      </w:r>
      <w:r>
        <w:t xml:space="preserve"> </w:t>
      </w:r>
      <w:r>
        <w:rPr>
          <w:b/>
          <w:bCs/>
        </w:rPr>
        <w:t xml:space="preserve">$1,454</w:t>
      </w:r>
      <w:r>
        <w:t xml:space="preserve"> </w:t>
      </w:r>
      <w:r>
        <w:t xml:space="preserve">- about $280 more expensive than what the model suggests is fair. If the market were pricing it using a lower volatility assumption of 35% instead, the price would be closer to</w:t>
      </w:r>
      <w:r>
        <w:t xml:space="preserve"> </w:t>
      </w:r>
      <w:r>
        <w:rPr>
          <w:b/>
          <w:bCs/>
        </w:rPr>
        <w:t xml:space="preserve">$792</w:t>
      </w:r>
      <w:r>
        <w:t xml:space="preserve"> </w:t>
      </w:r>
      <w:r>
        <w:t xml:space="preserve">- about $385 cheaper.</w:t>
      </w:r>
    </w:p>
    <w:p>
      <w:pPr>
        <w:pStyle w:val="BodyText"/>
      </w:pPr>
      <w:r>
        <w:t xml:space="preserve">The trading idea here is not</w:t>
      </w:r>
      <w:r>
        <w:t xml:space="preserve"> </w:t>
      </w:r>
      <w:r>
        <w:t xml:space="preserve">“use the model’s price instead of the market’s”</w:t>
      </w:r>
      <w:r>
        <w:t xml:space="preserve"> </w:t>
      </w:r>
      <w:r>
        <w:t xml:space="preserve">- it is</w:t>
      </w:r>
      <w:r>
        <w:t xml:space="preserve"> </w:t>
      </w:r>
      <w:r>
        <w:t xml:space="preserve">“if the market looks like the more expensive scenario, the option may be overpriced relative to what this model expects to happen, which could be worth selling; if it looks like the cheaper scenario, it may be underpriced, which could be worth buying.”</w:t>
      </w:r>
      <w:r>
        <w:t xml:space="preserve"> </w:t>
      </w:r>
      <w:r>
        <w:t xml:space="preserve">As with the risk example above, the model is only right often enough to be a useful signal, not a guarantee - so an idea like this would be sized carefully and combined with other information, never acted on by itself.</w:t>
      </w:r>
    </w:p>
    <w:bookmarkEnd w:id="70"/>
    <w:bookmarkEnd w:id="71"/>
    <w:bookmarkStart w:id="74" w:name="limitations-and-future-work"/>
    <w:p>
      <w:pPr>
        <w:pStyle w:val="Heading1"/>
      </w:pPr>
      <w:r>
        <w:t xml:space="preserve">12. Limitations and Future Work</w:t>
      </w:r>
    </w:p>
    <w:bookmarkStart w:id="72"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0.1779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Three further robustness checks,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(Section 7.4.4). A genuine</w:t>
      </w:r>
      <w:r>
        <w:t xml:space="preserve"> </w:t>
      </w:r>
      <w:r>
        <w:rPr>
          <w:rStyle w:val="VerbatimChar"/>
        </w:rPr>
        <w:t xml:space="preserve">log(x)</w:t>
      </w:r>
      <w:r>
        <w:t xml:space="preserve"> </w:t>
      </w:r>
      <w:r>
        <w:t xml:space="preserve">transform of the target — prompted by an external thesis reporting much higher R² from modeling</w:t>
      </w:r>
      <w:r>
        <w:t xml:space="preserve"> </w:t>
      </w:r>
      <w:r>
        <w:rPr>
          <w:rStyle w:val="VerbatimChar"/>
        </w:rPr>
        <w:t xml:space="preserve">ln(RV)</w:t>
      </w:r>
      <w:r>
        <w:t xml:space="preserve">, and confirmed here to be a real effect rather than a scale artifact by always evaluating back-transformed to the original scale — improved R² further still (0.184 → 0.234 historically, 0.061 → 0.144 live), and was found to combine with the two extra regressors rather than duplicate their gain (0.184 → 0.242 historically, 0.061 → 0.178 live) — the best result anywhere in this project, and the version now kept (Section 7.4.5). Automated feature selection (ElasticNet over the full 54-feature set), three alternative realized-volatility estimators (Parkinson, Garman-Klass, Rogers-Satchell), and dropping non-stationary raw price/volume levels from the 54-feature set (a real, if partial, improvement to the two rejected checks above it) were also tested and did not beat HAR-RV-X (Section 7.6).</w:t>
      </w:r>
    </w:p>
    <w:p>
      <w:pPr>
        <w:pStyle w:val="Compact"/>
        <w:numPr>
          <w:ilvl w:val="0"/>
          <w:numId w:val="1003"/>
        </w:numPr>
      </w:pPr>
      <w:r>
        <w:t xml:space="preserve">The same</w:t>
      </w:r>
      <w:r>
        <w:t xml:space="preserve"> </w:t>
      </w:r>
      <w:r>
        <w:rPr>
          <w:rStyle w:val="VerbatimChar"/>
        </w:rPr>
        <w:t xml:space="preserve">log(target)</w:t>
      </w:r>
      <w:r>
        <w:t xml:space="preserve"> </w:t>
      </w:r>
      <w:r>
        <w:t xml:space="preserve">transform was ported to the 5-minute companion pipeline (Section 10) to see whether it held at that resolution too. It looked promising on the historical split there as well (R² 0.151 → 0.201) but</w:t>
      </w:r>
      <w:r>
        <w:t xml:space="preserve"> </w:t>
      </w:r>
      <w:r>
        <w:rPr>
          <w:i/>
          <w:iCs/>
        </w:rPr>
        <w:t xml:space="preserve">reversed</w:t>
      </w:r>
      <w:r>
        <w:t xml:space="preserve"> </w:t>
      </w:r>
      <w:r>
        <w:t xml:space="preserve">on live data (R² 0.240 → 0.219) — the opposite of what happened at hourly resolution. It was correctly rejected and left out of that pipeline’s own kept model, which remains the 6-regressor, raw-target version. This is a direct, concrete illustration of why every promotion in this project is validated on live data separately, rather than assumed to transfer once found to work anywhere.</w:t>
      </w:r>
    </w:p>
    <w:p>
      <w:pPr>
        <w:pStyle w:val="Compact"/>
        <w:numPr>
          <w:ilvl w:val="0"/>
          <w:numId w:val="1003"/>
        </w:numPr>
      </w:pPr>
      <w:r>
        <w:t xml:space="preserve">Two preprocessing-stage checks, distinct from every feature/model check above. Dropping 9 non-stationary raw price/volume-level columns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from the 54-feature matrix meaningfully improved both XGBoost (R² −0.19 → 0.01) and ElasticNet (R² −0.21 → −0.03), without beating HAR-RV-X — confirming those levels were diluting the signal, just not enough to close the gap (Section 7.6). Separately,</w:t>
      </w:r>
      <w:r>
        <w:t xml:space="preserve"> </w:t>
      </w:r>
      <w:r>
        <w:rPr>
          <w:rStyle w:val="VerbatimChar"/>
        </w:rPr>
        <w:t xml:space="preserve">volatility_7d</w:t>
      </w:r>
      <w:r>
        <w:t xml:space="preserve">’s row-count rolling window (rather than a time-aware one) does distort results substantially near the 28 known timestamp gaps (up to 83.6% relative difference on affected rows) — but every affected row falls in 2017–2021 training-only history, with zero inside the held-out test window, so it changes nothing this report reports (Section 7.6).</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72"/>
    <w:bookmarkStart w:id="73"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3"/>
    <w:bookmarkEnd w:id="74"/>
    <w:bookmarkStart w:id="75"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5"/>
    <w:bookmarkStart w:id="82" w:name="X3a1c5ea00ba3cf55bd607c6a3e92bea18af39c0"/>
    <w:p>
      <w:pPr>
        <w:pStyle w:val="Heading1"/>
      </w:pPr>
      <w:r>
        <w:t xml:space="preserve">Appendix: Presentation Slides for Sections 11.1–11.2</w:t>
      </w:r>
    </w:p>
    <w:p>
      <w:pPr>
        <w:pStyle w:val="FirstParagraph"/>
      </w:pPr>
      <w:r>
        <w:t xml:space="preserve">The two worked examples in Section 11 were also built as standalone presentation slides, reproduced here exactly as delivered (</w:t>
      </w:r>
      <w:r>
        <w:rPr>
          <w:rStyle w:val="VerbatimChar"/>
        </w:rPr>
        <w:t xml:space="preserve">presentation/capstone-btc-volatility.pptx</w:t>
      </w:r>
      <w:r>
        <w:t xml:space="preserve">, slides 15–16).</w:t>
      </w:r>
    </w:p>
    <w:p>
      <w:pPr>
        <w:pStyle w:val="CaptionedFigure"/>
      </w:pPr>
      <w:r>
        <w:drawing>
          <wp:inline>
            <wp:extent cx="5334000" cy="2998875"/>
            <wp:effectExtent b="0" l="0" r="0" t="0"/>
            <wp:docPr descr="Presentation slide accompanying Section 11.1 — Worked Example: Position Sizing and Value-at-Risk." title="" id="77" name="Picture"/>
            <a:graphic>
              <a:graphicData uri="http://schemas.openxmlformats.org/drawingml/2006/picture">
                <pic:pic>
                  <pic:nvPicPr>
                    <pic:cNvPr descr="/private/tmp/claude-501/-Users-mohammedhejairi-Desktop-capstonefinal/b3c1a674-e894-4f2b-8ae2-db6d3a980c41/scratchpad/appendix_slide_var.jpg" id="78" name="Picture"/>
                    <pic:cNvPicPr>
                      <a:picLocks noChangeArrowheads="1" noChangeAspect="1"/>
                    </pic:cNvPicPr>
                  </pic:nvPicPr>
                  <pic:blipFill>
                    <a:blip r:embed="rId76"/>
                    <a:stretch>
                      <a:fillRect/>
                    </a:stretch>
                  </pic:blipFill>
                  <pic:spPr bwMode="auto">
                    <a:xfrm>
                      <a:off x="0" y="0"/>
                      <a:ext cx="5334000" cy="2998875"/>
                    </a:xfrm>
                    <a:prstGeom prst="rect">
                      <a:avLst/>
                    </a:prstGeom>
                    <a:noFill/>
                    <a:ln w="9525">
                      <a:noFill/>
                      <a:headEnd/>
                      <a:tailEnd/>
                    </a:ln>
                  </pic:spPr>
                </pic:pic>
              </a:graphicData>
            </a:graphic>
          </wp:inline>
        </w:drawing>
      </w:r>
    </w:p>
    <w:p>
      <w:pPr>
        <w:pStyle w:val="ImageCaption"/>
      </w:pPr>
      <w:r>
        <w:t xml:space="preserve">Presentation slide accompanying Section 11.1 — Worked Example: Position Sizing and Value-at-Risk.</w:t>
      </w:r>
    </w:p>
    <w:p>
      <w:pPr>
        <w:pStyle w:val="CaptionedFigure"/>
      </w:pPr>
      <w:r>
        <w:drawing>
          <wp:inline>
            <wp:extent cx="5334000" cy="2998875"/>
            <wp:effectExtent b="0" l="0" r="0" t="0"/>
            <wp:docPr descr="Presentation slide accompanying Section 11.2 — Worked Example: Options Pricing and Volatility Trading Ideas." title="" id="80" name="Picture"/>
            <a:graphic>
              <a:graphicData uri="http://schemas.openxmlformats.org/drawingml/2006/picture">
                <pic:pic>
                  <pic:nvPicPr>
                    <pic:cNvPr descr="/private/tmp/claude-501/-Users-mohammedhejairi-Desktop-capstonefinal/b3c1a674-e894-4f2b-8ae2-db6d3a980c41/scratchpad/appendix_slide_options.jpg" id="81" name="Picture"/>
                    <pic:cNvPicPr>
                      <a:picLocks noChangeArrowheads="1" noChangeAspect="1"/>
                    </pic:cNvPicPr>
                  </pic:nvPicPr>
                  <pic:blipFill>
                    <a:blip r:embed="rId79"/>
                    <a:stretch>
                      <a:fillRect/>
                    </a:stretch>
                  </pic:blipFill>
                  <pic:spPr bwMode="auto">
                    <a:xfrm>
                      <a:off x="0" y="0"/>
                      <a:ext cx="5334000" cy="2998875"/>
                    </a:xfrm>
                    <a:prstGeom prst="rect">
                      <a:avLst/>
                    </a:prstGeom>
                    <a:noFill/>
                    <a:ln w="9525">
                      <a:noFill/>
                      <a:headEnd/>
                      <a:tailEnd/>
                    </a:ln>
                  </pic:spPr>
                </pic:pic>
              </a:graphicData>
            </a:graphic>
          </wp:inline>
        </w:drawing>
      </w:r>
    </w:p>
    <w:p>
      <w:pPr>
        <w:pStyle w:val="ImageCaption"/>
      </w:pPr>
      <w:r>
        <w:t xml:space="preserve">Presentation slide accompanying Section 11.2 — Worked Example: Options Pricing and Volatility Trading Ideas.</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6" Type="http://schemas.openxmlformats.org/officeDocument/2006/relationships/image" Target="media/rId76.jpg"/><Relationship Id="rId51" Type="http://schemas.openxmlformats.org/officeDocument/2006/relationships/image" Target="media/rId51.png"/><Relationship Id="rId54" Type="http://schemas.openxmlformats.org/officeDocument/2006/relationships/image" Target="media/rId54.png"/><Relationship Id="rId59" Type="http://schemas.openxmlformats.org/officeDocument/2006/relationships/image" Target="media/rId59.png"/><Relationship Id="rId62" Type="http://schemas.openxmlformats.org/officeDocument/2006/relationships/image" Target="media/rId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2026-08-29T19:55:32Z</dcterms:created>
  <dcterms:modified xsi:type="dcterms:W3CDTF">2026-08-29T19:55:32Z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