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0"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Value-at-Risk and position sizing as downstream use cases in the abstract. This section makes that concrete, using the model’s own most recent live forecast rather than a hypothetical number: on 2026-08-25, HAR-RV-X’s kept model forecast</w:t>
      </w:r>
      <w:r>
        <w:t xml:space="preserve"> </w:t>
      </w:r>
      <w:r>
        <w:rPr>
          <w:rStyle w:val="VerbatimChar"/>
        </w:rPr>
        <w:t xml:space="preserve">volatility_7d = 0.004685</w:t>
      </w:r>
      <w:r>
        <w:t xml:space="preserve"> </w:t>
      </w:r>
      <w:r>
        <w:t xml:space="preserve">— a predicted standard deviation of</w:t>
      </w:r>
      <w:r>
        <w:t xml:space="preserve"> </w:t>
      </w:r>
      <w:r>
        <w:rPr>
          <w:i/>
          <w:iCs/>
        </w:rPr>
        <w:t xml:space="preserve">hourly</w:t>
      </w:r>
      <w:r>
        <w:t xml:space="preserve"> </w:t>
      </w:r>
      <w:r>
        <w:t xml:space="preserve">returns over the coming 7 days.</w:t>
      </w:r>
    </w:p>
    <w:p>
      <w:pPr>
        <w:pStyle w:val="BodyText"/>
      </w:pPr>
      <w:r>
        <w:rPr>
          <w:b/>
          <w:bCs/>
        </w:rPr>
        <w:t xml:space="preserve">Step 1 — scale to the trade’s horizon.</w:t>
      </w:r>
      <w:r>
        <w:t xml:space="preserve"> </w:t>
      </w:r>
      <w:r>
        <w:t xml:space="preserve">A 7-day directional position needs 7-day σ, not hourly σ. Scaling by √time (treating hourly returns as approximately independent over the window):</w:t>
      </w:r>
    </w:p>
    <w:p>
      <w:pPr>
        <w:pStyle w:val="BodyText"/>
      </w:pPr>
      <m:oMathPara>
        <m:oMathParaPr>
          <m:jc m:val="center"/>
        </m:oMathParaPr>
        <m:oMath>
          <m:sSub>
            <m:e>
              <m:r>
                <m:t>σ</m:t>
              </m:r>
            </m:e>
            <m:sub>
              <m:r>
                <m:t>7</m:t>
              </m:r>
              <m:r>
                <m:t>d</m:t>
              </m:r>
            </m:sub>
          </m:sSub>
          <m:r>
            <m:rPr>
              <m:sty m:val="p"/>
            </m:rPr>
            <m:t>=</m:t>
          </m:r>
          <m:r>
            <m:t>0.004685</m:t>
          </m:r>
          <m:r>
            <m:rPr>
              <m:sty m:val="p"/>
            </m:rPr>
            <m:t>×</m:t>
          </m:r>
          <m:rad>
            <m:radPr>
              <m:degHide m:val="on"/>
            </m:radPr>
            <m:deg/>
            <m:e>
              <m:r>
                <m:t>168</m:t>
              </m:r>
            </m:e>
          </m:rad>
          <m:r>
            <m:rPr>
              <m:sty m:val="p"/>
            </m:rPr>
            <m:t>≈</m:t>
          </m:r>
          <m:r>
            <m:t>6.07</m:t>
          </m:r>
          <m:r>
            <m:rPr>
              <m:sty m:val="p"/>
            </m:rPr>
            <m:t>%</m:t>
          </m:r>
        </m:oMath>
      </m:oMathPara>
    </w:p>
    <w:p>
      <w:pPr>
        <w:pStyle w:val="FirstParagraph"/>
      </w:pPr>
      <w:r>
        <w:rPr>
          <w:b/>
          <w:bCs/>
        </w:rPr>
        <w:t xml:space="preserve">Step 2 — size the position off a risk budget, not a price target.</w:t>
      </w:r>
      <w:r>
        <w:t xml:space="preserve"> </w:t>
      </w:r>
      <w:r>
        <w:t xml:space="preserve">Suppose a desk is willing to risk $50,000 (one standard deviation) on a 7-day BTC position:</w:t>
      </w:r>
    </w:p>
    <w:p>
      <w:pPr>
        <w:pStyle w:val="BodyText"/>
      </w:pPr>
      <m:oMathPara>
        <m:oMathParaPr>
          <m:jc m:val="center"/>
        </m:oMathParaPr>
        <m:oMath>
          <m:r>
            <m:rPr>
              <m:nor/>
              <m:sty m:val="p"/>
            </m:rPr>
            <m:t>Notional</m:t>
          </m:r>
          <m:r>
            <m:rPr>
              <m:sty m:val="p"/>
            </m:rPr>
            <m:t>=</m:t>
          </m:r>
          <m:f>
            <m:fPr>
              <m:type m:val="bar"/>
            </m:fPr>
            <m:num>
              <m:r>
                <m:rPr>
                  <m:sty m:val="p"/>
                </m:rPr>
                <m:t>$</m:t>
              </m:r>
              <m:r>
                <m:t>50</m:t>
              </m:r>
              <m:r>
                <m:rPr>
                  <m:sty m:val="p"/>
                </m:rPr>
                <m:t>,</m:t>
              </m:r>
              <m:r>
                <m:t>000</m:t>
              </m:r>
            </m:num>
            <m:den>
              <m:r>
                <m:t>0.0607</m:t>
              </m:r>
            </m:den>
          </m:f>
          <m:r>
            <m:rPr>
              <m:sty m:val="p"/>
            </m:rPr>
            <m:t>≈</m:t>
          </m:r>
          <m:r>
            <m:rPr>
              <m:sty m:val="p"/>
            </m:rPr>
            <m:t>$</m:t>
          </m:r>
          <m:r>
            <m:t>823</m:t>
          </m:r>
          <m:r>
            <m:rPr>
              <m:sty m:val="p"/>
            </m:rPr>
            <m:t>,</m:t>
          </m:r>
          <m:r>
            <m:t>000</m:t>
          </m:r>
        </m:oMath>
      </m:oMathPara>
    </w:p>
    <w:p>
      <w:pPr>
        <w:pStyle w:val="FirstParagraph"/>
      </w:pPr>
      <w:r>
        <w:t xml:space="preserve">A larger forecasted σ shrinks the position automatically — this is the actual mechanism behind volatility targeting: the model doesn’t predict direction, it sizes exposure so realized risk stays roughly constant regardless of how turbulent the market currently is.</w:t>
      </w:r>
    </w:p>
    <w:p>
      <w:pPr>
        <w:pStyle w:val="BodyText"/>
      </w:pPr>
      <w:r>
        <w:rPr>
          <w:b/>
          <w:bCs/>
        </w:rPr>
        <w:t xml:space="preserve">Step 3 — turn that into a VaR figure.</w:t>
      </w:r>
      <w:r>
        <w:t xml:space="preserve"> </w:t>
      </w:r>
      <w:r>
        <w:t xml:space="preserve">95% one-week Value-at-Risk on the resulting position:</w:t>
      </w:r>
    </w:p>
    <w:p>
      <w:pPr>
        <w:pStyle w:val="BodyText"/>
      </w:pPr>
      <m:oMathPara>
        <m:oMathParaPr>
          <m:jc m:val="center"/>
        </m:oMathParaPr>
        <m:oMath>
          <m:r>
            <m:t>V</m:t>
          </m:r>
          <m:r>
            <m:t>a</m:t>
          </m:r>
          <m:sSub>
            <m:e>
              <m:r>
                <m:t>R</m:t>
              </m:r>
            </m:e>
            <m:sub>
              <m:r>
                <m:t>95</m:t>
              </m:r>
            </m:sub>
          </m:sSub>
          <m:r>
            <m:rPr>
              <m:sty m:val="p"/>
            </m:rPr>
            <m:t>=</m:t>
          </m:r>
          <m:r>
            <m:rPr>
              <m:sty m:val="p"/>
            </m:rPr>
            <m:t>$</m:t>
          </m:r>
          <m:r>
            <m:t>823</m:t>
          </m:r>
          <m:r>
            <m:rPr>
              <m:sty m:val="p"/>
            </m:rPr>
            <m:t>,</m:t>
          </m:r>
          <m:r>
            <m:t>000</m:t>
          </m:r>
          <m:r>
            <m:rPr>
              <m:sty m:val="p"/>
            </m:rPr>
            <m:t>×</m:t>
          </m:r>
          <m:r>
            <m:t>0.0607</m:t>
          </m:r>
          <m:r>
            <m:rPr>
              <m:sty m:val="p"/>
            </m:rPr>
            <m:t>×</m:t>
          </m:r>
          <m:r>
            <m:t>1.645</m:t>
          </m:r>
          <m:r>
            <m:rPr>
              <m:sty m:val="p"/>
            </m:rPr>
            <m:t>≈</m:t>
          </m:r>
          <m:r>
            <m:rPr>
              <m:sty m:val="p"/>
            </m:rPr>
            <m:t>$</m:t>
          </m:r>
          <m:r>
            <m:t>82</m:t>
          </m:r>
          <m:r>
            <m:rPr>
              <m:sty m:val="p"/>
            </m:rPr>
            <m:t>,</m:t>
          </m:r>
          <m:r>
            <m:t>200</m:t>
          </m:r>
        </m:oMath>
      </m:oMathPara>
    </w:p>
    <w:p>
      <w:pPr>
        <w:pStyle w:val="FirstParagraph"/>
      </w:pPr>
      <w:r>
        <w:t xml:space="preserve">— read as</w:t>
      </w:r>
      <w:r>
        <w:t xml:space="preserve"> </w:t>
      </w:r>
      <w:r>
        <w:t xml:space="preserve">“a 5% chance of losing more than $82,200 over the next 7 days,”</w:t>
      </w:r>
      <w:r>
        <w:t xml:space="preserve"> </w:t>
      </w:r>
      <w:r>
        <w:t xml:space="preserve">the figure that would actually appear in a risk report.</w:t>
      </w:r>
    </w:p>
    <w:p>
      <w:pPr>
        <w:pStyle w:val="BodyText"/>
      </w:pPr>
      <w:r>
        <w:rPr>
          <w:b/>
          <w:bCs/>
        </w:rPr>
        <w:t xml:space="preserve">Step 4 — a volatility-arbitrage angle.</w:t>
      </w:r>
      <w:r>
        <w:t xml:space="preserve"> </w:t>
      </w:r>
      <w:r>
        <w:t xml:space="preserve">This is a</w:t>
      </w:r>
      <w:r>
        <w:t xml:space="preserve"> </w:t>
      </w:r>
      <w:r>
        <w:rPr>
          <w:i/>
          <w:iCs/>
        </w:rPr>
        <w:t xml:space="preserve">realized</w:t>
      </w:r>
      <w:r>
        <w:t xml:space="preserve">-volatility forecast; comparing it against BTC options’</w:t>
      </w:r>
      <w:r>
        <w:t xml:space="preserve"> </w:t>
      </w:r>
      <w:r>
        <w:rPr>
          <w:i/>
          <w:iCs/>
        </w:rPr>
        <w:t xml:space="preserve">implied</w:t>
      </w:r>
      <w:r>
        <w:t xml:space="preserve"> </w:t>
      </w:r>
      <w:r>
        <w:t xml:space="preserve">volatility at a matching ~7-day tenor (e.g. on Deribit) turns it into a trading signal in its own right. If implied volatility trades meaningfully above 6.07%, the options market is pricing in more risk than the model expects to realize — a short-volatility position (selling options, or a variance swap) becomes interesting. If implied trades below it, the model is flagging underpriced risk.</w:t>
      </w:r>
    </w:p>
    <w:p>
      <w:pPr>
        <w:pStyle w:val="BodyText"/>
      </w:pPr>
      <w:r>
        <w:rPr>
          <w:b/>
          <w:bCs/>
        </w:rPr>
        <w:t xml:space="preserve">Why this is one input, not the risk number.</w:t>
      </w:r>
      <w:r>
        <w:t xml:space="preserve"> </w:t>
      </w:r>
      <w:r>
        <w:t xml:space="preserve">A live R² of 0.1779 means roughly 18% of the variance in realized volatility is explained — a real, modest edge over a naive guess, not a high-confidence forecast. A live MAPE of 27.18% means the typical forecast error is over a quarter of the value itself: the $82,200 VaR figure above could plausibly be $60,000 or $110,000 purely from model error, before the market has even moved. The model is also entirely backward-looking, built from OHLCV price history alone — it has no way to anticipate a regulatory headline, an exchange failure, or a macro shock, exactly the kind of jump risk that actually drives large drawdowns. And GARCH, the more conventional econometric volatility model, failed outright at this same horizon in this project (R² = −110.68 live) — a reminder that the</w:t>
      </w:r>
      <w:r>
        <w:t xml:space="preserve"> </w:t>
      </w:r>
      <w:r>
        <w:t xml:space="preserve">“textbook”</w:t>
      </w:r>
      <w:r>
        <w:t xml:space="preserve"> </w:t>
      </w:r>
      <w:r>
        <w:t xml:space="preserve">choice here would have been actively dangerous, not merely mediocre. A real risk desk would blend this forecast with implied volatility, cross-asset correlation, and a tail-risk stress-test overlay, using it as one component of a broader framework rather than the sole basis for a position.</w:t>
      </w:r>
    </w:p>
    <w:bookmarkEnd w:id="69"/>
    <w:bookmarkEnd w:id="70"/>
    <w:bookmarkStart w:id="73" w:name="limitations-and-future-work"/>
    <w:p>
      <w:pPr>
        <w:pStyle w:val="Heading1"/>
      </w:pPr>
      <w:r>
        <w:t xml:space="preserve">12. Limitations and Future Work</w:t>
      </w:r>
    </w:p>
    <w:bookmarkStart w:id="71"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1"/>
    <w:bookmarkStart w:id="72"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2"/>
    <w:bookmarkEnd w:id="73"/>
    <w:bookmarkStart w:id="74"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2026-08-29T19:12:04Z</dcterms:created>
  <dcterms:modified xsi:type="dcterms:W3CDTF">2026-08-29T19:12:04Z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