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E22F3" w14:textId="77777777" w:rsidR="00C66512" w:rsidRDefault="0032191A">
      <w:pPr>
        <w:pStyle w:val="Title"/>
      </w:pPr>
      <w:r>
        <w:t>Cajal Bodies: RNP Assembly, Dynamic Organization and Physiological Context</w:t>
      </w:r>
    </w:p>
    <w:p w14:paraId="6E8FB052" w14:textId="77777777" w:rsidR="00C66512" w:rsidRDefault="0032191A">
      <w:pPr>
        <w:pStyle w:val="Subtitle"/>
      </w:pPr>
      <w:r>
        <w:t>Coilin, guide RNAs, spliceosomal particle maturation and the conditional relationship to telomerase</w:t>
      </w:r>
    </w:p>
    <w:p w14:paraId="196C3726" w14:textId="77777777" w:rsidR="00C66512" w:rsidRDefault="0032191A">
      <w:pPr>
        <w:spacing w:before="200" w:after="320"/>
      </w:pPr>
      <w:r>
        <w:rPr>
          <w:color w:val="087B78"/>
          <w:sz w:val="20"/>
          <w:szCs w:val="20"/>
        </w:rPr>
        <w:t>CellNucleus · Current research review · 12 October 2026</w:t>
      </w:r>
    </w:p>
    <w:p w14:paraId="678C5BEF" w14:textId="77777777" w:rsidR="00C66512" w:rsidRDefault="0032191A">
      <w:pPr>
        <w:pStyle w:val="Heading1"/>
      </w:pPr>
      <w:bookmarkStart w:id="0" w:name="_Toc242668323"/>
      <w:r>
        <w:t>Abstract</w:t>
      </w:r>
      <w:bookmarkEnd w:id="0"/>
    </w:p>
    <w:p w14:paraId="0EAFC355" w14:textId="3E9AE7C2" w:rsidR="00C66512" w:rsidRDefault="0032191A">
      <w:r>
        <w:t xml:space="preserve">Cajal bodies concentrate selected components involved in the maturation and assembly of nuclear ribonucleoprotein particles. Their biology is best understood through the reactions and trafficking steps they facilitate, rather than through a fixed list of contents or a universal liquid-droplet description. Coilin, guide RNAs, SMN-associated interactions and the demand for mature snRNPs connect composition to function. Genetic, kinetic and recent molecular-assembly studies also show that necessity depends on </w:t>
      </w:r>
      <w:r>
        <w:t>organism, developmental state and substrate.</w:t>
      </w:r>
      <w:hyperlink r:id="rId7" w:history="1">
        <w:r>
          <w:rPr>
            <w:color w:val="087B78"/>
            <w:sz w:val="18"/>
            <w:szCs w:val="18"/>
          </w:rPr>
          <w:t xml:space="preserve"> [1]</w:t>
        </w:r>
      </w:hyperlink>
      <w:hyperlink r:id="rId8" w:history="1">
        <w:r>
          <w:rPr>
            <w:color w:val="087B78"/>
            <w:sz w:val="18"/>
            <w:szCs w:val="18"/>
          </w:rPr>
          <w:t xml:space="preserve"> [2]</w:t>
        </w:r>
      </w:hyperlink>
      <w:hyperlink r:id="rId9" w:history="1">
        <w:r>
          <w:rPr>
            <w:color w:val="087B78"/>
            <w:sz w:val="18"/>
            <w:szCs w:val="18"/>
          </w:rPr>
          <w:t xml:space="preserve"> [3]</w:t>
        </w:r>
      </w:hyperlink>
      <w:hyperlink r:id="rId10" w:history="1">
        <w:r>
          <w:rPr>
            <w:color w:val="087B78"/>
            <w:sz w:val="18"/>
            <w:szCs w:val="18"/>
          </w:rPr>
          <w:t xml:space="preserve"> [4]</w:t>
        </w:r>
      </w:hyperlink>
      <w:hyperlink r:id="rId11" w:history="1">
        <w:r>
          <w:rPr>
            <w:color w:val="087B78"/>
            <w:sz w:val="18"/>
            <w:szCs w:val="18"/>
          </w:rPr>
          <w:t xml:space="preserve"> [5]</w:t>
        </w:r>
      </w:hyperlink>
    </w:p>
    <w:p w14:paraId="07E54FC0" w14:textId="77777777" w:rsidR="00C66512" w:rsidRDefault="0032191A">
      <w:pPr>
        <w:pageBreakBefore/>
        <w:spacing w:before="330"/>
      </w:pPr>
      <w:r>
        <w:rPr>
          <w:b/>
          <w:bCs/>
          <w:color w:val="173B4C"/>
          <w:sz w:val="32"/>
          <w:szCs w:val="32"/>
        </w:rPr>
        <w:lastRenderedPageBreak/>
        <w:t>Contents</w:t>
      </w:r>
    </w:p>
    <w:sdt>
      <w:sdtPr>
        <w:alias w:val="Contents"/>
        <w:id w:val="1464162729"/>
      </w:sdtPr>
      <w:sdtEndPr/>
      <w:sdtContent>
        <w:p w14:paraId="0B4E2F68" w14:textId="18DCE62E" w:rsidR="00667669" w:rsidRDefault="0032191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23" w:history="1">
            <w:r w:rsidR="00667669" w:rsidRPr="0073059D">
              <w:rPr>
                <w:rStyle w:val="Hyperlink"/>
                <w:noProof/>
              </w:rPr>
              <w:t>Abstract</w:t>
            </w:r>
            <w:r w:rsidR="00667669">
              <w:rPr>
                <w:noProof/>
              </w:rPr>
              <w:tab/>
            </w:r>
            <w:r w:rsidR="00667669">
              <w:rPr>
                <w:noProof/>
              </w:rPr>
              <w:fldChar w:fldCharType="begin"/>
            </w:r>
            <w:r w:rsidR="00667669">
              <w:rPr>
                <w:noProof/>
              </w:rPr>
              <w:instrText xml:space="preserve"> PAGEREF _Toc242668323 \h </w:instrText>
            </w:r>
            <w:r w:rsidR="00667669">
              <w:rPr>
                <w:noProof/>
              </w:rPr>
            </w:r>
            <w:r w:rsidR="00667669">
              <w:rPr>
                <w:noProof/>
              </w:rPr>
              <w:fldChar w:fldCharType="separate"/>
            </w:r>
            <w:r w:rsidR="00667669">
              <w:rPr>
                <w:noProof/>
              </w:rPr>
              <w:t>1</w:t>
            </w:r>
            <w:r w:rsidR="00667669">
              <w:rPr>
                <w:noProof/>
              </w:rPr>
              <w:fldChar w:fldCharType="end"/>
            </w:r>
          </w:hyperlink>
        </w:p>
        <w:p w14:paraId="517D5417" w14:textId="0FEF6661" w:rsidR="00667669" w:rsidRDefault="0066766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24" w:history="1">
            <w:r w:rsidRPr="0073059D">
              <w:rPr>
                <w:rStyle w:val="Hyperlink"/>
                <w:noProof/>
              </w:rPr>
              <w:t>1. Defining the compartment by its molecular organization</w:t>
            </w:r>
            <w:r>
              <w:rPr>
                <w:noProof/>
              </w:rPr>
              <w:tab/>
            </w:r>
            <w:r>
              <w:rPr>
                <w:noProof/>
              </w:rPr>
              <w:fldChar w:fldCharType="begin"/>
            </w:r>
            <w:r>
              <w:rPr>
                <w:noProof/>
              </w:rPr>
              <w:instrText xml:space="preserve"> PAGEREF _Toc242668324 \h </w:instrText>
            </w:r>
            <w:r>
              <w:rPr>
                <w:noProof/>
              </w:rPr>
            </w:r>
            <w:r>
              <w:rPr>
                <w:noProof/>
              </w:rPr>
              <w:fldChar w:fldCharType="separate"/>
            </w:r>
            <w:r>
              <w:rPr>
                <w:noProof/>
              </w:rPr>
              <w:t>2</w:t>
            </w:r>
            <w:r>
              <w:rPr>
                <w:noProof/>
              </w:rPr>
              <w:fldChar w:fldCharType="end"/>
            </w:r>
          </w:hyperlink>
        </w:p>
        <w:p w14:paraId="500FCFBF" w14:textId="5AA75B3D" w:rsidR="00667669" w:rsidRDefault="0066766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25" w:history="1">
            <w:r w:rsidRPr="0073059D">
              <w:rPr>
                <w:rStyle w:val="Hyperlink"/>
                <w:noProof/>
              </w:rPr>
              <w:t>2. Coilin and selective molecular recruitment</w:t>
            </w:r>
            <w:r>
              <w:rPr>
                <w:noProof/>
              </w:rPr>
              <w:tab/>
            </w:r>
            <w:r>
              <w:rPr>
                <w:noProof/>
              </w:rPr>
              <w:fldChar w:fldCharType="begin"/>
            </w:r>
            <w:r>
              <w:rPr>
                <w:noProof/>
              </w:rPr>
              <w:instrText xml:space="preserve"> PAGEREF _Toc242668325 \h </w:instrText>
            </w:r>
            <w:r>
              <w:rPr>
                <w:noProof/>
              </w:rPr>
            </w:r>
            <w:r>
              <w:rPr>
                <w:noProof/>
              </w:rPr>
              <w:fldChar w:fldCharType="separate"/>
            </w:r>
            <w:r>
              <w:rPr>
                <w:noProof/>
              </w:rPr>
              <w:t>3</w:t>
            </w:r>
            <w:r>
              <w:rPr>
                <w:noProof/>
              </w:rPr>
              <w:fldChar w:fldCharType="end"/>
            </w:r>
          </w:hyperlink>
        </w:p>
        <w:p w14:paraId="09A1A09E" w14:textId="55C990E1" w:rsidR="00667669" w:rsidRDefault="0066766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26" w:history="1">
            <w:r w:rsidRPr="0073059D">
              <w:rPr>
                <w:rStyle w:val="Hyperlink"/>
                <w:noProof/>
              </w:rPr>
              <w:t>3. Guide RNAs and small-RNA modification</w:t>
            </w:r>
            <w:r>
              <w:rPr>
                <w:noProof/>
              </w:rPr>
              <w:tab/>
            </w:r>
            <w:r>
              <w:rPr>
                <w:noProof/>
              </w:rPr>
              <w:fldChar w:fldCharType="begin"/>
            </w:r>
            <w:r>
              <w:rPr>
                <w:noProof/>
              </w:rPr>
              <w:instrText xml:space="preserve"> PAGEREF _Toc242668326 \h </w:instrText>
            </w:r>
            <w:r>
              <w:rPr>
                <w:noProof/>
              </w:rPr>
            </w:r>
            <w:r>
              <w:rPr>
                <w:noProof/>
              </w:rPr>
              <w:fldChar w:fldCharType="separate"/>
            </w:r>
            <w:r>
              <w:rPr>
                <w:noProof/>
              </w:rPr>
              <w:t>3</w:t>
            </w:r>
            <w:r>
              <w:rPr>
                <w:noProof/>
              </w:rPr>
              <w:fldChar w:fldCharType="end"/>
            </w:r>
          </w:hyperlink>
        </w:p>
        <w:p w14:paraId="189B72CA" w14:textId="7FFA72DD" w:rsidR="00667669" w:rsidRDefault="0066766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27" w:history="1">
            <w:r w:rsidRPr="0073059D">
              <w:rPr>
                <w:rStyle w:val="Hyperlink"/>
                <w:noProof/>
              </w:rPr>
              <w:t>4. Kinetic evidence for assembly enhancement</w:t>
            </w:r>
            <w:r>
              <w:rPr>
                <w:noProof/>
              </w:rPr>
              <w:tab/>
            </w:r>
            <w:r>
              <w:rPr>
                <w:noProof/>
              </w:rPr>
              <w:fldChar w:fldCharType="begin"/>
            </w:r>
            <w:r>
              <w:rPr>
                <w:noProof/>
              </w:rPr>
              <w:instrText xml:space="preserve"> PAGEREF _Toc242668327 \h </w:instrText>
            </w:r>
            <w:r>
              <w:rPr>
                <w:noProof/>
              </w:rPr>
            </w:r>
            <w:r>
              <w:rPr>
                <w:noProof/>
              </w:rPr>
              <w:fldChar w:fldCharType="separate"/>
            </w:r>
            <w:r>
              <w:rPr>
                <w:noProof/>
              </w:rPr>
              <w:t>4</w:t>
            </w:r>
            <w:r>
              <w:rPr>
                <w:noProof/>
              </w:rPr>
              <w:fldChar w:fldCharType="end"/>
            </w:r>
          </w:hyperlink>
        </w:p>
        <w:p w14:paraId="1E8F7B5D" w14:textId="435B7292" w:rsidR="00667669" w:rsidRDefault="0066766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28" w:history="1">
            <w:r w:rsidRPr="0073059D">
              <w:rPr>
                <w:rStyle w:val="Hyperlink"/>
                <w:noProof/>
              </w:rPr>
              <w:t>5. Developmental necessity and rescue</w:t>
            </w:r>
            <w:r>
              <w:rPr>
                <w:noProof/>
              </w:rPr>
              <w:tab/>
            </w:r>
            <w:r>
              <w:rPr>
                <w:noProof/>
              </w:rPr>
              <w:fldChar w:fldCharType="begin"/>
            </w:r>
            <w:r>
              <w:rPr>
                <w:noProof/>
              </w:rPr>
              <w:instrText xml:space="preserve"> PAGEREF _Toc242668328 \h </w:instrText>
            </w:r>
            <w:r>
              <w:rPr>
                <w:noProof/>
              </w:rPr>
            </w:r>
            <w:r>
              <w:rPr>
                <w:noProof/>
              </w:rPr>
              <w:fldChar w:fldCharType="separate"/>
            </w:r>
            <w:r>
              <w:rPr>
                <w:noProof/>
              </w:rPr>
              <w:t>4</w:t>
            </w:r>
            <w:r>
              <w:rPr>
                <w:noProof/>
              </w:rPr>
              <w:fldChar w:fldCharType="end"/>
            </w:r>
          </w:hyperlink>
        </w:p>
        <w:p w14:paraId="017C594F" w14:textId="127E3BFE" w:rsidR="00667669" w:rsidRDefault="0066766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29" w:history="1">
            <w:r w:rsidRPr="0073059D">
              <w:rPr>
                <w:rStyle w:val="Hyperlink"/>
                <w:noProof/>
              </w:rPr>
              <w:t>6. Cell-cycle and developmental dynamics</w:t>
            </w:r>
            <w:r>
              <w:rPr>
                <w:noProof/>
              </w:rPr>
              <w:tab/>
            </w:r>
            <w:r>
              <w:rPr>
                <w:noProof/>
              </w:rPr>
              <w:fldChar w:fldCharType="begin"/>
            </w:r>
            <w:r>
              <w:rPr>
                <w:noProof/>
              </w:rPr>
              <w:instrText xml:space="preserve"> PAGEREF _Toc242668329 \h </w:instrText>
            </w:r>
            <w:r>
              <w:rPr>
                <w:noProof/>
              </w:rPr>
            </w:r>
            <w:r>
              <w:rPr>
                <w:noProof/>
              </w:rPr>
              <w:fldChar w:fldCharType="separate"/>
            </w:r>
            <w:r>
              <w:rPr>
                <w:noProof/>
              </w:rPr>
              <w:t>5</w:t>
            </w:r>
            <w:r>
              <w:rPr>
                <w:noProof/>
              </w:rPr>
              <w:fldChar w:fldCharType="end"/>
            </w:r>
          </w:hyperlink>
        </w:p>
        <w:p w14:paraId="1A7AD9DC" w14:textId="401B2E3A" w:rsidR="00667669" w:rsidRDefault="0066766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0" w:history="1">
            <w:r w:rsidRPr="0073059D">
              <w:rPr>
                <w:rStyle w:val="Hyperlink"/>
                <w:noProof/>
              </w:rPr>
              <w:t>7. Telomerase trafficking without a universal requirement</w:t>
            </w:r>
            <w:r>
              <w:rPr>
                <w:noProof/>
              </w:rPr>
              <w:tab/>
            </w:r>
            <w:r>
              <w:rPr>
                <w:noProof/>
              </w:rPr>
              <w:fldChar w:fldCharType="begin"/>
            </w:r>
            <w:r>
              <w:rPr>
                <w:noProof/>
              </w:rPr>
              <w:instrText xml:space="preserve"> PAGEREF _Toc242668330 \h </w:instrText>
            </w:r>
            <w:r>
              <w:rPr>
                <w:noProof/>
              </w:rPr>
            </w:r>
            <w:r>
              <w:rPr>
                <w:noProof/>
              </w:rPr>
              <w:fldChar w:fldCharType="separate"/>
            </w:r>
            <w:r>
              <w:rPr>
                <w:noProof/>
              </w:rPr>
              <w:t>5</w:t>
            </w:r>
            <w:r>
              <w:rPr>
                <w:noProof/>
              </w:rPr>
              <w:fldChar w:fldCharType="end"/>
            </w:r>
          </w:hyperlink>
        </w:p>
        <w:p w14:paraId="76047C33" w14:textId="5AA13546" w:rsidR="00667669" w:rsidRDefault="0066766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1" w:history="1">
            <w:r w:rsidRPr="0073059D">
              <w:rPr>
                <w:rStyle w:val="Hyperlink"/>
                <w:noProof/>
              </w:rPr>
              <w:t>8. A 2025 model of exchange and assembly</w:t>
            </w:r>
            <w:r>
              <w:rPr>
                <w:noProof/>
              </w:rPr>
              <w:tab/>
            </w:r>
            <w:r>
              <w:rPr>
                <w:noProof/>
              </w:rPr>
              <w:fldChar w:fldCharType="begin"/>
            </w:r>
            <w:r>
              <w:rPr>
                <w:noProof/>
              </w:rPr>
              <w:instrText xml:space="preserve"> PAGEREF _Toc242668331 \h </w:instrText>
            </w:r>
            <w:r>
              <w:rPr>
                <w:noProof/>
              </w:rPr>
            </w:r>
            <w:r>
              <w:rPr>
                <w:noProof/>
              </w:rPr>
              <w:fldChar w:fldCharType="separate"/>
            </w:r>
            <w:r>
              <w:rPr>
                <w:noProof/>
              </w:rPr>
              <w:t>6</w:t>
            </w:r>
            <w:r>
              <w:rPr>
                <w:noProof/>
              </w:rPr>
              <w:fldChar w:fldCharType="end"/>
            </w:r>
          </w:hyperlink>
        </w:p>
        <w:p w14:paraId="251DAD79" w14:textId="2556F0E4" w:rsidR="00667669" w:rsidRDefault="0066766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2" w:history="1">
            <w:r w:rsidRPr="0073059D">
              <w:rPr>
                <w:rStyle w:val="Hyperlink"/>
                <w:noProof/>
              </w:rPr>
              <w:t>9. What the major experiments establish</w:t>
            </w:r>
            <w:r>
              <w:rPr>
                <w:noProof/>
              </w:rPr>
              <w:tab/>
            </w:r>
            <w:r>
              <w:rPr>
                <w:noProof/>
              </w:rPr>
              <w:fldChar w:fldCharType="begin"/>
            </w:r>
            <w:r>
              <w:rPr>
                <w:noProof/>
              </w:rPr>
              <w:instrText xml:space="preserve"> PAGEREF _Toc242668332 \h </w:instrText>
            </w:r>
            <w:r>
              <w:rPr>
                <w:noProof/>
              </w:rPr>
            </w:r>
            <w:r>
              <w:rPr>
                <w:noProof/>
              </w:rPr>
              <w:fldChar w:fldCharType="separate"/>
            </w:r>
            <w:r>
              <w:rPr>
                <w:noProof/>
              </w:rPr>
              <w:t>6</w:t>
            </w:r>
            <w:r>
              <w:rPr>
                <w:noProof/>
              </w:rPr>
              <w:fldChar w:fldCharType="end"/>
            </w:r>
          </w:hyperlink>
        </w:p>
        <w:p w14:paraId="7E94BD44" w14:textId="01EA07FA" w:rsidR="00667669" w:rsidRDefault="0066766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3" w:history="1">
            <w:r w:rsidRPr="0073059D">
              <w:rPr>
                <w:rStyle w:val="Hyperlink"/>
                <w:noProof/>
              </w:rPr>
              <w:t>10. Physiological interpretation and next questions</w:t>
            </w:r>
            <w:r>
              <w:rPr>
                <w:noProof/>
              </w:rPr>
              <w:tab/>
            </w:r>
            <w:r>
              <w:rPr>
                <w:noProof/>
              </w:rPr>
              <w:fldChar w:fldCharType="begin"/>
            </w:r>
            <w:r>
              <w:rPr>
                <w:noProof/>
              </w:rPr>
              <w:instrText xml:space="preserve"> PAGEREF _Toc242668333 \h </w:instrText>
            </w:r>
            <w:r>
              <w:rPr>
                <w:noProof/>
              </w:rPr>
            </w:r>
            <w:r>
              <w:rPr>
                <w:noProof/>
              </w:rPr>
              <w:fldChar w:fldCharType="separate"/>
            </w:r>
            <w:r>
              <w:rPr>
                <w:noProof/>
              </w:rPr>
              <w:t>7</w:t>
            </w:r>
            <w:r>
              <w:rPr>
                <w:noProof/>
              </w:rPr>
              <w:fldChar w:fldCharType="end"/>
            </w:r>
          </w:hyperlink>
        </w:p>
        <w:p w14:paraId="2B2DD064" w14:textId="6D8F4C44" w:rsidR="00667669" w:rsidRDefault="0066766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4" w:history="1">
            <w:r w:rsidRPr="0073059D">
              <w:rPr>
                <w:rStyle w:val="Hyperlink"/>
                <w:noProof/>
              </w:rPr>
              <w:t>References</w:t>
            </w:r>
            <w:r>
              <w:rPr>
                <w:noProof/>
              </w:rPr>
              <w:tab/>
            </w:r>
            <w:r>
              <w:rPr>
                <w:noProof/>
              </w:rPr>
              <w:fldChar w:fldCharType="begin"/>
            </w:r>
            <w:r>
              <w:rPr>
                <w:noProof/>
              </w:rPr>
              <w:instrText xml:space="preserve"> PAGEREF _Toc242668334 \h </w:instrText>
            </w:r>
            <w:r>
              <w:rPr>
                <w:noProof/>
              </w:rPr>
            </w:r>
            <w:r>
              <w:rPr>
                <w:noProof/>
              </w:rPr>
              <w:fldChar w:fldCharType="separate"/>
            </w:r>
            <w:r>
              <w:rPr>
                <w:noProof/>
              </w:rPr>
              <w:t>7</w:t>
            </w:r>
            <w:r>
              <w:rPr>
                <w:noProof/>
              </w:rPr>
              <w:fldChar w:fldCharType="end"/>
            </w:r>
          </w:hyperlink>
        </w:p>
        <w:p w14:paraId="17A05B61" w14:textId="677D000C" w:rsidR="00667669" w:rsidRDefault="0066766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5" w:history="1">
            <w:r w:rsidRPr="0073059D">
              <w:rPr>
                <w:rStyle w:val="Hyperlink"/>
                <w:noProof/>
              </w:rPr>
              <w:t>Evidence scope</w:t>
            </w:r>
            <w:r>
              <w:rPr>
                <w:noProof/>
              </w:rPr>
              <w:tab/>
            </w:r>
            <w:r>
              <w:rPr>
                <w:noProof/>
              </w:rPr>
              <w:fldChar w:fldCharType="begin"/>
            </w:r>
            <w:r>
              <w:rPr>
                <w:noProof/>
              </w:rPr>
              <w:instrText xml:space="preserve"> PAGEREF _Toc242668335 \h </w:instrText>
            </w:r>
            <w:r>
              <w:rPr>
                <w:noProof/>
              </w:rPr>
            </w:r>
            <w:r>
              <w:rPr>
                <w:noProof/>
              </w:rPr>
              <w:fldChar w:fldCharType="separate"/>
            </w:r>
            <w:r>
              <w:rPr>
                <w:noProof/>
              </w:rPr>
              <w:t>8</w:t>
            </w:r>
            <w:r>
              <w:rPr>
                <w:noProof/>
              </w:rPr>
              <w:fldChar w:fldCharType="end"/>
            </w:r>
          </w:hyperlink>
        </w:p>
        <w:p w14:paraId="113B1615" w14:textId="7DDE63EA" w:rsidR="00C66512" w:rsidRDefault="0032191A">
          <w:r>
            <w:fldChar w:fldCharType="end"/>
          </w:r>
        </w:p>
      </w:sdtContent>
    </w:sdt>
    <w:p w14:paraId="22CACF17" w14:textId="77777777" w:rsidR="00C66512" w:rsidRDefault="0032191A">
      <w:pPr>
        <w:pStyle w:val="Heading1"/>
      </w:pPr>
      <w:bookmarkStart w:id="1" w:name="_Toc242668324"/>
      <w:r>
        <w:t>1. Defining the compartment by its molecular organization</w:t>
      </w:r>
      <w:bookmarkEnd w:id="1"/>
    </w:p>
    <w:p w14:paraId="59777D52" w14:textId="32229554" w:rsidR="00C66512" w:rsidRDefault="0032191A">
      <w:r>
        <w:t>A Cajal body is a recognizable nuclear enrichment of coilin and selected RNP components. Its molecular identity is not equivalent to a generic round focus. Tucker and colleagues showed that coilin-deficient mouse cells retained residual bodies containing some components while failing to recruit SMN and Sm snRNPs normally. Thus loss of a defining organizer can disrupt composition without removing every concentrated nuclear structure. The key biological question is which interactions create the characteristic</w:t>
      </w:r>
      <w:r>
        <w:t xml:space="preserve"> RNP-processing environment, not simply whether any fluorescent spot remains.</w:t>
      </w:r>
      <w:hyperlink r:id="rId12" w:history="1">
        <w:r>
          <w:rPr>
            <w:color w:val="087B78"/>
            <w:sz w:val="18"/>
            <w:szCs w:val="18"/>
          </w:rPr>
          <w:t xml:space="preserve"> [6]</w:t>
        </w:r>
      </w:hyperlink>
    </w:p>
    <w:p w14:paraId="580F9611" w14:textId="402934AA" w:rsidR="00C66512" w:rsidRDefault="0032191A">
      <w:r>
        <w:t>This distinction helps organize the field. A mature spliceosomal particle, an assembly intermediate and a guide RNP have different roles even if each appears within the same focus. Coilin’s interactions and local RNP demand can bring them together without making coilin itself a catalytic spliceosomal component. The corrected primary report from the zebrafish experiments explicitly states that coilin concentrates snRNPs and their intermediates rather than being an snRNP protein. Composition, assembly and cat</w:t>
      </w:r>
      <w:r>
        <w:t>alysis should therefore remain distinguishable concepts.</w:t>
      </w:r>
      <w:hyperlink r:id="rId13" w:history="1">
        <w:r>
          <w:rPr>
            <w:color w:val="087B78"/>
            <w:sz w:val="18"/>
            <w:szCs w:val="18"/>
          </w:rPr>
          <w:t xml:space="preserve"> [3]</w:t>
        </w:r>
      </w:hyperlink>
      <w:hyperlink r:id="rId14" w:history="1">
        <w:r>
          <w:rPr>
            <w:color w:val="087B78"/>
            <w:sz w:val="18"/>
            <w:szCs w:val="18"/>
          </w:rPr>
          <w:t xml:space="preserve"> [1]</w:t>
        </w:r>
      </w:hyperlink>
    </w:p>
    <w:p w14:paraId="68FCFDDD" w14:textId="3E1491CB" w:rsidR="00C66512" w:rsidRDefault="0032191A">
      <w:r>
        <w:t xml:space="preserve">Visible Cajal bodies also vary with developmental and cellular state. Live zebrafish observations linked body number and composition to development, cell division and snRNP biogenesis. A single fixed-cell count cannot capture that dynamic organization. Comparisons should specify the cell population, stage and markers, particularly when a treatment changes transcription or </w:t>
      </w:r>
      <w:r>
        <w:lastRenderedPageBreak/>
        <w:t>proliferation. Otherwise a change in body number can be misread as a direct loss of all RNP maturation rather than a change in the conditions that organize the compartment.</w:t>
      </w:r>
      <w:hyperlink r:id="rId15" w:history="1">
        <w:r>
          <w:rPr>
            <w:color w:val="087B78"/>
            <w:sz w:val="18"/>
            <w:szCs w:val="18"/>
          </w:rPr>
          <w:t xml:space="preserve"> [7]</w:t>
        </w:r>
      </w:hyperlink>
    </w:p>
    <w:p w14:paraId="4CA3F282" w14:textId="77777777" w:rsidR="00C66512" w:rsidRDefault="0032191A">
      <w:pPr>
        <w:pStyle w:val="Heading1"/>
      </w:pPr>
      <w:bookmarkStart w:id="2" w:name="_Toc242668325"/>
      <w:r>
        <w:t>2. Coilin and selective molecular recruitment</w:t>
      </w:r>
      <w:bookmarkEnd w:id="2"/>
    </w:p>
    <w:p w14:paraId="489B3C4B" w14:textId="7FA5D4AE" w:rsidR="00C66512" w:rsidRDefault="0032191A">
      <w:r>
        <w:t>Coilin contributes to assembly through protein and RNA interactions. Hebert and colleagues demonstrated direct interactions with SMN and SmB′ and identified a coilin RG-rich motif important for recruitment. Their competition and mutational experiments connected a specific molecular interface to the composition of the body. This supplies a mechanism for bringing an RNP-assembly factor and selected snRNP components into proximity, rather than treating every component as an interchangeable client.</w:t>
      </w:r>
      <w:hyperlink r:id="rId16" w:history="1">
        <w:r>
          <w:rPr>
            <w:color w:val="087B78"/>
            <w:sz w:val="18"/>
            <w:szCs w:val="18"/>
          </w:rPr>
          <w:t xml:space="preserve"> [2]</w:t>
        </w:r>
      </w:hyperlink>
    </w:p>
    <w:p w14:paraId="0664E5A3" w14:textId="19CC38C1" w:rsidR="00C66512" w:rsidRDefault="0032191A">
      <w:r>
        <w:t>Coilin is also not the only organizing interaction. Courchaine and colleagues showed that its N-terminal domain could form fibrillar assemblies and interact with Nopp140, with mutations separating aspects of those behaviors. They proposed that multivalent coilin and Nopp140 contacts contribute to nuclear condensation. The observation that related constructs form cytoplasmic fibrils and nuclear puncta emphasizes the importance of context: the same protein segment does not impose one invariant morphology or m</w:t>
      </w:r>
      <w:r>
        <w:t>aterial state wherever it is expressed.</w:t>
      </w:r>
      <w:hyperlink r:id="rId17" w:history="1">
        <w:r>
          <w:rPr>
            <w:color w:val="087B78"/>
            <w:sz w:val="18"/>
            <w:szCs w:val="18"/>
          </w:rPr>
          <w:t xml:space="preserve"> [8]</w:t>
        </w:r>
      </w:hyperlink>
    </w:p>
    <w:p w14:paraId="67CA5044" w14:textId="1495EBA9" w:rsidR="00C66512" w:rsidRDefault="0032191A">
      <w:r>
        <w:t>Necessity tests should accordingly consider selective recruitment as well as visible architecture. If a mutant leaves a focus but changes the availability of mature RNPs, the relevant defect may be compositional. If overexpression creates a focus, that does not guarantee that it supports endogenous processing. Molecular rescue and measurements of the affected RNP pool provide a stronger connection to function than morphology alone. The coilin–SMN and coilin–Nopp140 studies make those distinctions experiment</w:t>
      </w:r>
      <w:r>
        <w:t>ally concrete.</w:t>
      </w:r>
      <w:hyperlink r:id="rId18" w:history="1">
        <w:r>
          <w:rPr>
            <w:color w:val="087B78"/>
            <w:sz w:val="18"/>
            <w:szCs w:val="18"/>
          </w:rPr>
          <w:t xml:space="preserve"> [2]</w:t>
        </w:r>
      </w:hyperlink>
      <w:hyperlink r:id="rId19" w:history="1">
        <w:r>
          <w:rPr>
            <w:color w:val="087B78"/>
            <w:sz w:val="18"/>
            <w:szCs w:val="18"/>
          </w:rPr>
          <w:t xml:space="preserve"> [8]</w:t>
        </w:r>
      </w:hyperlink>
      <w:hyperlink r:id="rId20" w:history="1">
        <w:r>
          <w:rPr>
            <w:color w:val="087B78"/>
            <w:sz w:val="18"/>
            <w:szCs w:val="18"/>
          </w:rPr>
          <w:t xml:space="preserve"> [6]</w:t>
        </w:r>
      </w:hyperlink>
    </w:p>
    <w:p w14:paraId="5776276E" w14:textId="77777777" w:rsidR="00C66512" w:rsidRDefault="0032191A">
      <w:pPr>
        <w:pStyle w:val="Heading1"/>
      </w:pPr>
      <w:bookmarkStart w:id="3" w:name="_Toc242668326"/>
      <w:r>
        <w:t>3. Guide RNAs and small-RNA modification</w:t>
      </w:r>
      <w:bookmarkEnd w:id="3"/>
    </w:p>
    <w:p w14:paraId="6AD381EC" w14:textId="4B0B42B1" w:rsidR="00C66512" w:rsidRDefault="0032191A">
      <w:r>
        <w:t xml:space="preserve">Darzacq and colleagues identified small Cajal body-specific RNAs, or scaRNAs, associated with site-specific modification of spliceosomal snRNAs. These guide RNAs extend the biological role of the compartment beyond storage of finished splicing factors. Their localization brings modification machinery and substrate RNAs into a common environment. The original paper distinguishes demonstrated guide activities from predicted targets, so a sequence complementarity or localized guide should not automatically be </w:t>
      </w:r>
      <w:r>
        <w:t>described as an experimentally confirmed modification at every proposed site.</w:t>
      </w:r>
      <w:hyperlink r:id="rId21" w:history="1">
        <w:r>
          <w:rPr>
            <w:color w:val="087B78"/>
            <w:sz w:val="18"/>
            <w:szCs w:val="18"/>
          </w:rPr>
          <w:t xml:space="preserve"> [1]</w:t>
        </w:r>
      </w:hyperlink>
    </w:p>
    <w:p w14:paraId="4F2C2834" w14:textId="0672C42B" w:rsidR="00C66512" w:rsidRDefault="0032191A">
      <w:r>
        <w:t>RNA-guided modification and protein assembly are related but separable stages of RNP maturation. A correctly modified snRNA still needs the appropriate proteins and higher-order partners to participate in splicing. Conversely, a concentration of snRNP-associated proteins does not establish that every guide reaction has occurred. Measuring guide localization, modification and particle assembly in parallel can identify where a perturbation acts. This is more informative than attributing a broad splicing pheno</w:t>
      </w:r>
      <w:r>
        <w:t>type to the loss of a visible compartment without identifying the affected substrate.</w:t>
      </w:r>
      <w:hyperlink r:id="rId22" w:history="1">
        <w:r>
          <w:rPr>
            <w:color w:val="087B78"/>
            <w:sz w:val="18"/>
            <w:szCs w:val="18"/>
          </w:rPr>
          <w:t xml:space="preserve"> [1]</w:t>
        </w:r>
      </w:hyperlink>
      <w:hyperlink r:id="rId23" w:history="1">
        <w:r>
          <w:rPr>
            <w:color w:val="087B78"/>
            <w:sz w:val="18"/>
            <w:szCs w:val="18"/>
          </w:rPr>
          <w:t xml:space="preserve"> [4]</w:t>
        </w:r>
      </w:hyperlink>
      <w:hyperlink r:id="rId24" w:history="1">
        <w:r>
          <w:rPr>
            <w:color w:val="087B78"/>
            <w:sz w:val="18"/>
            <w:szCs w:val="18"/>
          </w:rPr>
          <w:t xml:space="preserve"> [3]</w:t>
        </w:r>
      </w:hyperlink>
    </w:p>
    <w:p w14:paraId="6C0F3B43" w14:textId="77777777" w:rsidR="00C66512" w:rsidRDefault="0032191A">
      <w:pPr>
        <w:pStyle w:val="Heading1"/>
      </w:pPr>
      <w:bookmarkStart w:id="4" w:name="_Toc242668327"/>
      <w:r>
        <w:lastRenderedPageBreak/>
        <w:t>4. Kinetic evidence for assembly enhancement</w:t>
      </w:r>
      <w:bookmarkEnd w:id="4"/>
    </w:p>
    <w:p w14:paraId="1F617A85" w14:textId="4D225EF9" w:rsidR="00C66512" w:rsidRDefault="0032191A">
      <w:r>
        <w:t>Novotný and colleagues developed a reaction model for U4/U6·U5 tri-snRNP formation and fitted fluorescence-recovery data from individual components. The analysis predicted faster assembly within Cajal bodies than in surrounding nucleoplasm and suggested an interaction subsequently tested by FRET. This links local concentration and component exchange to an assembly hypothesis. Its estimated reaction rates and enhancement are outputs of a constrained model, rather than direct counts of every assembly event in</w:t>
      </w:r>
      <w:r>
        <w:t xml:space="preserve"> an unperturbed cell.</w:t>
      </w:r>
      <w:hyperlink r:id="rId25" w:history="1">
        <w:r>
          <w:rPr>
            <w:color w:val="087B78"/>
            <w:sz w:val="18"/>
            <w:szCs w:val="18"/>
          </w:rPr>
          <w:t xml:space="preserve"> [4]</w:t>
        </w:r>
      </w:hyperlink>
    </w:p>
    <w:p w14:paraId="79A5F97C" w14:textId="1F2E26AC" w:rsidR="00C66512" w:rsidRDefault="0032191A">
      <w:r>
        <w:t>The distinction between concentration and kinetic advantage matters. Enrichment raises the opportunity for interaction, but the productive outcome also depends on compatible partners, stoichiometry and release. A compartment that traps an intermediate too strongly could slow throughput even while increasing fluorescence. The relevant functional measure is the availability of completed particles or a reaction-specific output. The tri-snRNP modeling and zebrafish rescue experiments supply complementary ways t</w:t>
      </w:r>
      <w:r>
        <w:t>o examine that outcome: one estimates kinetics, while the other tests whether mature particles can bypass a developmental deficit.</w:t>
      </w:r>
      <w:hyperlink r:id="rId26" w:history="1">
        <w:r>
          <w:rPr>
            <w:color w:val="087B78"/>
            <w:sz w:val="18"/>
            <w:szCs w:val="18"/>
          </w:rPr>
          <w:t xml:space="preserve"> [4]</w:t>
        </w:r>
      </w:hyperlink>
      <w:hyperlink r:id="rId27" w:history="1">
        <w:r>
          <w:rPr>
            <w:color w:val="087B78"/>
            <w:sz w:val="18"/>
            <w:szCs w:val="18"/>
          </w:rPr>
          <w:t xml:space="preserve"> [3]</w:t>
        </w:r>
      </w:hyperlink>
    </w:p>
    <w:p w14:paraId="6F60FA96" w14:textId="77777777" w:rsidR="00C66512" w:rsidRDefault="0032191A">
      <w:pPr>
        <w:pStyle w:val="Heading1"/>
      </w:pPr>
      <w:bookmarkStart w:id="5" w:name="_Toc242668328"/>
      <w:r>
        <w:t>5. Developmental necessity and rescue</w:t>
      </w:r>
      <w:bookmarkEnd w:id="5"/>
    </w:p>
    <w:p w14:paraId="767A4619" w14:textId="19BE2840" w:rsidR="00C66512" w:rsidRDefault="0032191A">
      <w:r>
        <w:t>In zebrafish embryos, Strzelecka and colleagues found that coilin depletion dispersed Cajal bodies and produced deficits in snRNP biogenesis and spliced mRNA, followed by developmental arrest. Injection of purified mature human snRNPs restored expression and viability, whereas snRNAs alone were insufficient. This rescue is a strong connection between the phenotype and availability of assembled particles. It supports a requirement for coilin-associated assembly capacity during rapid development in that model</w:t>
      </w:r>
      <w:r>
        <w:t>; it does not show that a visible Cajal body is indispensable in every mature mammalian cell.</w:t>
      </w:r>
      <w:hyperlink r:id="rId28" w:history="1">
        <w:r>
          <w:rPr>
            <w:color w:val="087B78"/>
            <w:sz w:val="18"/>
            <w:szCs w:val="18"/>
          </w:rPr>
          <w:t xml:space="preserve"> [3]</w:t>
        </w:r>
      </w:hyperlink>
    </w:p>
    <w:p w14:paraId="4BE025CB" w14:textId="46EBDABA" w:rsidR="00C66512" w:rsidRDefault="0032191A">
      <w:r>
        <w:t>The mouse coilin study supplies an important comparison. Some mutant animals survived, with the frequency depending on genetic background, while their cells showed altered RNP recruitment and residual bodies. Developmental demand, compensatory pathways and perturbation design can therefore affect the phenotype. Comparing the two organisms does not require choosing one experiment as correct and the other as contradictory. They test different contexts, and together they argue that necessity should be specifie</w:t>
      </w:r>
      <w:r>
        <w:t>d at the level of organism, stage and molecular function.</w:t>
      </w:r>
      <w:hyperlink r:id="rId29" w:history="1">
        <w:r>
          <w:rPr>
            <w:color w:val="087B78"/>
            <w:sz w:val="18"/>
            <w:szCs w:val="18"/>
          </w:rPr>
          <w:t xml:space="preserve"> [6]</w:t>
        </w:r>
      </w:hyperlink>
      <w:hyperlink r:id="rId30" w:history="1">
        <w:r>
          <w:rPr>
            <w:color w:val="087B78"/>
            <w:sz w:val="18"/>
            <w:szCs w:val="18"/>
          </w:rPr>
          <w:t xml:space="preserve"> [3]</w:t>
        </w:r>
      </w:hyperlink>
    </w:p>
    <w:p w14:paraId="7116A832" w14:textId="59F20AD3" w:rsidR="00C66512" w:rsidRDefault="0032191A">
      <w:r>
        <w:t>Rescue also narrows causal claims. Supplying mature particles can identify an assembly bottleneck downstream of an organizer, but it does not isolate whether the visible body, coilin’s direct biochemical contacts or both created that bottleneck. An architecture-selective perturbation would need to preserve the relevant binding and catalytic functions while changing concentration or geometry. Such experiments would strengthen a claim about the body itself, beyond the well-supported role of the coilin-associa</w:t>
      </w:r>
      <w:r>
        <w:t>ted molecular system.</w:t>
      </w:r>
      <w:hyperlink r:id="rId31" w:history="1">
        <w:r>
          <w:rPr>
            <w:color w:val="087B78"/>
            <w:sz w:val="18"/>
            <w:szCs w:val="18"/>
          </w:rPr>
          <w:t xml:space="preserve"> [3]</w:t>
        </w:r>
      </w:hyperlink>
      <w:hyperlink r:id="rId32" w:history="1">
        <w:r>
          <w:rPr>
            <w:color w:val="087B78"/>
            <w:sz w:val="18"/>
            <w:szCs w:val="18"/>
          </w:rPr>
          <w:t xml:space="preserve"> [2]</w:t>
        </w:r>
      </w:hyperlink>
    </w:p>
    <w:p w14:paraId="0D3F82FF" w14:textId="77777777" w:rsidR="00C66512" w:rsidRDefault="0032191A">
      <w:pPr>
        <w:pStyle w:val="Heading1"/>
      </w:pPr>
      <w:bookmarkStart w:id="6" w:name="_Toc242668329"/>
      <w:r>
        <w:lastRenderedPageBreak/>
        <w:t>6. Cell-cycle and developmental dynamics</w:t>
      </w:r>
      <w:bookmarkEnd w:id="6"/>
    </w:p>
    <w:p w14:paraId="58913BCA" w14:textId="5D26A70D" w:rsidR="00C66512" w:rsidRDefault="0032191A">
      <w:r>
        <w:t>Live zebrafish studies observed dispersal before mitosis and reassembly as daughter nuclei formed, with developmental changes in body number. They also distinguished the bodies accumulating histone RNA-processing factors from the observed Cajal bodies. This is a reminder that neighboring nuclear compartments and overlapping factors should not be collapsed into one invariant entity. The same nominal marker can need a second molecular readout to define the compartment under changing physiological conditions.</w:t>
      </w:r>
      <w:hyperlink r:id="rId33" w:history="1">
        <w:r>
          <w:rPr>
            <w:color w:val="087B78"/>
            <w:sz w:val="18"/>
            <w:szCs w:val="18"/>
          </w:rPr>
          <w:t xml:space="preserve"> [7]</w:t>
        </w:r>
      </w:hyperlink>
    </w:p>
    <w:p w14:paraId="56AF9557" w14:textId="2A4A6ED1" w:rsidR="00C66512" w:rsidRDefault="0032191A">
      <w:r>
        <w:t>Dynamic reassembly can reflect renewed molecular production, changes in recruitment or redistribution of components after cell division. The zebrafish experiments linked snRNP biogenesis to Cajal-body assembly after zygotic genome activation. Those observations support coupling between the available RNP pool and compartment organization. They do not alone establish equilibrium phase separation as the cause of the cell-cycle pattern. A time series provides the temporal order of assembly; a physical mechanism</w:t>
      </w:r>
      <w:r>
        <w:t xml:space="preserve"> still requires molecular and concentration-dependent tests.</w:t>
      </w:r>
      <w:hyperlink r:id="rId34" w:history="1">
        <w:r>
          <w:rPr>
            <w:color w:val="087B78"/>
            <w:sz w:val="18"/>
            <w:szCs w:val="18"/>
          </w:rPr>
          <w:t xml:space="preserve"> [7]</w:t>
        </w:r>
      </w:hyperlink>
      <w:hyperlink r:id="rId35" w:history="1">
        <w:r>
          <w:rPr>
            <w:color w:val="087B78"/>
            <w:sz w:val="18"/>
            <w:szCs w:val="18"/>
          </w:rPr>
          <w:t xml:space="preserve"> [5]</w:t>
        </w:r>
      </w:hyperlink>
    </w:p>
    <w:p w14:paraId="29010618" w14:textId="77777777" w:rsidR="00C66512" w:rsidRDefault="0032191A">
      <w:pPr>
        <w:pStyle w:val="Heading1"/>
      </w:pPr>
      <w:bookmarkStart w:id="7" w:name="_Toc242668330"/>
      <w:r>
        <w:t>7. Telomerase trafficking without a universal requirement</w:t>
      </w:r>
      <w:bookmarkEnd w:id="7"/>
    </w:p>
    <w:p w14:paraId="2753983E" w14:textId="425DCC74" w:rsidR="00C66512" w:rsidRDefault="0032191A">
      <w:r>
        <w:t>Cajal bodies are also connected to telomerase through TCAB1. Venteicher and colleagues identified TCAB1 in active human telomerase complexes and reported that its depletion disrupted telomerase RNA localization, telomere association and synthesis in tested human cancer cells. This provides a pathway from an RNP-associated factor to trafficking and telomere function. TCAB1 association with scaRNAs further connects telomerase to a broader class of RNP localization interactions.</w:t>
      </w:r>
      <w:hyperlink r:id="rId36" w:history="1">
        <w:r>
          <w:rPr>
            <w:color w:val="087B78"/>
            <w:sz w:val="18"/>
            <w:szCs w:val="18"/>
          </w:rPr>
          <w:t xml:space="preserve"> [9]</w:t>
        </w:r>
      </w:hyperlink>
    </w:p>
    <w:p w14:paraId="4D044DFA" w14:textId="001476AA" w:rsidR="00C66512" w:rsidRDefault="0032191A">
      <w:r>
        <w:t>Later engineered and knockout experiments by Vogan and colleagues showed that minimized and wild-type telomerase systems could maintain or elongate telomeres without TCAB1 or coilin in particular cellular contexts, with altered modes of action. Those results constrain the universal-essentiality interpretation of earlier depletion experiments. A factor can improve the efficiency or route of endogenous trafficking while being bypassed by a different construct, expression level or adapted cellular state. The e</w:t>
      </w:r>
      <w:r>
        <w:t>xperiments should therefore be compared through their actual RNP and cell designs.</w:t>
      </w:r>
      <w:hyperlink r:id="rId37" w:history="1">
        <w:r>
          <w:rPr>
            <w:color w:val="087B78"/>
            <w:sz w:val="18"/>
            <w:szCs w:val="18"/>
          </w:rPr>
          <w:t xml:space="preserve"> [10]</w:t>
        </w:r>
      </w:hyperlink>
    </w:p>
    <w:p w14:paraId="3930464A" w14:textId="5B680519" w:rsidR="00C66512" w:rsidRDefault="0032191A">
      <w:r>
        <w:t>Localization and enzymatic capability are separate endpoints. A telomerase RNA can leave a visible body yet still participate in a productive reaction, while a normally localized RNP can have a biochemical defect. Disease or cancer claims require identifying which endpoint is affected and by what molecular change. The TCAB1 and minimized-telomerase studies demonstrate why a trafficking phenotype should not automatically be interpreted as irreversible loss of all enzyme activity.</w:t>
      </w:r>
      <w:hyperlink r:id="rId38" w:history="1">
        <w:r>
          <w:rPr>
            <w:color w:val="087B78"/>
            <w:sz w:val="18"/>
            <w:szCs w:val="18"/>
          </w:rPr>
          <w:t xml:space="preserve"> [9]</w:t>
        </w:r>
      </w:hyperlink>
      <w:hyperlink r:id="rId39" w:history="1">
        <w:r>
          <w:rPr>
            <w:color w:val="087B78"/>
            <w:sz w:val="18"/>
            <w:szCs w:val="18"/>
          </w:rPr>
          <w:t xml:space="preserve"> [10]</w:t>
        </w:r>
      </w:hyperlink>
    </w:p>
    <w:p w14:paraId="0C054FE4" w14:textId="77777777" w:rsidR="00C66512" w:rsidRDefault="0032191A">
      <w:pPr>
        <w:pStyle w:val="Heading1"/>
      </w:pPr>
      <w:bookmarkStart w:id="8" w:name="_Toc242668331"/>
      <w:r>
        <w:lastRenderedPageBreak/>
        <w:t>8. A 2025 model of exchange and assembly</w:t>
      </w:r>
      <w:bookmarkEnd w:id="8"/>
    </w:p>
    <w:p w14:paraId="42D68A7C" w14:textId="36BBFF83" w:rsidR="00C66512" w:rsidRDefault="0032191A">
      <w:r>
        <w:t>Basello and colleagues measured coilin movement within Cajal bodies and across their boundary and tested mutations affecting RNA-dependent oligomerization and snRNP binding. They found internal mobility together with restricted exchange at the boundary and formulated a mathematical model linking those observables to molecular interactions. The resulting account makes Cajal-body organization responsive to snRNP assembly and recycling. It is more specific than assuming that every component partitions into a s</w:t>
      </w:r>
      <w:r>
        <w:t>imple, freely mixing liquid phase.</w:t>
      </w:r>
      <w:hyperlink r:id="rId40" w:history="1">
        <w:r>
          <w:rPr>
            <w:color w:val="087B78"/>
            <w:sz w:val="18"/>
            <w:szCs w:val="18"/>
          </w:rPr>
          <w:t xml:space="preserve"> [5]</w:t>
        </w:r>
      </w:hyperlink>
    </w:p>
    <w:p w14:paraId="3B8B9AC7" w14:textId="4E57D024" w:rsidR="00C66512" w:rsidRDefault="0032191A">
      <w:r>
        <w:t>A mobile protein can coexist with a boundary barrier or a structured interaction network. Thus rapid internal movement and restricted external exchange need not be incompatible observations. The mechanistic task is to explain both with the same molecular parameters and then test the explanation through perturbations. The 2025 study illustrates that approach by combining spatial dynamics, single-residue mutations and modeling. Its findings concern coilin and the tested cellular system; they should not be tra</w:t>
      </w:r>
      <w:r>
        <w:t>nsferred without measurement to every RNP constituent or every organism’s body.</w:t>
      </w:r>
      <w:hyperlink r:id="rId41" w:history="1">
        <w:r>
          <w:rPr>
            <w:color w:val="087B78"/>
            <w:sz w:val="18"/>
            <w:szCs w:val="18"/>
          </w:rPr>
          <w:t xml:space="preserve"> [5]</w:t>
        </w:r>
      </w:hyperlink>
    </w:p>
    <w:p w14:paraId="75BD9510" w14:textId="77777777" w:rsidR="00C66512" w:rsidRDefault="0032191A">
      <w:pPr>
        <w:pStyle w:val="Heading1"/>
      </w:pPr>
      <w:bookmarkStart w:id="9" w:name="_Toc242668332"/>
      <w:r>
        <w:t>9. What the major experiments establish</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6512" w14:paraId="5C42B4B2"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050C7FAD" w14:textId="77777777" w:rsidR="00C66512" w:rsidRDefault="0032191A">
            <w:pPr>
              <w:spacing w:after="50" w:line="255" w:lineRule="auto"/>
            </w:pPr>
            <w:r>
              <w:rPr>
                <w:b/>
                <w:bCs/>
                <w:color w:val="173B4C"/>
                <w:sz w:val="19"/>
                <w:szCs w:val="19"/>
              </w:rPr>
              <w:t>Evidence</w:t>
            </w:r>
          </w:p>
        </w:tc>
        <w:tc>
          <w:tcPr>
            <w:tcW w:w="3120" w:type="dxa"/>
            <w:shd w:val="clear" w:color="auto" w:fill="EAF3F3"/>
            <w:tcMar>
              <w:top w:w="105" w:type="dxa"/>
              <w:left w:w="125" w:type="dxa"/>
              <w:bottom w:w="105" w:type="dxa"/>
              <w:right w:w="125" w:type="dxa"/>
            </w:tcMar>
          </w:tcPr>
          <w:p w14:paraId="4B8AC2E0" w14:textId="77777777" w:rsidR="00C66512" w:rsidRDefault="0032191A">
            <w:pPr>
              <w:spacing w:after="50" w:line="255" w:lineRule="auto"/>
            </w:pPr>
            <w:r>
              <w:rPr>
                <w:b/>
                <w:bCs/>
                <w:color w:val="173B4C"/>
                <w:sz w:val="19"/>
                <w:szCs w:val="19"/>
              </w:rPr>
              <w:t>Biological contribution</w:t>
            </w:r>
          </w:p>
        </w:tc>
        <w:tc>
          <w:tcPr>
            <w:tcW w:w="3120" w:type="dxa"/>
            <w:shd w:val="clear" w:color="auto" w:fill="EAF3F3"/>
            <w:tcMar>
              <w:top w:w="105" w:type="dxa"/>
              <w:left w:w="125" w:type="dxa"/>
              <w:bottom w:w="105" w:type="dxa"/>
              <w:right w:w="125" w:type="dxa"/>
            </w:tcMar>
          </w:tcPr>
          <w:p w14:paraId="2562D99A" w14:textId="77777777" w:rsidR="00C66512" w:rsidRDefault="0032191A">
            <w:pPr>
              <w:spacing w:after="50" w:line="255" w:lineRule="auto"/>
            </w:pPr>
            <w:r>
              <w:rPr>
                <w:b/>
                <w:bCs/>
                <w:color w:val="173B4C"/>
                <w:sz w:val="19"/>
                <w:szCs w:val="19"/>
              </w:rPr>
              <w:t>Limit of the inference</w:t>
            </w:r>
          </w:p>
        </w:tc>
      </w:tr>
      <w:tr w:rsidR="00C66512" w14:paraId="06B60A6E" w14:textId="77777777">
        <w:tblPrEx>
          <w:tblCellMar>
            <w:top w:w="0" w:type="dxa"/>
            <w:bottom w:w="0" w:type="dxa"/>
          </w:tblCellMar>
        </w:tblPrEx>
        <w:trPr>
          <w:cantSplit/>
        </w:trPr>
        <w:tc>
          <w:tcPr>
            <w:tcW w:w="3120" w:type="dxa"/>
            <w:tcMar>
              <w:top w:w="105" w:type="dxa"/>
              <w:left w:w="125" w:type="dxa"/>
              <w:bottom w:w="105" w:type="dxa"/>
              <w:right w:w="125" w:type="dxa"/>
            </w:tcMar>
          </w:tcPr>
          <w:p w14:paraId="061B0302" w14:textId="77777777" w:rsidR="00C66512" w:rsidRDefault="0032191A">
            <w:pPr>
              <w:spacing w:after="50" w:line="255" w:lineRule="auto"/>
            </w:pPr>
            <w:r>
              <w:rPr>
                <w:sz w:val="19"/>
                <w:szCs w:val="19"/>
              </w:rPr>
              <w:t>Coilin–SMN and SmB′ interactions</w:t>
            </w:r>
          </w:p>
        </w:tc>
        <w:tc>
          <w:tcPr>
            <w:tcW w:w="3120" w:type="dxa"/>
            <w:tcMar>
              <w:top w:w="105" w:type="dxa"/>
              <w:left w:w="125" w:type="dxa"/>
              <w:bottom w:w="105" w:type="dxa"/>
              <w:right w:w="125" w:type="dxa"/>
            </w:tcMar>
          </w:tcPr>
          <w:p w14:paraId="554F1E3F" w14:textId="77777777" w:rsidR="00C66512" w:rsidRDefault="0032191A">
            <w:pPr>
              <w:spacing w:after="50" w:line="255" w:lineRule="auto"/>
            </w:pPr>
            <w:r>
              <w:rPr>
                <w:sz w:val="19"/>
                <w:szCs w:val="19"/>
              </w:rPr>
              <w:t>Selective recruitment through defined molecular contacts</w:t>
            </w:r>
          </w:p>
        </w:tc>
        <w:tc>
          <w:tcPr>
            <w:tcW w:w="3120" w:type="dxa"/>
            <w:tcMar>
              <w:top w:w="105" w:type="dxa"/>
              <w:left w:w="125" w:type="dxa"/>
              <w:bottom w:w="105" w:type="dxa"/>
              <w:right w:w="125" w:type="dxa"/>
            </w:tcMar>
          </w:tcPr>
          <w:p w14:paraId="57482B68" w14:textId="2E08393A" w:rsidR="00C66512" w:rsidRDefault="0032191A">
            <w:pPr>
              <w:spacing w:after="50" w:line="255" w:lineRule="auto"/>
            </w:pPr>
            <w:r>
              <w:rPr>
                <w:sz w:val="19"/>
                <w:szCs w:val="19"/>
              </w:rPr>
              <w:t>Recruitment to a focus is distinct from demonstrating every later catalytic step.</w:t>
            </w:r>
            <w:hyperlink r:id="rId42" w:history="1">
              <w:r>
                <w:rPr>
                  <w:color w:val="087B78"/>
                  <w:sz w:val="18"/>
                  <w:szCs w:val="18"/>
                </w:rPr>
                <w:t xml:space="preserve"> [2]</w:t>
              </w:r>
            </w:hyperlink>
          </w:p>
        </w:tc>
      </w:tr>
      <w:tr w:rsidR="00C66512" w14:paraId="73091AD7" w14:textId="77777777">
        <w:tblPrEx>
          <w:tblCellMar>
            <w:top w:w="0" w:type="dxa"/>
            <w:bottom w:w="0" w:type="dxa"/>
          </w:tblCellMar>
        </w:tblPrEx>
        <w:trPr>
          <w:cantSplit/>
        </w:trPr>
        <w:tc>
          <w:tcPr>
            <w:tcW w:w="3120" w:type="dxa"/>
            <w:tcMar>
              <w:top w:w="105" w:type="dxa"/>
              <w:left w:w="125" w:type="dxa"/>
              <w:bottom w:w="105" w:type="dxa"/>
              <w:right w:w="125" w:type="dxa"/>
            </w:tcMar>
          </w:tcPr>
          <w:p w14:paraId="10BAC2AE" w14:textId="77777777" w:rsidR="00C66512" w:rsidRDefault="0032191A">
            <w:pPr>
              <w:spacing w:after="50" w:line="255" w:lineRule="auto"/>
            </w:pPr>
            <w:r>
              <w:rPr>
                <w:sz w:val="19"/>
                <w:szCs w:val="19"/>
              </w:rPr>
              <w:t>scaRNA identification and guide activity</w:t>
            </w:r>
          </w:p>
        </w:tc>
        <w:tc>
          <w:tcPr>
            <w:tcW w:w="3120" w:type="dxa"/>
            <w:tcMar>
              <w:top w:w="105" w:type="dxa"/>
              <w:left w:w="125" w:type="dxa"/>
              <w:bottom w:w="105" w:type="dxa"/>
              <w:right w:w="125" w:type="dxa"/>
            </w:tcMar>
          </w:tcPr>
          <w:p w14:paraId="67CB40D6" w14:textId="77777777" w:rsidR="00C66512" w:rsidRDefault="0032191A">
            <w:pPr>
              <w:spacing w:after="50" w:line="255" w:lineRule="auto"/>
            </w:pPr>
            <w:r>
              <w:rPr>
                <w:sz w:val="19"/>
                <w:szCs w:val="19"/>
              </w:rPr>
              <w:t>Spatial organization of snRNA-modification machinery</w:t>
            </w:r>
          </w:p>
        </w:tc>
        <w:tc>
          <w:tcPr>
            <w:tcW w:w="3120" w:type="dxa"/>
            <w:tcMar>
              <w:top w:w="105" w:type="dxa"/>
              <w:left w:w="125" w:type="dxa"/>
              <w:bottom w:w="105" w:type="dxa"/>
              <w:right w:w="125" w:type="dxa"/>
            </w:tcMar>
          </w:tcPr>
          <w:p w14:paraId="7B833159" w14:textId="5D2BF750" w:rsidR="00C66512" w:rsidRDefault="0032191A">
            <w:pPr>
              <w:spacing w:after="50" w:line="255" w:lineRule="auto"/>
            </w:pPr>
            <w:r>
              <w:rPr>
                <w:sz w:val="19"/>
                <w:szCs w:val="19"/>
              </w:rPr>
              <w:t>Predicted modification targets require confirmation; visible-body necessity is not universal.</w:t>
            </w:r>
            <w:hyperlink r:id="rId43" w:history="1">
              <w:r>
                <w:rPr>
                  <w:color w:val="087B78"/>
                  <w:sz w:val="18"/>
                  <w:szCs w:val="18"/>
                </w:rPr>
                <w:t xml:space="preserve"> [1]</w:t>
              </w:r>
            </w:hyperlink>
          </w:p>
        </w:tc>
      </w:tr>
      <w:tr w:rsidR="00C66512" w14:paraId="366793D6" w14:textId="77777777">
        <w:tblPrEx>
          <w:tblCellMar>
            <w:top w:w="0" w:type="dxa"/>
            <w:bottom w:w="0" w:type="dxa"/>
          </w:tblCellMar>
        </w:tblPrEx>
        <w:trPr>
          <w:cantSplit/>
        </w:trPr>
        <w:tc>
          <w:tcPr>
            <w:tcW w:w="3120" w:type="dxa"/>
            <w:tcMar>
              <w:top w:w="105" w:type="dxa"/>
              <w:left w:w="125" w:type="dxa"/>
              <w:bottom w:w="105" w:type="dxa"/>
              <w:right w:w="125" w:type="dxa"/>
            </w:tcMar>
          </w:tcPr>
          <w:p w14:paraId="3F579F85" w14:textId="77777777" w:rsidR="00C66512" w:rsidRDefault="0032191A">
            <w:pPr>
              <w:spacing w:after="50" w:line="255" w:lineRule="auto"/>
            </w:pPr>
            <w:r>
              <w:rPr>
                <w:sz w:val="19"/>
                <w:szCs w:val="19"/>
              </w:rPr>
              <w:t>FRAP-constrained tri-snRNP model</w:t>
            </w:r>
          </w:p>
        </w:tc>
        <w:tc>
          <w:tcPr>
            <w:tcW w:w="3120" w:type="dxa"/>
            <w:tcMar>
              <w:top w:w="105" w:type="dxa"/>
              <w:left w:w="125" w:type="dxa"/>
              <w:bottom w:w="105" w:type="dxa"/>
              <w:right w:w="125" w:type="dxa"/>
            </w:tcMar>
          </w:tcPr>
          <w:p w14:paraId="1F8F7D12" w14:textId="77777777" w:rsidR="00C66512" w:rsidRDefault="0032191A">
            <w:pPr>
              <w:spacing w:after="50" w:line="255" w:lineRule="auto"/>
            </w:pPr>
            <w:r>
              <w:rPr>
                <w:sz w:val="19"/>
                <w:szCs w:val="19"/>
              </w:rPr>
              <w:t>A quantitative hypothesis for assembly enhancement</w:t>
            </w:r>
          </w:p>
        </w:tc>
        <w:tc>
          <w:tcPr>
            <w:tcW w:w="3120" w:type="dxa"/>
            <w:tcMar>
              <w:top w:w="105" w:type="dxa"/>
              <w:left w:w="125" w:type="dxa"/>
              <w:bottom w:w="105" w:type="dxa"/>
              <w:right w:w="125" w:type="dxa"/>
            </w:tcMar>
          </w:tcPr>
          <w:p w14:paraId="5EBDE784" w14:textId="0BBBDB5B" w:rsidR="00C66512" w:rsidRDefault="0032191A">
            <w:pPr>
              <w:spacing w:after="50" w:line="255" w:lineRule="auto"/>
            </w:pPr>
            <w:r>
              <w:rPr>
                <w:sz w:val="19"/>
                <w:szCs w:val="19"/>
              </w:rPr>
              <w:t>Reaction rates and enhancement remain conditional on the kinetic model.</w:t>
            </w:r>
            <w:hyperlink r:id="rId44" w:history="1">
              <w:r>
                <w:rPr>
                  <w:color w:val="087B78"/>
                  <w:sz w:val="18"/>
                  <w:szCs w:val="18"/>
                </w:rPr>
                <w:t xml:space="preserve"> [4]</w:t>
              </w:r>
            </w:hyperlink>
          </w:p>
        </w:tc>
      </w:tr>
      <w:tr w:rsidR="00C66512" w14:paraId="2A73021E" w14:textId="77777777">
        <w:tblPrEx>
          <w:tblCellMar>
            <w:top w:w="0" w:type="dxa"/>
            <w:bottom w:w="0" w:type="dxa"/>
          </w:tblCellMar>
        </w:tblPrEx>
        <w:trPr>
          <w:cantSplit/>
        </w:trPr>
        <w:tc>
          <w:tcPr>
            <w:tcW w:w="3120" w:type="dxa"/>
            <w:tcMar>
              <w:top w:w="105" w:type="dxa"/>
              <w:left w:w="125" w:type="dxa"/>
              <w:bottom w:w="105" w:type="dxa"/>
              <w:right w:w="125" w:type="dxa"/>
            </w:tcMar>
          </w:tcPr>
          <w:p w14:paraId="3E9F4D43" w14:textId="77777777" w:rsidR="00C66512" w:rsidRDefault="0032191A">
            <w:pPr>
              <w:spacing w:after="50" w:line="255" w:lineRule="auto"/>
            </w:pPr>
            <w:r>
              <w:rPr>
                <w:sz w:val="19"/>
                <w:szCs w:val="19"/>
              </w:rPr>
              <w:t>Embryonic depletion and mature-particle rescue</w:t>
            </w:r>
          </w:p>
        </w:tc>
        <w:tc>
          <w:tcPr>
            <w:tcW w:w="3120" w:type="dxa"/>
            <w:tcMar>
              <w:top w:w="105" w:type="dxa"/>
              <w:left w:w="125" w:type="dxa"/>
              <w:bottom w:w="105" w:type="dxa"/>
              <w:right w:w="125" w:type="dxa"/>
            </w:tcMar>
          </w:tcPr>
          <w:p w14:paraId="0063D8FD" w14:textId="77777777" w:rsidR="00C66512" w:rsidRDefault="0032191A">
            <w:pPr>
              <w:spacing w:after="50" w:line="255" w:lineRule="auto"/>
            </w:pPr>
            <w:r>
              <w:rPr>
                <w:sz w:val="19"/>
                <w:szCs w:val="19"/>
              </w:rPr>
              <w:t>Demand for assembled snRNPs can explain a developmental phenotype</w:t>
            </w:r>
          </w:p>
        </w:tc>
        <w:tc>
          <w:tcPr>
            <w:tcW w:w="3120" w:type="dxa"/>
            <w:tcMar>
              <w:top w:w="105" w:type="dxa"/>
              <w:left w:w="125" w:type="dxa"/>
              <w:bottom w:w="105" w:type="dxa"/>
              <w:right w:w="125" w:type="dxa"/>
            </w:tcMar>
          </w:tcPr>
          <w:p w14:paraId="118806A1" w14:textId="2AD7F118" w:rsidR="00C66512" w:rsidRDefault="0032191A">
            <w:pPr>
              <w:spacing w:after="50" w:line="255" w:lineRule="auto"/>
            </w:pPr>
            <w:r>
              <w:rPr>
                <w:sz w:val="19"/>
                <w:szCs w:val="19"/>
              </w:rPr>
              <w:t>Coilin function and body geometry are not selectively separated.</w:t>
            </w:r>
            <w:hyperlink r:id="rId45" w:history="1">
              <w:r>
                <w:rPr>
                  <w:color w:val="087B78"/>
                  <w:sz w:val="18"/>
                  <w:szCs w:val="18"/>
                </w:rPr>
                <w:t xml:space="preserve"> [3]</w:t>
              </w:r>
            </w:hyperlink>
          </w:p>
        </w:tc>
      </w:tr>
      <w:tr w:rsidR="00C66512" w14:paraId="719FA670" w14:textId="77777777">
        <w:tblPrEx>
          <w:tblCellMar>
            <w:top w:w="0" w:type="dxa"/>
            <w:bottom w:w="0" w:type="dxa"/>
          </w:tblCellMar>
        </w:tblPrEx>
        <w:trPr>
          <w:cantSplit/>
        </w:trPr>
        <w:tc>
          <w:tcPr>
            <w:tcW w:w="3120" w:type="dxa"/>
            <w:tcMar>
              <w:top w:w="105" w:type="dxa"/>
              <w:left w:w="125" w:type="dxa"/>
              <w:bottom w:w="105" w:type="dxa"/>
              <w:right w:w="125" w:type="dxa"/>
            </w:tcMar>
          </w:tcPr>
          <w:p w14:paraId="19250084" w14:textId="77777777" w:rsidR="00C66512" w:rsidRDefault="0032191A">
            <w:pPr>
              <w:spacing w:after="50" w:line="255" w:lineRule="auto"/>
            </w:pPr>
            <w:r>
              <w:rPr>
                <w:sz w:val="19"/>
                <w:szCs w:val="19"/>
              </w:rPr>
              <w:t>Mouse mutation and residual structures</w:t>
            </w:r>
          </w:p>
        </w:tc>
        <w:tc>
          <w:tcPr>
            <w:tcW w:w="3120" w:type="dxa"/>
            <w:tcMar>
              <w:top w:w="105" w:type="dxa"/>
              <w:left w:w="125" w:type="dxa"/>
              <w:bottom w:w="105" w:type="dxa"/>
              <w:right w:w="125" w:type="dxa"/>
            </w:tcMar>
          </w:tcPr>
          <w:p w14:paraId="3B9175CF" w14:textId="77777777" w:rsidR="00C66512" w:rsidRDefault="0032191A">
            <w:pPr>
              <w:spacing w:after="50" w:line="255" w:lineRule="auto"/>
            </w:pPr>
            <w:r>
              <w:rPr>
                <w:sz w:val="19"/>
                <w:szCs w:val="19"/>
              </w:rPr>
              <w:t>Composition and organismal viability are context dependent</w:t>
            </w:r>
          </w:p>
        </w:tc>
        <w:tc>
          <w:tcPr>
            <w:tcW w:w="3120" w:type="dxa"/>
            <w:tcMar>
              <w:top w:w="105" w:type="dxa"/>
              <w:left w:w="125" w:type="dxa"/>
              <w:bottom w:w="105" w:type="dxa"/>
              <w:right w:w="125" w:type="dxa"/>
            </w:tcMar>
          </w:tcPr>
          <w:p w14:paraId="56616655" w14:textId="401F2705" w:rsidR="00C66512" w:rsidRDefault="0032191A">
            <w:pPr>
              <w:spacing w:after="50" w:line="255" w:lineRule="auto"/>
            </w:pPr>
            <w:r>
              <w:rPr>
                <w:sz w:val="19"/>
                <w:szCs w:val="19"/>
              </w:rPr>
              <w:t>Survival in one genetic background does not imply normal processing everywhere.</w:t>
            </w:r>
            <w:hyperlink r:id="rId46" w:history="1">
              <w:r>
                <w:rPr>
                  <w:color w:val="087B78"/>
                  <w:sz w:val="18"/>
                  <w:szCs w:val="18"/>
                </w:rPr>
                <w:t xml:space="preserve"> [6]</w:t>
              </w:r>
            </w:hyperlink>
          </w:p>
        </w:tc>
      </w:tr>
      <w:tr w:rsidR="00C66512" w14:paraId="58A9944B" w14:textId="77777777">
        <w:tblPrEx>
          <w:tblCellMar>
            <w:top w:w="0" w:type="dxa"/>
            <w:bottom w:w="0" w:type="dxa"/>
          </w:tblCellMar>
        </w:tblPrEx>
        <w:trPr>
          <w:cantSplit/>
        </w:trPr>
        <w:tc>
          <w:tcPr>
            <w:tcW w:w="3120" w:type="dxa"/>
            <w:tcMar>
              <w:top w:w="105" w:type="dxa"/>
              <w:left w:w="125" w:type="dxa"/>
              <w:bottom w:w="105" w:type="dxa"/>
              <w:right w:w="125" w:type="dxa"/>
            </w:tcMar>
          </w:tcPr>
          <w:p w14:paraId="14C1158B" w14:textId="77777777" w:rsidR="00C66512" w:rsidRDefault="0032191A">
            <w:pPr>
              <w:spacing w:after="50" w:line="255" w:lineRule="auto"/>
            </w:pPr>
            <w:r>
              <w:rPr>
                <w:sz w:val="19"/>
                <w:szCs w:val="19"/>
              </w:rPr>
              <w:t>Telomerase depletion and bypass experiments</w:t>
            </w:r>
          </w:p>
        </w:tc>
        <w:tc>
          <w:tcPr>
            <w:tcW w:w="3120" w:type="dxa"/>
            <w:tcMar>
              <w:top w:w="105" w:type="dxa"/>
              <w:left w:w="125" w:type="dxa"/>
              <w:bottom w:w="105" w:type="dxa"/>
              <w:right w:w="125" w:type="dxa"/>
            </w:tcMar>
          </w:tcPr>
          <w:p w14:paraId="4E643CE7" w14:textId="77777777" w:rsidR="00C66512" w:rsidRDefault="0032191A">
            <w:pPr>
              <w:spacing w:after="50" w:line="255" w:lineRule="auto"/>
            </w:pPr>
            <w:r>
              <w:rPr>
                <w:sz w:val="19"/>
                <w:szCs w:val="19"/>
              </w:rPr>
              <w:t>Trafficking requirements depend on RNP and cell design</w:t>
            </w:r>
          </w:p>
        </w:tc>
        <w:tc>
          <w:tcPr>
            <w:tcW w:w="3120" w:type="dxa"/>
            <w:tcMar>
              <w:top w:w="105" w:type="dxa"/>
              <w:left w:w="125" w:type="dxa"/>
              <w:bottom w:w="105" w:type="dxa"/>
              <w:right w:w="125" w:type="dxa"/>
            </w:tcMar>
          </w:tcPr>
          <w:p w14:paraId="768147BA" w14:textId="663AAD92" w:rsidR="00C66512" w:rsidRDefault="0032191A">
            <w:pPr>
              <w:spacing w:after="50" w:line="255" w:lineRule="auto"/>
            </w:pPr>
            <w:r>
              <w:rPr>
                <w:sz w:val="19"/>
                <w:szCs w:val="19"/>
              </w:rPr>
              <w:t>Location, recruitment and catalytic output must be measured separately.</w:t>
            </w:r>
            <w:hyperlink r:id="rId47" w:history="1">
              <w:r>
                <w:rPr>
                  <w:color w:val="087B78"/>
                  <w:sz w:val="18"/>
                  <w:szCs w:val="18"/>
                </w:rPr>
                <w:t xml:space="preserve"> [9]</w:t>
              </w:r>
            </w:hyperlink>
            <w:hyperlink r:id="rId48" w:history="1">
              <w:r>
                <w:rPr>
                  <w:color w:val="087B78"/>
                  <w:sz w:val="18"/>
                  <w:szCs w:val="18"/>
                </w:rPr>
                <w:t xml:space="preserve"> [10]</w:t>
              </w:r>
            </w:hyperlink>
          </w:p>
        </w:tc>
      </w:tr>
      <w:tr w:rsidR="00C66512" w14:paraId="51241197" w14:textId="77777777">
        <w:tblPrEx>
          <w:tblCellMar>
            <w:top w:w="0" w:type="dxa"/>
            <w:bottom w:w="0" w:type="dxa"/>
          </w:tblCellMar>
        </w:tblPrEx>
        <w:trPr>
          <w:cantSplit/>
        </w:trPr>
        <w:tc>
          <w:tcPr>
            <w:tcW w:w="3120" w:type="dxa"/>
            <w:tcMar>
              <w:top w:w="105" w:type="dxa"/>
              <w:left w:w="125" w:type="dxa"/>
              <w:bottom w:w="105" w:type="dxa"/>
              <w:right w:w="125" w:type="dxa"/>
            </w:tcMar>
          </w:tcPr>
          <w:p w14:paraId="7CAAE679" w14:textId="77777777" w:rsidR="00C66512" w:rsidRDefault="0032191A">
            <w:pPr>
              <w:spacing w:after="50" w:line="255" w:lineRule="auto"/>
            </w:pPr>
            <w:r>
              <w:rPr>
                <w:sz w:val="19"/>
                <w:szCs w:val="19"/>
              </w:rPr>
              <w:lastRenderedPageBreak/>
              <w:t>Coilin dynamics and interaction mutants</w:t>
            </w:r>
          </w:p>
        </w:tc>
        <w:tc>
          <w:tcPr>
            <w:tcW w:w="3120" w:type="dxa"/>
            <w:tcMar>
              <w:top w:w="105" w:type="dxa"/>
              <w:left w:w="125" w:type="dxa"/>
              <w:bottom w:w="105" w:type="dxa"/>
              <w:right w:w="125" w:type="dxa"/>
            </w:tcMar>
          </w:tcPr>
          <w:p w14:paraId="43589902" w14:textId="77777777" w:rsidR="00C66512" w:rsidRDefault="0032191A">
            <w:pPr>
              <w:spacing w:after="50" w:line="255" w:lineRule="auto"/>
            </w:pPr>
            <w:r>
              <w:rPr>
                <w:sz w:val="19"/>
                <w:szCs w:val="19"/>
              </w:rPr>
              <w:t>An exchange/assembly model tied to RNA and snRNP contacts</w:t>
            </w:r>
          </w:p>
        </w:tc>
        <w:tc>
          <w:tcPr>
            <w:tcW w:w="3120" w:type="dxa"/>
            <w:tcMar>
              <w:top w:w="105" w:type="dxa"/>
              <w:left w:w="125" w:type="dxa"/>
              <w:bottom w:w="105" w:type="dxa"/>
              <w:right w:w="125" w:type="dxa"/>
            </w:tcMar>
          </w:tcPr>
          <w:p w14:paraId="38F2AEAE" w14:textId="4A354DC0" w:rsidR="00C66512" w:rsidRDefault="0032191A">
            <w:pPr>
              <w:spacing w:after="50" w:line="255" w:lineRule="auto"/>
            </w:pPr>
            <w:r>
              <w:rPr>
                <w:sz w:val="19"/>
                <w:szCs w:val="19"/>
              </w:rPr>
              <w:t>Component dynamics do not diagnose one universal whole-body material state.</w:t>
            </w:r>
            <w:hyperlink r:id="rId49" w:history="1">
              <w:r>
                <w:rPr>
                  <w:color w:val="087B78"/>
                  <w:sz w:val="18"/>
                  <w:szCs w:val="18"/>
                </w:rPr>
                <w:t xml:space="preserve"> [5]</w:t>
              </w:r>
            </w:hyperlink>
          </w:p>
        </w:tc>
      </w:tr>
    </w:tbl>
    <w:p w14:paraId="6FC3B986" w14:textId="77777777" w:rsidR="00C66512" w:rsidRDefault="00C66512">
      <w:pPr>
        <w:spacing w:after="170"/>
      </w:pPr>
    </w:p>
    <w:p w14:paraId="42B14A8E" w14:textId="41F1A0EF" w:rsidR="00C66512" w:rsidRDefault="0032191A">
      <w:r>
        <w:t>The experiments form a mechanistic sequence rather than a single all-purpose assay: interaction tests define recruitment; guide and particle measurements identify maturation; kinetic models estimate throughput; rescue links a molecular deficit to biological outcome. Choosing the correct level is essential when evaluating a new mutation or disease association. A change in body number should first be connected to a changed molecular pool before it is assigned a particular downstream splicing or telomere pheno</w:t>
      </w:r>
      <w:r>
        <w:t>type.</w:t>
      </w:r>
      <w:hyperlink r:id="rId50" w:history="1">
        <w:r>
          <w:rPr>
            <w:color w:val="087B78"/>
            <w:sz w:val="18"/>
            <w:szCs w:val="18"/>
          </w:rPr>
          <w:t xml:space="preserve"> [2]</w:t>
        </w:r>
      </w:hyperlink>
      <w:hyperlink r:id="rId51" w:history="1">
        <w:r>
          <w:rPr>
            <w:color w:val="087B78"/>
            <w:sz w:val="18"/>
            <w:szCs w:val="18"/>
          </w:rPr>
          <w:t xml:space="preserve"> [1]</w:t>
        </w:r>
      </w:hyperlink>
      <w:hyperlink r:id="rId52" w:history="1">
        <w:r>
          <w:rPr>
            <w:color w:val="087B78"/>
            <w:sz w:val="18"/>
            <w:szCs w:val="18"/>
          </w:rPr>
          <w:t xml:space="preserve"> [4]</w:t>
        </w:r>
      </w:hyperlink>
      <w:hyperlink r:id="rId53" w:history="1">
        <w:r>
          <w:rPr>
            <w:color w:val="087B78"/>
            <w:sz w:val="18"/>
            <w:szCs w:val="18"/>
          </w:rPr>
          <w:t xml:space="preserve"> [3]</w:t>
        </w:r>
      </w:hyperlink>
      <w:hyperlink r:id="rId54" w:history="1">
        <w:r>
          <w:rPr>
            <w:color w:val="087B78"/>
            <w:sz w:val="18"/>
            <w:szCs w:val="18"/>
          </w:rPr>
          <w:t xml:space="preserve"> [10]</w:t>
        </w:r>
      </w:hyperlink>
    </w:p>
    <w:p w14:paraId="2686139D" w14:textId="77777777" w:rsidR="00C66512" w:rsidRDefault="0032191A">
      <w:pPr>
        <w:pStyle w:val="Heading1"/>
      </w:pPr>
      <w:bookmarkStart w:id="10" w:name="_Toc242668333"/>
      <w:r>
        <w:t>10. Physiological interpretation and next questions</w:t>
      </w:r>
      <w:bookmarkEnd w:id="10"/>
    </w:p>
    <w:p w14:paraId="00AB2257" w14:textId="239F82F9" w:rsidR="00C66512" w:rsidRDefault="0032191A">
      <w:r>
        <w:t>The SMN interaction supplies a biologically relevant connection to the protein implicated in spinal muscular atrophy, but the biochemical link does not by itself establish that Cajal-body disruption causes the disease. Likewise, telomerase localization pathways can be important without making every body a universal determinant of telomere maintenance. These examples argue for identifying the affected molecular reaction and then testing its tissue-specific consequence. They preserve the significance of the c</w:t>
      </w:r>
      <w:r>
        <w:t>ompartment while avoiding a disease explanation based only on colocalization or morphology.</w:t>
      </w:r>
      <w:hyperlink r:id="rId55" w:history="1">
        <w:r>
          <w:rPr>
            <w:color w:val="087B78"/>
            <w:sz w:val="18"/>
            <w:szCs w:val="18"/>
          </w:rPr>
          <w:t xml:space="preserve"> [2]</w:t>
        </w:r>
      </w:hyperlink>
      <w:hyperlink r:id="rId56" w:history="1">
        <w:r>
          <w:rPr>
            <w:color w:val="087B78"/>
            <w:sz w:val="18"/>
            <w:szCs w:val="18"/>
          </w:rPr>
          <w:t xml:space="preserve"> [9]</w:t>
        </w:r>
      </w:hyperlink>
      <w:hyperlink r:id="rId57" w:history="1">
        <w:r>
          <w:rPr>
            <w:color w:val="087B78"/>
            <w:sz w:val="18"/>
            <w:szCs w:val="18"/>
          </w:rPr>
          <w:t xml:space="preserve"> [10]</w:t>
        </w:r>
      </w:hyperlink>
    </w:p>
    <w:p w14:paraId="40510ED7" w14:textId="797513FE" w:rsidR="00C66512" w:rsidRDefault="0032191A">
      <w:r>
        <w:t>The strongest current synthesis is that Cajal bodies organize a conditional RNP-assembly environment whose demand and architecture vary. Open questions concern how component residence times affect productive assembly, how RNA and protein interactions constrain boundary exchange and which tissues become vulnerable when this organization is altered. Endogenous molecular measurements, matched rescue and perturbations separating biochemical interfaces from geometry can address those questions. They extend the e</w:t>
      </w:r>
      <w:r>
        <w:t>stablished assembly biology without presuming a single universal scaffold, material state or essentiality rule.</w:t>
      </w:r>
      <w:hyperlink r:id="rId58" w:history="1">
        <w:r>
          <w:rPr>
            <w:color w:val="087B78"/>
            <w:sz w:val="18"/>
            <w:szCs w:val="18"/>
          </w:rPr>
          <w:t xml:space="preserve"> [4]</w:t>
        </w:r>
      </w:hyperlink>
      <w:hyperlink r:id="rId59" w:history="1">
        <w:r>
          <w:rPr>
            <w:color w:val="087B78"/>
            <w:sz w:val="18"/>
            <w:szCs w:val="18"/>
          </w:rPr>
          <w:t xml:space="preserve"> [8]</w:t>
        </w:r>
      </w:hyperlink>
      <w:hyperlink r:id="rId60" w:history="1">
        <w:r>
          <w:rPr>
            <w:color w:val="087B78"/>
            <w:sz w:val="18"/>
            <w:szCs w:val="18"/>
          </w:rPr>
          <w:t xml:space="preserve"> [5]</w:t>
        </w:r>
      </w:hyperlink>
      <w:hyperlink r:id="rId61" w:history="1">
        <w:r>
          <w:rPr>
            <w:color w:val="087B78"/>
            <w:sz w:val="18"/>
            <w:szCs w:val="18"/>
          </w:rPr>
          <w:t xml:space="preserve"> [6]</w:t>
        </w:r>
      </w:hyperlink>
    </w:p>
    <w:p w14:paraId="00B32088" w14:textId="647BB768" w:rsidR="00C66512" w:rsidRDefault="0032191A">
      <w:r>
        <w:t>A particularly useful comparison follows newly made and recycled particles separately. Developmental production of the RNP pool and exchange of existing components are related but different demands. The model and live developmental measurements motivate distinguishing those populations when attributing a change in body organization to assembly or recycling.</w:t>
      </w:r>
      <w:hyperlink r:id="rId62" w:history="1">
        <w:r>
          <w:rPr>
            <w:color w:val="087B78"/>
            <w:sz w:val="18"/>
            <w:szCs w:val="18"/>
          </w:rPr>
          <w:t xml:space="preserve"> [7]</w:t>
        </w:r>
      </w:hyperlink>
      <w:hyperlink r:id="rId63" w:history="1">
        <w:r>
          <w:rPr>
            <w:color w:val="087B78"/>
            <w:sz w:val="18"/>
            <w:szCs w:val="18"/>
          </w:rPr>
          <w:t xml:space="preserve"> [5]</w:t>
        </w:r>
      </w:hyperlink>
    </w:p>
    <w:p w14:paraId="72F3B8DA" w14:textId="77777777" w:rsidR="00C66512" w:rsidRDefault="0032191A">
      <w:pPr>
        <w:pStyle w:val="Heading1"/>
      </w:pPr>
      <w:bookmarkStart w:id="11" w:name="_Toc242668334"/>
      <w:r>
        <w:t>References</w:t>
      </w:r>
      <w:bookmarkEnd w:id="11"/>
    </w:p>
    <w:p w14:paraId="0B076CED" w14:textId="73CE694C" w:rsidR="00C66512" w:rsidRDefault="0032191A">
      <w:pPr>
        <w:keepLines/>
        <w:spacing w:after="90" w:line="245" w:lineRule="auto"/>
      </w:pPr>
      <w:r>
        <w:rPr>
          <w:b/>
          <w:bCs/>
          <w:sz w:val="20"/>
          <w:szCs w:val="20"/>
        </w:rPr>
        <w:t xml:space="preserve">[1] Darzacq et al. (2002). </w:t>
      </w:r>
      <w:r>
        <w:rPr>
          <w:sz w:val="20"/>
          <w:szCs w:val="20"/>
        </w:rPr>
        <w:t xml:space="preserve">Cajal body-specific small nuclear RNAs: a novel class of 2′-O-methylation and pseudouridylation guide RNAs. The EMBO Journal. </w:t>
      </w:r>
      <w:hyperlink r:id="rId64" w:history="1">
        <w:r>
          <w:rPr>
            <w:color w:val="087B78"/>
            <w:sz w:val="20"/>
            <w:szCs w:val="20"/>
            <w:u w:val="single"/>
          </w:rPr>
          <w:t>10.1093/emboj/21.11.2746</w:t>
        </w:r>
      </w:hyperlink>
    </w:p>
    <w:p w14:paraId="36EA6424" w14:textId="3915E7E6" w:rsidR="00C66512" w:rsidRDefault="0032191A">
      <w:pPr>
        <w:keepLines/>
        <w:spacing w:after="90" w:line="245" w:lineRule="auto"/>
      </w:pPr>
      <w:r>
        <w:rPr>
          <w:b/>
          <w:bCs/>
          <w:sz w:val="20"/>
          <w:szCs w:val="20"/>
        </w:rPr>
        <w:t xml:space="preserve">[2] Hebert et al. (2001). </w:t>
      </w:r>
      <w:r>
        <w:rPr>
          <w:sz w:val="20"/>
          <w:szCs w:val="20"/>
        </w:rPr>
        <w:t xml:space="preserve">Coilin forms the bridge between Cajal bodies and SMN, the Spinal Muscular Atrophy protein. Genes &amp; Development. </w:t>
      </w:r>
      <w:hyperlink r:id="rId65" w:history="1">
        <w:r>
          <w:rPr>
            <w:color w:val="087B78"/>
            <w:sz w:val="20"/>
            <w:szCs w:val="20"/>
            <w:u w:val="single"/>
          </w:rPr>
          <w:t>10.1101/gad.908401</w:t>
        </w:r>
      </w:hyperlink>
    </w:p>
    <w:p w14:paraId="59107AB7" w14:textId="54248D7F" w:rsidR="00C66512" w:rsidRDefault="0032191A">
      <w:pPr>
        <w:keepLines/>
        <w:spacing w:after="90" w:line="245" w:lineRule="auto"/>
      </w:pPr>
      <w:r>
        <w:rPr>
          <w:b/>
          <w:bCs/>
          <w:sz w:val="20"/>
          <w:szCs w:val="20"/>
        </w:rPr>
        <w:lastRenderedPageBreak/>
        <w:t xml:space="preserve">[3] Strzelecka et al. (2010). </w:t>
      </w:r>
      <w:r>
        <w:rPr>
          <w:sz w:val="20"/>
          <w:szCs w:val="20"/>
        </w:rPr>
        <w:t xml:space="preserve">Coilin-dependent snRNP assembly is essential for zebrafish embryogenesis. Nature Structural &amp; Molecular Biology. </w:t>
      </w:r>
      <w:hyperlink r:id="rId66" w:history="1">
        <w:r>
          <w:rPr>
            <w:color w:val="087B78"/>
            <w:sz w:val="20"/>
            <w:szCs w:val="20"/>
            <w:u w:val="single"/>
          </w:rPr>
          <w:t>10.1038/nsmb.1783</w:t>
        </w:r>
      </w:hyperlink>
    </w:p>
    <w:p w14:paraId="68409CD0" w14:textId="73B8FACE" w:rsidR="00C66512" w:rsidRDefault="0032191A">
      <w:pPr>
        <w:keepLines/>
        <w:spacing w:after="90" w:line="245" w:lineRule="auto"/>
      </w:pPr>
      <w:r>
        <w:rPr>
          <w:b/>
          <w:bCs/>
          <w:sz w:val="20"/>
          <w:szCs w:val="20"/>
        </w:rPr>
        <w:t xml:space="preserve">[4] Novotný et al. (2011). </w:t>
      </w:r>
      <w:r>
        <w:rPr>
          <w:sz w:val="20"/>
          <w:szCs w:val="20"/>
        </w:rPr>
        <w:t xml:space="preserve">In vivo kinetics of U4/U6·U5 tri-snRNP formation in Cajal bodies. Molecular Biology of the Cell. </w:t>
      </w:r>
      <w:hyperlink r:id="rId67" w:history="1">
        <w:r>
          <w:rPr>
            <w:color w:val="087B78"/>
            <w:sz w:val="20"/>
            <w:szCs w:val="20"/>
            <w:u w:val="single"/>
          </w:rPr>
          <w:t>10.1091/mbc.E10-07-0560</w:t>
        </w:r>
      </w:hyperlink>
    </w:p>
    <w:p w14:paraId="11CCCBB4" w14:textId="6E00D44F" w:rsidR="00C66512" w:rsidRDefault="0032191A">
      <w:pPr>
        <w:keepLines/>
        <w:spacing w:after="90" w:line="245" w:lineRule="auto"/>
      </w:pPr>
      <w:r>
        <w:rPr>
          <w:b/>
          <w:bCs/>
          <w:sz w:val="20"/>
          <w:szCs w:val="20"/>
        </w:rPr>
        <w:t xml:space="preserve">[5] Basello et al. (2025). </w:t>
      </w:r>
      <w:r>
        <w:rPr>
          <w:sz w:val="20"/>
          <w:szCs w:val="20"/>
        </w:rPr>
        <w:t xml:space="preserve">Dynamic interaction of spliceosomal snRNPs with coilin explains Cajal body characteristics. Journal of Cell Biology. </w:t>
      </w:r>
      <w:hyperlink r:id="rId68" w:history="1">
        <w:r>
          <w:rPr>
            <w:color w:val="087B78"/>
            <w:sz w:val="20"/>
            <w:szCs w:val="20"/>
            <w:u w:val="single"/>
          </w:rPr>
          <w:t>10.1083/jcb.202309128</w:t>
        </w:r>
      </w:hyperlink>
    </w:p>
    <w:p w14:paraId="78AF80B1" w14:textId="474C6276" w:rsidR="00C66512" w:rsidRDefault="0032191A">
      <w:pPr>
        <w:keepLines/>
        <w:spacing w:after="90" w:line="245" w:lineRule="auto"/>
      </w:pPr>
      <w:r>
        <w:rPr>
          <w:b/>
          <w:bCs/>
          <w:sz w:val="20"/>
          <w:szCs w:val="20"/>
        </w:rPr>
        <w:t xml:space="preserve">[6] Tucker et al. (2001). </w:t>
      </w:r>
      <w:r>
        <w:rPr>
          <w:sz w:val="20"/>
          <w:szCs w:val="20"/>
        </w:rPr>
        <w:t xml:space="preserve">Residual Cajal bodies in coilin knockout mice fail to recruit Sm snRNPs and SMN, the spinal muscular atrophy gene product. Journal of Cell Biology. </w:t>
      </w:r>
      <w:hyperlink r:id="rId69" w:history="1">
        <w:r>
          <w:rPr>
            <w:color w:val="087B78"/>
            <w:sz w:val="20"/>
            <w:szCs w:val="20"/>
            <w:u w:val="single"/>
          </w:rPr>
          <w:t>10.1083/jcb.200104083</w:t>
        </w:r>
      </w:hyperlink>
    </w:p>
    <w:p w14:paraId="7FE9115D" w14:textId="780D8A97" w:rsidR="00C66512" w:rsidRDefault="0032191A">
      <w:pPr>
        <w:keepLines/>
        <w:spacing w:after="90" w:line="245" w:lineRule="auto"/>
      </w:pPr>
      <w:r>
        <w:rPr>
          <w:b/>
          <w:bCs/>
          <w:sz w:val="20"/>
          <w:szCs w:val="20"/>
        </w:rPr>
        <w:t xml:space="preserve">[7] Strzelecka et al. (2010). </w:t>
      </w:r>
      <w:r>
        <w:rPr>
          <w:sz w:val="20"/>
          <w:szCs w:val="20"/>
        </w:rPr>
        <w:t xml:space="preserve">Dynamic control of Cajal body number during zebrafish embryogenesis. Nucleus. </w:t>
      </w:r>
      <w:hyperlink r:id="rId70" w:history="1">
        <w:r>
          <w:rPr>
            <w:color w:val="087B78"/>
            <w:sz w:val="20"/>
            <w:szCs w:val="20"/>
            <w:u w:val="single"/>
          </w:rPr>
          <w:t>10.4161/nucl.1.1.10680</w:t>
        </w:r>
      </w:hyperlink>
    </w:p>
    <w:p w14:paraId="2B4C21C9" w14:textId="77B4D044" w:rsidR="00C66512" w:rsidRDefault="0032191A">
      <w:pPr>
        <w:keepLines/>
        <w:spacing w:after="90" w:line="245" w:lineRule="auto"/>
      </w:pPr>
      <w:r>
        <w:rPr>
          <w:b/>
          <w:bCs/>
          <w:sz w:val="20"/>
          <w:szCs w:val="20"/>
        </w:rPr>
        <w:t xml:space="preserve">[8] Courchaine et al. (2022). </w:t>
      </w:r>
      <w:r>
        <w:rPr>
          <w:sz w:val="20"/>
          <w:szCs w:val="20"/>
        </w:rPr>
        <w:t xml:space="preserve">The coilin N-terminus mediates multivalent interactions between coilin and Nopp140 to form and maintain Cajal bodies. Nature Communications. </w:t>
      </w:r>
      <w:hyperlink r:id="rId71" w:history="1">
        <w:r>
          <w:rPr>
            <w:color w:val="087B78"/>
            <w:sz w:val="20"/>
            <w:szCs w:val="20"/>
            <w:u w:val="single"/>
          </w:rPr>
          <w:t>10.1038/s41467-022-33434-2</w:t>
        </w:r>
      </w:hyperlink>
    </w:p>
    <w:p w14:paraId="22B8DF62" w14:textId="0CDC0646" w:rsidR="00C66512" w:rsidRDefault="0032191A">
      <w:pPr>
        <w:keepLines/>
        <w:spacing w:after="90" w:line="245" w:lineRule="auto"/>
      </w:pPr>
      <w:r>
        <w:rPr>
          <w:b/>
          <w:bCs/>
          <w:sz w:val="20"/>
          <w:szCs w:val="20"/>
        </w:rPr>
        <w:t xml:space="preserve">[9] Venteicher et al. (2009). </w:t>
      </w:r>
      <w:r>
        <w:rPr>
          <w:sz w:val="20"/>
          <w:szCs w:val="20"/>
        </w:rPr>
        <w:t xml:space="preserve">A human telomerase holoenzyme protein required for Cajal body localization and telomere synthesis. Science. </w:t>
      </w:r>
      <w:hyperlink r:id="rId72" w:history="1">
        <w:r>
          <w:rPr>
            <w:color w:val="087B78"/>
            <w:sz w:val="20"/>
            <w:szCs w:val="20"/>
            <w:u w:val="single"/>
          </w:rPr>
          <w:t>10.1126/science.1165357</w:t>
        </w:r>
      </w:hyperlink>
    </w:p>
    <w:p w14:paraId="295E7165" w14:textId="65A8CA70" w:rsidR="00C66512" w:rsidRDefault="0032191A">
      <w:pPr>
        <w:keepLines/>
        <w:spacing w:after="90" w:line="245" w:lineRule="auto"/>
      </w:pPr>
      <w:r>
        <w:rPr>
          <w:b/>
          <w:bCs/>
          <w:sz w:val="20"/>
          <w:szCs w:val="20"/>
        </w:rPr>
        <w:t xml:space="preserve">[10] Vogan et al. (2016). </w:t>
      </w:r>
      <w:r>
        <w:rPr>
          <w:sz w:val="20"/>
          <w:szCs w:val="20"/>
        </w:rPr>
        <w:t xml:space="preserve">Minimized human telomerase maintains telomeres and resolves endogenous roles of H/ACA proteins, TCAB1, and Cajal bodies. eLife. </w:t>
      </w:r>
      <w:hyperlink r:id="rId73" w:history="1">
        <w:r>
          <w:rPr>
            <w:color w:val="087B78"/>
            <w:sz w:val="20"/>
            <w:szCs w:val="20"/>
            <w:u w:val="single"/>
          </w:rPr>
          <w:t>10.7554/eLife.18221</w:t>
        </w:r>
      </w:hyperlink>
    </w:p>
    <w:p w14:paraId="2730EB69" w14:textId="77777777" w:rsidR="00C66512" w:rsidRDefault="0032191A">
      <w:pPr>
        <w:pStyle w:val="Heading1"/>
      </w:pPr>
      <w:bookmarkStart w:id="12" w:name="_Toc242668335"/>
      <w:r>
        <w:t>Evidence scope</w:t>
      </w:r>
      <w:bookmarkEnd w:id="12"/>
    </w:p>
    <w:p w14:paraId="1AC3EC12" w14:textId="77777777" w:rsidR="00C66512" w:rsidRDefault="0032191A">
      <w:pPr>
        <w:keepLines/>
        <w:spacing w:after="160" w:line="270" w:lineRule="auto"/>
      </w:pPr>
      <w:r>
        <w:t>This scholarly synthesis integrates foundational studies and literature available by 12 October 2026. Source access ranges from primary abstracts to selected Results, figure captions and Methods, as specified for each reference. Experiments and models retain their organism, construct and perturbation context; raw data and supplementary material have not been comprehensively reanalysed.</w:t>
      </w:r>
    </w:p>
    <w:sectPr w:rsidR="00C66512">
      <w:headerReference w:type="default" r:id="rId74"/>
      <w:footerReference w:type="default" r:id="rId75"/>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D71BA" w14:textId="77777777" w:rsidR="0032191A" w:rsidRDefault="0032191A">
      <w:pPr>
        <w:spacing w:after="0" w:line="240" w:lineRule="auto"/>
      </w:pPr>
      <w:r>
        <w:separator/>
      </w:r>
    </w:p>
  </w:endnote>
  <w:endnote w:type="continuationSeparator" w:id="0">
    <w:p w14:paraId="13425481" w14:textId="77777777" w:rsidR="0032191A" w:rsidRDefault="00321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B5DBE" w14:textId="77777777" w:rsidR="00C66512" w:rsidRDefault="0032191A">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667669">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667669">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E08EC" w14:textId="77777777" w:rsidR="0032191A" w:rsidRDefault="0032191A">
      <w:pPr>
        <w:spacing w:after="0" w:line="240" w:lineRule="auto"/>
      </w:pPr>
      <w:r>
        <w:separator/>
      </w:r>
    </w:p>
  </w:footnote>
  <w:footnote w:type="continuationSeparator" w:id="0">
    <w:p w14:paraId="23FFC609" w14:textId="77777777" w:rsidR="0032191A" w:rsidRDefault="003219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3A91" w14:textId="77777777" w:rsidR="00C66512" w:rsidRDefault="0032191A">
    <w:pPr>
      <w:pBdr>
        <w:bottom w:val="single" w:sz="4" w:space="0" w:color="B8D1D0"/>
      </w:pBdr>
    </w:pPr>
    <w:r>
      <w:rPr>
        <w:color w:val="527077"/>
        <w:sz w:val="17"/>
        <w:szCs w:val="17"/>
      </w:rPr>
      <w:t>Cajal Bodies: RNP Assembly, Dynamic Organization and Physiological 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544C9"/>
    <w:multiLevelType w:val="hybridMultilevel"/>
    <w:tmpl w:val="EBF2482C"/>
    <w:lvl w:ilvl="0" w:tplc="4DC0329C">
      <w:start w:val="1"/>
      <w:numFmt w:val="bullet"/>
      <w:lvlText w:val="●"/>
      <w:lvlJc w:val="left"/>
      <w:pPr>
        <w:ind w:left="720" w:hanging="360"/>
      </w:pPr>
    </w:lvl>
    <w:lvl w:ilvl="1" w:tplc="DA185AFA">
      <w:start w:val="1"/>
      <w:numFmt w:val="bullet"/>
      <w:lvlText w:val="○"/>
      <w:lvlJc w:val="left"/>
      <w:pPr>
        <w:ind w:left="1440" w:hanging="360"/>
      </w:pPr>
    </w:lvl>
    <w:lvl w:ilvl="2" w:tplc="A2BA3A96">
      <w:start w:val="1"/>
      <w:numFmt w:val="bullet"/>
      <w:lvlText w:val="■"/>
      <w:lvlJc w:val="left"/>
      <w:pPr>
        <w:ind w:left="2160" w:hanging="360"/>
      </w:pPr>
    </w:lvl>
    <w:lvl w:ilvl="3" w:tplc="1066959E">
      <w:start w:val="1"/>
      <w:numFmt w:val="bullet"/>
      <w:lvlText w:val="●"/>
      <w:lvlJc w:val="left"/>
      <w:pPr>
        <w:ind w:left="2880" w:hanging="360"/>
      </w:pPr>
    </w:lvl>
    <w:lvl w:ilvl="4" w:tplc="31CCA5DC">
      <w:start w:val="1"/>
      <w:numFmt w:val="bullet"/>
      <w:lvlText w:val="○"/>
      <w:lvlJc w:val="left"/>
      <w:pPr>
        <w:ind w:left="3600" w:hanging="360"/>
      </w:pPr>
    </w:lvl>
    <w:lvl w:ilvl="5" w:tplc="8BC22350">
      <w:start w:val="1"/>
      <w:numFmt w:val="bullet"/>
      <w:lvlText w:val="■"/>
      <w:lvlJc w:val="left"/>
      <w:pPr>
        <w:ind w:left="4320" w:hanging="360"/>
      </w:pPr>
    </w:lvl>
    <w:lvl w:ilvl="6" w:tplc="089458A6">
      <w:start w:val="1"/>
      <w:numFmt w:val="bullet"/>
      <w:lvlText w:val="●"/>
      <w:lvlJc w:val="left"/>
      <w:pPr>
        <w:ind w:left="5040" w:hanging="360"/>
      </w:pPr>
    </w:lvl>
    <w:lvl w:ilvl="7" w:tplc="5D14371E">
      <w:start w:val="1"/>
      <w:numFmt w:val="bullet"/>
      <w:lvlText w:val="●"/>
      <w:lvlJc w:val="left"/>
      <w:pPr>
        <w:ind w:left="5760" w:hanging="360"/>
      </w:pPr>
    </w:lvl>
    <w:lvl w:ilvl="8" w:tplc="C80A9C6A">
      <w:start w:val="1"/>
      <w:numFmt w:val="bullet"/>
      <w:lvlText w:val="●"/>
      <w:lvlJc w:val="left"/>
      <w:pPr>
        <w:ind w:left="6480" w:hanging="360"/>
      </w:pPr>
    </w:lvl>
  </w:abstractNum>
  <w:abstractNum w:abstractNumId="1" w15:restartNumberingAfterBreak="0">
    <w:nsid w:val="72BB48E2"/>
    <w:multiLevelType w:val="hybridMultilevel"/>
    <w:tmpl w:val="7B62EC82"/>
    <w:lvl w:ilvl="0" w:tplc="F4CA6A9A">
      <w:start w:val="1"/>
      <w:numFmt w:val="bullet"/>
      <w:lvlText w:val="•"/>
      <w:lvlJc w:val="left"/>
      <w:pPr>
        <w:ind w:left="340" w:hanging="170"/>
      </w:pPr>
    </w:lvl>
    <w:lvl w:ilvl="1" w:tplc="105E2652">
      <w:numFmt w:val="decimal"/>
      <w:lvlText w:val=""/>
      <w:lvlJc w:val="left"/>
    </w:lvl>
    <w:lvl w:ilvl="2" w:tplc="78A28598">
      <w:numFmt w:val="decimal"/>
      <w:lvlText w:val=""/>
      <w:lvlJc w:val="left"/>
    </w:lvl>
    <w:lvl w:ilvl="3" w:tplc="9404E1C2">
      <w:numFmt w:val="decimal"/>
      <w:lvlText w:val=""/>
      <w:lvlJc w:val="left"/>
    </w:lvl>
    <w:lvl w:ilvl="4" w:tplc="8BC6D48E">
      <w:numFmt w:val="decimal"/>
      <w:lvlText w:val=""/>
      <w:lvlJc w:val="left"/>
    </w:lvl>
    <w:lvl w:ilvl="5" w:tplc="C2560F4C">
      <w:numFmt w:val="decimal"/>
      <w:lvlText w:val=""/>
      <w:lvlJc w:val="left"/>
    </w:lvl>
    <w:lvl w:ilvl="6" w:tplc="39D61FD4">
      <w:numFmt w:val="decimal"/>
      <w:lvlText w:val=""/>
      <w:lvlJc w:val="left"/>
    </w:lvl>
    <w:lvl w:ilvl="7" w:tplc="6C4AC7AA">
      <w:numFmt w:val="decimal"/>
      <w:lvlText w:val=""/>
      <w:lvlJc w:val="left"/>
    </w:lvl>
    <w:lvl w:ilvl="8" w:tplc="69C043FA">
      <w:numFmt w:val="decimal"/>
      <w:lvlText w:val=""/>
      <w:lvlJc w:val="left"/>
    </w:lvl>
  </w:abstractNum>
  <w:num w:numId="1" w16cid:durableId="622925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512"/>
    <w:rsid w:val="0032191A"/>
    <w:rsid w:val="004B658C"/>
    <w:rsid w:val="00667669"/>
    <w:rsid w:val="00C66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64534B"/>
  <w15:docId w15:val="{49707B05-FAD4-4FDE-BDEF-AC3C6EC38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66766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91/mbc.E10-07-0560" TargetMode="External"/><Relationship Id="rId21" Type="http://schemas.openxmlformats.org/officeDocument/2006/relationships/hyperlink" Target="https://doi.org/10.1093/emboj/21.11.2746" TargetMode="External"/><Relationship Id="rId42" Type="http://schemas.openxmlformats.org/officeDocument/2006/relationships/hyperlink" Target="https://doi.org/10.1101/gad.908401" TargetMode="External"/><Relationship Id="rId47" Type="http://schemas.openxmlformats.org/officeDocument/2006/relationships/hyperlink" Target="https://doi.org/10.1126/science.1165357" TargetMode="External"/><Relationship Id="rId63" Type="http://schemas.openxmlformats.org/officeDocument/2006/relationships/hyperlink" Target="https://doi.org/10.1083/jcb.202309128" TargetMode="External"/><Relationship Id="rId68" Type="http://schemas.openxmlformats.org/officeDocument/2006/relationships/hyperlink" Target="https://doi.org/10.1083/jcb.202309128" TargetMode="External"/><Relationship Id="rId16" Type="http://schemas.openxmlformats.org/officeDocument/2006/relationships/hyperlink" Target="https://doi.org/10.1101/gad.908401" TargetMode="External"/><Relationship Id="rId11" Type="http://schemas.openxmlformats.org/officeDocument/2006/relationships/hyperlink" Target="https://doi.org/10.1083/jcb.202309128" TargetMode="External"/><Relationship Id="rId24" Type="http://schemas.openxmlformats.org/officeDocument/2006/relationships/hyperlink" Target="https://doi.org/10.1038/nsmb.1783" TargetMode="External"/><Relationship Id="rId32" Type="http://schemas.openxmlformats.org/officeDocument/2006/relationships/hyperlink" Target="https://doi.org/10.1101/gad.908401" TargetMode="External"/><Relationship Id="rId37" Type="http://schemas.openxmlformats.org/officeDocument/2006/relationships/hyperlink" Target="https://doi.org/10.7554/eLife.18221" TargetMode="External"/><Relationship Id="rId40" Type="http://schemas.openxmlformats.org/officeDocument/2006/relationships/hyperlink" Target="https://doi.org/10.1083/jcb.202309128" TargetMode="External"/><Relationship Id="rId45" Type="http://schemas.openxmlformats.org/officeDocument/2006/relationships/hyperlink" Target="https://doi.org/10.1038/nsmb.1783" TargetMode="External"/><Relationship Id="rId53" Type="http://schemas.openxmlformats.org/officeDocument/2006/relationships/hyperlink" Target="https://doi.org/10.1038/nsmb.1783" TargetMode="External"/><Relationship Id="rId58" Type="http://schemas.openxmlformats.org/officeDocument/2006/relationships/hyperlink" Target="https://doi.org/10.1091/mbc.E10-07-0560" TargetMode="External"/><Relationship Id="rId66" Type="http://schemas.openxmlformats.org/officeDocument/2006/relationships/hyperlink" Target="https://doi.org/10.1038/nsmb.1783" TargetMode="External"/><Relationship Id="rId74"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doi.org/10.1083/jcb.200104083" TargetMode="External"/><Relationship Id="rId19" Type="http://schemas.openxmlformats.org/officeDocument/2006/relationships/hyperlink" Target="https://doi.org/10.1038/s41467-022-33434-2" TargetMode="External"/><Relationship Id="rId14" Type="http://schemas.openxmlformats.org/officeDocument/2006/relationships/hyperlink" Target="https://doi.org/10.1093/emboj/21.11.2746" TargetMode="External"/><Relationship Id="rId22" Type="http://schemas.openxmlformats.org/officeDocument/2006/relationships/hyperlink" Target="https://doi.org/10.1093/emboj/21.11.2746" TargetMode="External"/><Relationship Id="rId27" Type="http://schemas.openxmlformats.org/officeDocument/2006/relationships/hyperlink" Target="https://doi.org/10.1038/nsmb.1783" TargetMode="External"/><Relationship Id="rId30" Type="http://schemas.openxmlformats.org/officeDocument/2006/relationships/hyperlink" Target="https://doi.org/10.1038/nsmb.1783" TargetMode="External"/><Relationship Id="rId35" Type="http://schemas.openxmlformats.org/officeDocument/2006/relationships/hyperlink" Target="https://doi.org/10.1083/jcb.202309128" TargetMode="External"/><Relationship Id="rId43" Type="http://schemas.openxmlformats.org/officeDocument/2006/relationships/hyperlink" Target="https://doi.org/10.1093/emboj/21.11.2746" TargetMode="External"/><Relationship Id="rId48" Type="http://schemas.openxmlformats.org/officeDocument/2006/relationships/hyperlink" Target="https://doi.org/10.7554/eLife.18221" TargetMode="External"/><Relationship Id="rId56" Type="http://schemas.openxmlformats.org/officeDocument/2006/relationships/hyperlink" Target="https://doi.org/10.1126/science.1165357" TargetMode="External"/><Relationship Id="rId64" Type="http://schemas.openxmlformats.org/officeDocument/2006/relationships/hyperlink" Target="https://doi.org/10.1093/emboj/21.11.2746" TargetMode="External"/><Relationship Id="rId69" Type="http://schemas.openxmlformats.org/officeDocument/2006/relationships/hyperlink" Target="https://doi.org/10.1083/jcb.200104083" TargetMode="External"/><Relationship Id="rId77" Type="http://schemas.openxmlformats.org/officeDocument/2006/relationships/theme" Target="theme/theme1.xml"/><Relationship Id="rId8" Type="http://schemas.openxmlformats.org/officeDocument/2006/relationships/hyperlink" Target="https://doi.org/10.1101/gad.908401" TargetMode="External"/><Relationship Id="rId51" Type="http://schemas.openxmlformats.org/officeDocument/2006/relationships/hyperlink" Target="https://doi.org/10.1093/emboj/21.11.2746" TargetMode="External"/><Relationship Id="rId72" Type="http://schemas.openxmlformats.org/officeDocument/2006/relationships/hyperlink" Target="https://doi.org/10.1126/science.1165357" TargetMode="External"/><Relationship Id="rId3" Type="http://schemas.openxmlformats.org/officeDocument/2006/relationships/settings" Target="settings.xml"/><Relationship Id="rId12" Type="http://schemas.openxmlformats.org/officeDocument/2006/relationships/hyperlink" Target="https://doi.org/10.1083/jcb.200104083" TargetMode="External"/><Relationship Id="rId17" Type="http://schemas.openxmlformats.org/officeDocument/2006/relationships/hyperlink" Target="https://doi.org/10.1038/s41467-022-33434-2" TargetMode="External"/><Relationship Id="rId25" Type="http://schemas.openxmlformats.org/officeDocument/2006/relationships/hyperlink" Target="https://doi.org/10.1091/mbc.E10-07-0560" TargetMode="External"/><Relationship Id="rId33" Type="http://schemas.openxmlformats.org/officeDocument/2006/relationships/hyperlink" Target="https://doi.org/10.4161/nucl.1.1.10680" TargetMode="External"/><Relationship Id="rId38" Type="http://schemas.openxmlformats.org/officeDocument/2006/relationships/hyperlink" Target="https://doi.org/10.1126/science.1165357" TargetMode="External"/><Relationship Id="rId46" Type="http://schemas.openxmlformats.org/officeDocument/2006/relationships/hyperlink" Target="https://doi.org/10.1083/jcb.200104083" TargetMode="External"/><Relationship Id="rId59" Type="http://schemas.openxmlformats.org/officeDocument/2006/relationships/hyperlink" Target="https://doi.org/10.1038/s41467-022-33434-2" TargetMode="External"/><Relationship Id="rId67" Type="http://schemas.openxmlformats.org/officeDocument/2006/relationships/hyperlink" Target="https://doi.org/10.1091/mbc.E10-07-0560" TargetMode="External"/><Relationship Id="rId20" Type="http://schemas.openxmlformats.org/officeDocument/2006/relationships/hyperlink" Target="https://doi.org/10.1083/jcb.200104083" TargetMode="External"/><Relationship Id="rId41" Type="http://schemas.openxmlformats.org/officeDocument/2006/relationships/hyperlink" Target="https://doi.org/10.1083/jcb.202309128" TargetMode="External"/><Relationship Id="rId54" Type="http://schemas.openxmlformats.org/officeDocument/2006/relationships/hyperlink" Target="https://doi.org/10.7554/eLife.18221" TargetMode="External"/><Relationship Id="rId62" Type="http://schemas.openxmlformats.org/officeDocument/2006/relationships/hyperlink" Target="https://doi.org/10.4161/nucl.1.1.10680" TargetMode="External"/><Relationship Id="rId70" Type="http://schemas.openxmlformats.org/officeDocument/2006/relationships/hyperlink" Target="https://doi.org/10.4161/nucl.1.1.10680" TargetMode="External"/><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4161/nucl.1.1.10680" TargetMode="External"/><Relationship Id="rId23" Type="http://schemas.openxmlformats.org/officeDocument/2006/relationships/hyperlink" Target="https://doi.org/10.1091/mbc.E10-07-0560" TargetMode="External"/><Relationship Id="rId28" Type="http://schemas.openxmlformats.org/officeDocument/2006/relationships/hyperlink" Target="https://doi.org/10.1038/nsmb.1783" TargetMode="External"/><Relationship Id="rId36" Type="http://schemas.openxmlformats.org/officeDocument/2006/relationships/hyperlink" Target="https://doi.org/10.1126/science.1165357" TargetMode="External"/><Relationship Id="rId49" Type="http://schemas.openxmlformats.org/officeDocument/2006/relationships/hyperlink" Target="https://doi.org/10.1083/jcb.202309128" TargetMode="External"/><Relationship Id="rId57" Type="http://schemas.openxmlformats.org/officeDocument/2006/relationships/hyperlink" Target="https://doi.org/10.7554/eLife.18221" TargetMode="External"/><Relationship Id="rId10" Type="http://schemas.openxmlformats.org/officeDocument/2006/relationships/hyperlink" Target="https://doi.org/10.1091/mbc.E10-07-0560" TargetMode="External"/><Relationship Id="rId31" Type="http://schemas.openxmlformats.org/officeDocument/2006/relationships/hyperlink" Target="https://doi.org/10.1038/nsmb.1783" TargetMode="External"/><Relationship Id="rId44" Type="http://schemas.openxmlformats.org/officeDocument/2006/relationships/hyperlink" Target="https://doi.org/10.1091/mbc.E10-07-0560" TargetMode="External"/><Relationship Id="rId52" Type="http://schemas.openxmlformats.org/officeDocument/2006/relationships/hyperlink" Target="https://doi.org/10.1091/mbc.E10-07-0560" TargetMode="External"/><Relationship Id="rId60" Type="http://schemas.openxmlformats.org/officeDocument/2006/relationships/hyperlink" Target="https://doi.org/10.1083/jcb.202309128" TargetMode="External"/><Relationship Id="rId65" Type="http://schemas.openxmlformats.org/officeDocument/2006/relationships/hyperlink" Target="https://doi.org/10.1101/gad.908401" TargetMode="External"/><Relationship Id="rId73" Type="http://schemas.openxmlformats.org/officeDocument/2006/relationships/hyperlink" Target="https://doi.org/10.7554/eLife.18221" TargetMode="External"/><Relationship Id="rId4" Type="http://schemas.openxmlformats.org/officeDocument/2006/relationships/webSettings" Target="webSettings.xml"/><Relationship Id="rId9" Type="http://schemas.openxmlformats.org/officeDocument/2006/relationships/hyperlink" Target="https://doi.org/10.1038/nsmb.1783" TargetMode="External"/><Relationship Id="rId13" Type="http://schemas.openxmlformats.org/officeDocument/2006/relationships/hyperlink" Target="https://doi.org/10.1038/nsmb.1783" TargetMode="External"/><Relationship Id="rId18" Type="http://schemas.openxmlformats.org/officeDocument/2006/relationships/hyperlink" Target="https://doi.org/10.1101/gad.908401" TargetMode="External"/><Relationship Id="rId39" Type="http://schemas.openxmlformats.org/officeDocument/2006/relationships/hyperlink" Target="https://doi.org/10.7554/eLife.18221" TargetMode="External"/><Relationship Id="rId34" Type="http://schemas.openxmlformats.org/officeDocument/2006/relationships/hyperlink" Target="https://doi.org/10.4161/nucl.1.1.10680" TargetMode="External"/><Relationship Id="rId50" Type="http://schemas.openxmlformats.org/officeDocument/2006/relationships/hyperlink" Target="https://doi.org/10.1101/gad.908401" TargetMode="External"/><Relationship Id="rId55" Type="http://schemas.openxmlformats.org/officeDocument/2006/relationships/hyperlink" Target="https://doi.org/10.1101/gad.908401" TargetMode="External"/><Relationship Id="rId76" Type="http://schemas.openxmlformats.org/officeDocument/2006/relationships/fontTable" Target="fontTable.xml"/><Relationship Id="rId7" Type="http://schemas.openxmlformats.org/officeDocument/2006/relationships/hyperlink" Target="https://doi.org/10.1093/emboj/21.11.2746" TargetMode="External"/><Relationship Id="rId71" Type="http://schemas.openxmlformats.org/officeDocument/2006/relationships/hyperlink" Target="https://doi.org/10.1038/s41467-022-33434-2" TargetMode="External"/><Relationship Id="rId2" Type="http://schemas.openxmlformats.org/officeDocument/2006/relationships/styles" Target="styles.xml"/><Relationship Id="rId29" Type="http://schemas.openxmlformats.org/officeDocument/2006/relationships/hyperlink" Target="https://doi.org/10.1083/jcb.2001040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2547</Words>
  <Characters>16086</Characters>
  <Application>Microsoft Office Word</Application>
  <DocSecurity>0</DocSecurity>
  <Lines>270</Lines>
  <Paragraphs>90</Paragraphs>
  <ScaleCrop>false</ScaleCrop>
  <Company/>
  <LinksUpToDate>false</LinksUpToDate>
  <CharactersWithSpaces>18540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Cajal Bodies: RNP Assembly, Dynamic Organization and Physiological Context</dc:title>
  <dc:subject>Coilin, guide RNAs, spliceosomal particle maturation and the conditional relationship to telomerase</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2026-10-12T09:31:00Z</dcterms:modified>
</cp:coreProperties>
</file>