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3BEE" w14:textId="77777777" w:rsidR="0012441F" w:rsidRDefault="00776492">
      <w:pPr>
        <w:pStyle w:val="Title"/>
      </w:pPr>
      <w:r>
        <w:t>Euchromatin: accessibility, regulatory competence and dynamic genome organization</w:t>
      </w:r>
    </w:p>
    <w:p w14:paraId="1A19BEDA" w14:textId="77777777" w:rsidR="0012441F" w:rsidRDefault="00776492">
      <w:pPr>
        <w:pStyle w:val="Subtitle"/>
      </w:pPr>
      <w:r>
        <w:t>A current synthesis of how nucleosomes, remodeling, regulatory elements and chromosome folding support an accessible genome.</w:t>
      </w:r>
    </w:p>
    <w:p w14:paraId="68BB7D2C" w14:textId="77777777" w:rsidR="0012441F" w:rsidRDefault="00776492">
      <w:pPr>
        <w:spacing w:before="200" w:after="320"/>
      </w:pPr>
      <w:r>
        <w:rPr>
          <w:color w:val="087B78"/>
          <w:sz w:val="20"/>
          <w:szCs w:val="20"/>
        </w:rPr>
        <w:t>CellNucleus · Current research review · 12 October 2026</w:t>
      </w:r>
    </w:p>
    <w:p w14:paraId="7BBDE1DD" w14:textId="77777777" w:rsidR="0012441F" w:rsidRDefault="00776492">
      <w:pPr>
        <w:pStyle w:val="Heading1"/>
      </w:pPr>
      <w:bookmarkStart w:id="0" w:name="_Toc242668337"/>
      <w:r>
        <w:t>Abstract</w:t>
      </w:r>
      <w:bookmarkEnd w:id="0"/>
    </w:p>
    <w:p w14:paraId="3E8ED62B" w14:textId="2FF4D652" w:rsidR="0012441F" w:rsidRDefault="00776492">
      <w:r>
        <w:t>Euchromatin is best approached as a set of experimentally distinguishable properties: accessible DNA, regulatory competence, characteristic molecular composition and genomic organization. These properties often correlate, but they are not equivalent. Accessibility assays identify DNA available to their probe, chromatin marks describe selected chemical states, and RNA measurements establish transcription. Current structural and single-cell studies show why an active genome cannot be reduced to one uniform op</w:t>
      </w:r>
      <w:r>
        <w:t>en fiber.</w:t>
      </w:r>
      <w:hyperlink r:id="rId7" w:history="1">
        <w:r>
          <w:rPr>
            <w:color w:val="087B78"/>
            <w:sz w:val="18"/>
            <w:szCs w:val="18"/>
          </w:rPr>
          <w:t xml:space="preserve"> [9]</w:t>
        </w:r>
      </w:hyperlink>
      <w:hyperlink r:id="rId8" w:history="1">
        <w:r>
          <w:rPr>
            <w:color w:val="087B78"/>
            <w:sz w:val="18"/>
            <w:szCs w:val="18"/>
          </w:rPr>
          <w:t xml:space="preserve"> [14]</w:t>
        </w:r>
      </w:hyperlink>
      <w:hyperlink r:id="rId9" w:history="1">
        <w:r>
          <w:rPr>
            <w:color w:val="087B78"/>
            <w:sz w:val="18"/>
            <w:szCs w:val="18"/>
          </w:rPr>
          <w:t xml:space="preserve"> [10]</w:t>
        </w:r>
      </w:hyperlink>
      <w:hyperlink r:id="rId10" w:history="1">
        <w:r>
          <w:rPr>
            <w:color w:val="087B78"/>
            <w:sz w:val="18"/>
            <w:szCs w:val="18"/>
          </w:rPr>
          <w:t xml:space="preserve"> [12]</w:t>
        </w:r>
      </w:hyperlink>
      <w:hyperlink r:id="rId11" w:history="1">
        <w:r>
          <w:rPr>
            <w:color w:val="087B78"/>
            <w:sz w:val="18"/>
            <w:szCs w:val="18"/>
          </w:rPr>
          <w:t xml:space="preserve"> [13]</w:t>
        </w:r>
      </w:hyperlink>
    </w:p>
    <w:p w14:paraId="08BB0545" w14:textId="6DCA45FD" w:rsidR="0012441F" w:rsidRDefault="00776492">
      <w:r>
        <w:t>Nucleosome dynamics, pioneer-factor engagement and ATP-dependent remodeling offer distinct routes to regulatory access. Recent work places SWI/SNF dependence in a chromatin-landscape context and shows that removal of repressive H3K9 methylation has heterogeneous effects across a pluripotent genome. These findings favor a locally regulated continuum of chromatin states rather than a fixed euchromatin–heterochromatin binary that predicts every gene’s activity.</w:t>
      </w:r>
      <w:hyperlink r:id="rId12" w:history="1">
        <w:r>
          <w:rPr>
            <w:color w:val="087B78"/>
            <w:sz w:val="18"/>
            <w:szCs w:val="18"/>
          </w:rPr>
          <w:t xml:space="preserve"> [2]</w:t>
        </w:r>
      </w:hyperlink>
      <w:hyperlink r:id="rId13" w:history="1">
        <w:r>
          <w:rPr>
            <w:color w:val="087B78"/>
            <w:sz w:val="18"/>
            <w:szCs w:val="18"/>
          </w:rPr>
          <w:t xml:space="preserve"> [15]</w:t>
        </w:r>
      </w:hyperlink>
      <w:hyperlink r:id="rId14" w:history="1">
        <w:r>
          <w:rPr>
            <w:color w:val="087B78"/>
            <w:sz w:val="18"/>
            <w:szCs w:val="18"/>
          </w:rPr>
          <w:t xml:space="preserve"> [16]</w:t>
        </w:r>
      </w:hyperlink>
      <w:hyperlink r:id="rId15" w:history="1">
        <w:r>
          <w:rPr>
            <w:color w:val="087B78"/>
            <w:sz w:val="18"/>
            <w:szCs w:val="18"/>
          </w:rPr>
          <w:t xml:space="preserve"> [8]</w:t>
        </w:r>
      </w:hyperlink>
    </w:p>
    <w:p w14:paraId="09C5CCC9" w14:textId="77777777" w:rsidR="0012441F" w:rsidRDefault="00776492">
      <w:pPr>
        <w:pageBreakBefore/>
        <w:spacing w:before="330"/>
      </w:pPr>
      <w:r>
        <w:rPr>
          <w:b/>
          <w:bCs/>
          <w:color w:val="173B4C"/>
          <w:sz w:val="32"/>
          <w:szCs w:val="32"/>
        </w:rPr>
        <w:lastRenderedPageBreak/>
        <w:t>Contents</w:t>
      </w:r>
    </w:p>
    <w:sdt>
      <w:sdtPr>
        <w:alias w:val="Contents"/>
        <w:id w:val="-1414312450"/>
      </w:sdtPr>
      <w:sdtEndPr/>
      <w:sdtContent>
        <w:p w14:paraId="67AD3894" w14:textId="56BA074D" w:rsidR="00DD18E2" w:rsidRDefault="0077649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37" w:history="1">
            <w:r w:rsidR="00DD18E2" w:rsidRPr="00B7144F">
              <w:rPr>
                <w:rStyle w:val="Hyperlink"/>
                <w:noProof/>
              </w:rPr>
              <w:t>Abstract</w:t>
            </w:r>
            <w:r w:rsidR="00DD18E2">
              <w:rPr>
                <w:noProof/>
              </w:rPr>
              <w:tab/>
            </w:r>
            <w:r w:rsidR="00DD18E2">
              <w:rPr>
                <w:noProof/>
              </w:rPr>
              <w:fldChar w:fldCharType="begin"/>
            </w:r>
            <w:r w:rsidR="00DD18E2">
              <w:rPr>
                <w:noProof/>
              </w:rPr>
              <w:instrText xml:space="preserve"> PAGEREF _Toc242668337 \h </w:instrText>
            </w:r>
            <w:r w:rsidR="00DD18E2">
              <w:rPr>
                <w:noProof/>
              </w:rPr>
            </w:r>
            <w:r w:rsidR="00DD18E2">
              <w:rPr>
                <w:noProof/>
              </w:rPr>
              <w:fldChar w:fldCharType="separate"/>
            </w:r>
            <w:r w:rsidR="00DD18E2">
              <w:rPr>
                <w:noProof/>
              </w:rPr>
              <w:t>1</w:t>
            </w:r>
            <w:r w:rsidR="00DD18E2">
              <w:rPr>
                <w:noProof/>
              </w:rPr>
              <w:fldChar w:fldCharType="end"/>
            </w:r>
          </w:hyperlink>
        </w:p>
        <w:p w14:paraId="7B6066B8" w14:textId="3CC8D2A5"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8" w:history="1">
            <w:r w:rsidRPr="00B7144F">
              <w:rPr>
                <w:rStyle w:val="Hyperlink"/>
                <w:noProof/>
              </w:rPr>
              <w:t>1. Defining an accessible genomic state</w:t>
            </w:r>
            <w:r>
              <w:rPr>
                <w:noProof/>
              </w:rPr>
              <w:tab/>
            </w:r>
            <w:r>
              <w:rPr>
                <w:noProof/>
              </w:rPr>
              <w:fldChar w:fldCharType="begin"/>
            </w:r>
            <w:r>
              <w:rPr>
                <w:noProof/>
              </w:rPr>
              <w:instrText xml:space="preserve"> PAGEREF _Toc242668338 \h </w:instrText>
            </w:r>
            <w:r>
              <w:rPr>
                <w:noProof/>
              </w:rPr>
            </w:r>
            <w:r>
              <w:rPr>
                <w:noProof/>
              </w:rPr>
              <w:fldChar w:fldCharType="separate"/>
            </w:r>
            <w:r>
              <w:rPr>
                <w:noProof/>
              </w:rPr>
              <w:t>2</w:t>
            </w:r>
            <w:r>
              <w:rPr>
                <w:noProof/>
              </w:rPr>
              <w:fldChar w:fldCharType="end"/>
            </w:r>
          </w:hyperlink>
        </w:p>
        <w:p w14:paraId="3C51A2B2" w14:textId="35E158C3"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9" w:history="1">
            <w:r w:rsidRPr="00B7144F">
              <w:rPr>
                <w:rStyle w:val="Hyperlink"/>
                <w:noProof/>
              </w:rPr>
              <w:t>2. Accessibility begins within nucleosomal chromatin</w:t>
            </w:r>
            <w:r>
              <w:rPr>
                <w:noProof/>
              </w:rPr>
              <w:tab/>
            </w:r>
            <w:r>
              <w:rPr>
                <w:noProof/>
              </w:rPr>
              <w:fldChar w:fldCharType="begin"/>
            </w:r>
            <w:r>
              <w:rPr>
                <w:noProof/>
              </w:rPr>
              <w:instrText xml:space="preserve"> PAGEREF _Toc242668339 \h </w:instrText>
            </w:r>
            <w:r>
              <w:rPr>
                <w:noProof/>
              </w:rPr>
            </w:r>
            <w:r>
              <w:rPr>
                <w:noProof/>
              </w:rPr>
              <w:fldChar w:fldCharType="separate"/>
            </w:r>
            <w:r>
              <w:rPr>
                <w:noProof/>
              </w:rPr>
              <w:t>3</w:t>
            </w:r>
            <w:r>
              <w:rPr>
                <w:noProof/>
              </w:rPr>
              <w:fldChar w:fldCharType="end"/>
            </w:r>
          </w:hyperlink>
        </w:p>
        <w:p w14:paraId="22DB5843" w14:textId="0921A7FE"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0" w:history="1">
            <w:r w:rsidRPr="00B7144F">
              <w:rPr>
                <w:rStyle w:val="Hyperlink"/>
                <w:noProof/>
              </w:rPr>
              <w:t>3. Sequence-specific factors can engage nucleosomal sites</w:t>
            </w:r>
            <w:r>
              <w:rPr>
                <w:noProof/>
              </w:rPr>
              <w:tab/>
            </w:r>
            <w:r>
              <w:rPr>
                <w:noProof/>
              </w:rPr>
              <w:fldChar w:fldCharType="begin"/>
            </w:r>
            <w:r>
              <w:rPr>
                <w:noProof/>
              </w:rPr>
              <w:instrText xml:space="preserve"> PAGEREF _Toc242668340 \h </w:instrText>
            </w:r>
            <w:r>
              <w:rPr>
                <w:noProof/>
              </w:rPr>
            </w:r>
            <w:r>
              <w:rPr>
                <w:noProof/>
              </w:rPr>
              <w:fldChar w:fldCharType="separate"/>
            </w:r>
            <w:r>
              <w:rPr>
                <w:noProof/>
              </w:rPr>
              <w:t>3</w:t>
            </w:r>
            <w:r>
              <w:rPr>
                <w:noProof/>
              </w:rPr>
              <w:fldChar w:fldCharType="end"/>
            </w:r>
          </w:hyperlink>
        </w:p>
        <w:p w14:paraId="53D5D4C3" w14:textId="25122D18"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1" w:history="1">
            <w:r w:rsidRPr="00B7144F">
              <w:rPr>
                <w:rStyle w:val="Hyperlink"/>
                <w:noProof/>
              </w:rPr>
              <w:t>4. ATP-dependent remodeling is conditioned by the landscape</w:t>
            </w:r>
            <w:r>
              <w:rPr>
                <w:noProof/>
              </w:rPr>
              <w:tab/>
            </w:r>
            <w:r>
              <w:rPr>
                <w:noProof/>
              </w:rPr>
              <w:fldChar w:fldCharType="begin"/>
            </w:r>
            <w:r>
              <w:rPr>
                <w:noProof/>
              </w:rPr>
              <w:instrText xml:space="preserve"> PAGEREF _Toc242668341 \h </w:instrText>
            </w:r>
            <w:r>
              <w:rPr>
                <w:noProof/>
              </w:rPr>
            </w:r>
            <w:r>
              <w:rPr>
                <w:noProof/>
              </w:rPr>
              <w:fldChar w:fldCharType="separate"/>
            </w:r>
            <w:r>
              <w:rPr>
                <w:noProof/>
              </w:rPr>
              <w:t>4</w:t>
            </w:r>
            <w:r>
              <w:rPr>
                <w:noProof/>
              </w:rPr>
              <w:fldChar w:fldCharType="end"/>
            </w:r>
          </w:hyperlink>
        </w:p>
        <w:p w14:paraId="4D500F30" w14:textId="7589B80A"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2" w:history="1">
            <w:r w:rsidRPr="00B7144F">
              <w:rPr>
                <w:rStyle w:val="Hyperlink"/>
                <w:noProof/>
              </w:rPr>
              <w:t>5. Promoters and enhancers organize cell-specific regulation</w:t>
            </w:r>
            <w:r>
              <w:rPr>
                <w:noProof/>
              </w:rPr>
              <w:tab/>
            </w:r>
            <w:r>
              <w:rPr>
                <w:noProof/>
              </w:rPr>
              <w:fldChar w:fldCharType="begin"/>
            </w:r>
            <w:r>
              <w:rPr>
                <w:noProof/>
              </w:rPr>
              <w:instrText xml:space="preserve"> PAGEREF _Toc242668342 \h </w:instrText>
            </w:r>
            <w:r>
              <w:rPr>
                <w:noProof/>
              </w:rPr>
            </w:r>
            <w:r>
              <w:rPr>
                <w:noProof/>
              </w:rPr>
              <w:fldChar w:fldCharType="separate"/>
            </w:r>
            <w:r>
              <w:rPr>
                <w:noProof/>
              </w:rPr>
              <w:t>4</w:t>
            </w:r>
            <w:r>
              <w:rPr>
                <w:noProof/>
              </w:rPr>
              <w:fldChar w:fldCharType="end"/>
            </w:r>
          </w:hyperlink>
        </w:p>
        <w:p w14:paraId="13636FD2" w14:textId="5272D370"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3" w:history="1">
            <w:r w:rsidRPr="00B7144F">
              <w:rPr>
                <w:rStyle w:val="Hyperlink"/>
                <w:noProof/>
              </w:rPr>
              <w:t>6. Contact domains and single-cell structure are variable</w:t>
            </w:r>
            <w:r>
              <w:rPr>
                <w:noProof/>
              </w:rPr>
              <w:tab/>
            </w:r>
            <w:r>
              <w:rPr>
                <w:noProof/>
              </w:rPr>
              <w:fldChar w:fldCharType="begin"/>
            </w:r>
            <w:r>
              <w:rPr>
                <w:noProof/>
              </w:rPr>
              <w:instrText xml:space="preserve"> PAGEREF _Toc242668343 \h </w:instrText>
            </w:r>
            <w:r>
              <w:rPr>
                <w:noProof/>
              </w:rPr>
            </w:r>
            <w:r>
              <w:rPr>
                <w:noProof/>
              </w:rPr>
              <w:fldChar w:fldCharType="separate"/>
            </w:r>
            <w:r>
              <w:rPr>
                <w:noProof/>
              </w:rPr>
              <w:t>5</w:t>
            </w:r>
            <w:r>
              <w:rPr>
                <w:noProof/>
              </w:rPr>
              <w:fldChar w:fldCharType="end"/>
            </w:r>
          </w:hyperlink>
        </w:p>
        <w:p w14:paraId="68C5746C" w14:textId="4D29CBD2"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4" w:history="1">
            <w:r w:rsidRPr="00B7144F">
              <w:rPr>
                <w:rStyle w:val="Hyperlink"/>
                <w:noProof/>
              </w:rPr>
              <w:t>7. Native packing challenges a uniform open-fiber picture</w:t>
            </w:r>
            <w:r>
              <w:rPr>
                <w:noProof/>
              </w:rPr>
              <w:tab/>
            </w:r>
            <w:r>
              <w:rPr>
                <w:noProof/>
              </w:rPr>
              <w:fldChar w:fldCharType="begin"/>
            </w:r>
            <w:r>
              <w:rPr>
                <w:noProof/>
              </w:rPr>
              <w:instrText xml:space="preserve"> PAGEREF _Toc242668344 \h </w:instrText>
            </w:r>
            <w:r>
              <w:rPr>
                <w:noProof/>
              </w:rPr>
            </w:r>
            <w:r>
              <w:rPr>
                <w:noProof/>
              </w:rPr>
              <w:fldChar w:fldCharType="separate"/>
            </w:r>
            <w:r>
              <w:rPr>
                <w:noProof/>
              </w:rPr>
              <w:t>5</w:t>
            </w:r>
            <w:r>
              <w:rPr>
                <w:noProof/>
              </w:rPr>
              <w:fldChar w:fldCharType="end"/>
            </w:r>
          </w:hyperlink>
        </w:p>
        <w:p w14:paraId="7A1048B8" w14:textId="76FAEEA5"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5" w:history="1">
            <w:r w:rsidRPr="00B7144F">
              <w:rPr>
                <w:rStyle w:val="Hyperlink"/>
                <w:noProof/>
              </w:rPr>
              <w:t>8. Replication rebuilds chromatin rather than simply copying a snapshot</w:t>
            </w:r>
            <w:r>
              <w:rPr>
                <w:noProof/>
              </w:rPr>
              <w:tab/>
            </w:r>
            <w:r>
              <w:rPr>
                <w:noProof/>
              </w:rPr>
              <w:fldChar w:fldCharType="begin"/>
            </w:r>
            <w:r>
              <w:rPr>
                <w:noProof/>
              </w:rPr>
              <w:instrText xml:space="preserve"> PAGEREF _Toc242668345 \h </w:instrText>
            </w:r>
            <w:r>
              <w:rPr>
                <w:noProof/>
              </w:rPr>
            </w:r>
            <w:r>
              <w:rPr>
                <w:noProof/>
              </w:rPr>
              <w:fldChar w:fldCharType="separate"/>
            </w:r>
            <w:r>
              <w:rPr>
                <w:noProof/>
              </w:rPr>
              <w:t>6</w:t>
            </w:r>
            <w:r>
              <w:rPr>
                <w:noProof/>
              </w:rPr>
              <w:fldChar w:fldCharType="end"/>
            </w:r>
          </w:hyperlink>
        </w:p>
        <w:p w14:paraId="5DC2B3DA" w14:textId="4E99BE92"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6" w:history="1">
            <w:r w:rsidRPr="00B7144F">
              <w:rPr>
                <w:rStyle w:val="Hyperlink"/>
                <w:noProof/>
              </w:rPr>
              <w:t>9. How to examine an accessible region</w:t>
            </w:r>
            <w:r>
              <w:rPr>
                <w:noProof/>
              </w:rPr>
              <w:tab/>
            </w:r>
            <w:r>
              <w:rPr>
                <w:noProof/>
              </w:rPr>
              <w:fldChar w:fldCharType="begin"/>
            </w:r>
            <w:r>
              <w:rPr>
                <w:noProof/>
              </w:rPr>
              <w:instrText xml:space="preserve"> PAGEREF _Toc242668346 \h </w:instrText>
            </w:r>
            <w:r>
              <w:rPr>
                <w:noProof/>
              </w:rPr>
            </w:r>
            <w:r>
              <w:rPr>
                <w:noProof/>
              </w:rPr>
              <w:fldChar w:fldCharType="separate"/>
            </w:r>
            <w:r>
              <w:rPr>
                <w:noProof/>
              </w:rPr>
              <w:t>6</w:t>
            </w:r>
            <w:r>
              <w:rPr>
                <w:noProof/>
              </w:rPr>
              <w:fldChar w:fldCharType="end"/>
            </w:r>
          </w:hyperlink>
        </w:p>
        <w:p w14:paraId="117A9986" w14:textId="1B35C8F4"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7" w:history="1">
            <w:r w:rsidRPr="00B7144F">
              <w:rPr>
                <w:rStyle w:val="Hyperlink"/>
                <w:noProof/>
              </w:rPr>
              <w:t>10. Synthesis and current priorities</w:t>
            </w:r>
            <w:r>
              <w:rPr>
                <w:noProof/>
              </w:rPr>
              <w:tab/>
            </w:r>
            <w:r>
              <w:rPr>
                <w:noProof/>
              </w:rPr>
              <w:fldChar w:fldCharType="begin"/>
            </w:r>
            <w:r>
              <w:rPr>
                <w:noProof/>
              </w:rPr>
              <w:instrText xml:space="preserve"> PAGEREF _Toc242668347 \h </w:instrText>
            </w:r>
            <w:r>
              <w:rPr>
                <w:noProof/>
              </w:rPr>
            </w:r>
            <w:r>
              <w:rPr>
                <w:noProof/>
              </w:rPr>
              <w:fldChar w:fldCharType="separate"/>
            </w:r>
            <w:r>
              <w:rPr>
                <w:noProof/>
              </w:rPr>
              <w:t>7</w:t>
            </w:r>
            <w:r>
              <w:rPr>
                <w:noProof/>
              </w:rPr>
              <w:fldChar w:fldCharType="end"/>
            </w:r>
          </w:hyperlink>
        </w:p>
        <w:p w14:paraId="27606FAA" w14:textId="16194AC3"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8" w:history="1">
            <w:r w:rsidRPr="00B7144F">
              <w:rPr>
                <w:rStyle w:val="Hyperlink"/>
                <w:noProof/>
              </w:rPr>
              <w:t>References</w:t>
            </w:r>
            <w:r>
              <w:rPr>
                <w:noProof/>
              </w:rPr>
              <w:tab/>
            </w:r>
            <w:r>
              <w:rPr>
                <w:noProof/>
              </w:rPr>
              <w:fldChar w:fldCharType="begin"/>
            </w:r>
            <w:r>
              <w:rPr>
                <w:noProof/>
              </w:rPr>
              <w:instrText xml:space="preserve"> PAGEREF _Toc242668348 \h </w:instrText>
            </w:r>
            <w:r>
              <w:rPr>
                <w:noProof/>
              </w:rPr>
            </w:r>
            <w:r>
              <w:rPr>
                <w:noProof/>
              </w:rPr>
              <w:fldChar w:fldCharType="separate"/>
            </w:r>
            <w:r>
              <w:rPr>
                <w:noProof/>
              </w:rPr>
              <w:t>7</w:t>
            </w:r>
            <w:r>
              <w:rPr>
                <w:noProof/>
              </w:rPr>
              <w:fldChar w:fldCharType="end"/>
            </w:r>
          </w:hyperlink>
        </w:p>
        <w:p w14:paraId="39A89943" w14:textId="70A1AB06" w:rsidR="00DD18E2" w:rsidRDefault="00DD18E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9" w:history="1">
            <w:r w:rsidRPr="00B7144F">
              <w:rPr>
                <w:rStyle w:val="Hyperlink"/>
                <w:noProof/>
              </w:rPr>
              <w:t>Evidence scope</w:t>
            </w:r>
            <w:r>
              <w:rPr>
                <w:noProof/>
              </w:rPr>
              <w:tab/>
            </w:r>
            <w:r>
              <w:rPr>
                <w:noProof/>
              </w:rPr>
              <w:fldChar w:fldCharType="begin"/>
            </w:r>
            <w:r>
              <w:rPr>
                <w:noProof/>
              </w:rPr>
              <w:instrText xml:space="preserve"> PAGEREF _Toc242668349 \h </w:instrText>
            </w:r>
            <w:r>
              <w:rPr>
                <w:noProof/>
              </w:rPr>
            </w:r>
            <w:r>
              <w:rPr>
                <w:noProof/>
              </w:rPr>
              <w:fldChar w:fldCharType="separate"/>
            </w:r>
            <w:r>
              <w:rPr>
                <w:noProof/>
              </w:rPr>
              <w:t>8</w:t>
            </w:r>
            <w:r>
              <w:rPr>
                <w:noProof/>
              </w:rPr>
              <w:fldChar w:fldCharType="end"/>
            </w:r>
          </w:hyperlink>
        </w:p>
        <w:p w14:paraId="3CC90F8D" w14:textId="140C6447" w:rsidR="0012441F" w:rsidRDefault="00776492">
          <w:r>
            <w:fldChar w:fldCharType="end"/>
          </w:r>
        </w:p>
      </w:sdtContent>
    </w:sdt>
    <w:p w14:paraId="08666560" w14:textId="77777777" w:rsidR="0012441F" w:rsidRDefault="00776492">
      <w:pPr>
        <w:pStyle w:val="Heading1"/>
      </w:pPr>
      <w:bookmarkStart w:id="1" w:name="_Toc242668338"/>
      <w:r>
        <w:t>1. Defining an accessible genomic state</w:t>
      </w:r>
      <w:bookmarkEnd w:id="1"/>
    </w:p>
    <w:p w14:paraId="5B4BBC7C" w14:textId="41AD485F" w:rsidR="0012441F" w:rsidRDefault="00776492">
      <w:r>
        <w:t>An experimentally useful description of euchromatin begins with the measurement being made. ATAC-seq preferentially samples accessible DNA through Tn5 insertion, enhancer maps identify characteristic histone patterns, and Hi-C places genomic segments into contact-defined compartments. A region may show one of these properties without satisfying every other criterion. This is why describing a locus as accessible should be followed by the assay and cell context rather than an automatic statement that it is tr</w:t>
      </w:r>
      <w:r>
        <w:t>anscriptionally active.</w:t>
      </w:r>
      <w:hyperlink r:id="rId16" w:history="1">
        <w:r>
          <w:rPr>
            <w:color w:val="087B78"/>
            <w:sz w:val="18"/>
            <w:szCs w:val="18"/>
          </w:rPr>
          <w:t xml:space="preserve"> [9]</w:t>
        </w:r>
      </w:hyperlink>
      <w:hyperlink r:id="rId17" w:history="1">
        <w:r>
          <w:rPr>
            <w:color w:val="087B78"/>
            <w:sz w:val="18"/>
            <w:szCs w:val="18"/>
          </w:rPr>
          <w:t xml:space="preserve"> [14]</w:t>
        </w:r>
      </w:hyperlink>
      <w:hyperlink r:id="rId18" w:history="1">
        <w:r>
          <w:rPr>
            <w:color w:val="087B78"/>
            <w:sz w:val="18"/>
            <w:szCs w:val="18"/>
          </w:rPr>
          <w:t xml:space="preserve"> [10]</w:t>
        </w:r>
      </w:hyperlink>
    </w:p>
    <w:p w14:paraId="038ACC20" w14:textId="3BBABE87" w:rsidR="0012441F" w:rsidRDefault="00776492">
      <w:r>
        <w:t>Population Hi-C compartment A correlated with active genes, accessibility and associated histone marks in the mapped human cells. This supports a connection between activity and genome folding, but the compartment is defined by contact patterns. It is not a direct physical measurement of how open a fiber is at every locus, nor a rule assigning every active gene to one nuclear position. The referenced study has an erratum concerning a peak file and detailed motif statistics; those corrected statistics are no</w:t>
      </w:r>
      <w:r>
        <w:t>t used here.</w:t>
      </w:r>
      <w:hyperlink r:id="rId19" w:history="1">
        <w:r>
          <w:rPr>
            <w:color w:val="087B78"/>
            <w:sz w:val="18"/>
            <w:szCs w:val="18"/>
          </w:rPr>
          <w:t xml:space="preserve"> [10]</w:t>
        </w:r>
      </w:hyperlink>
      <w:hyperlink r:id="rId20" w:history="1">
        <w:r>
          <w:rPr>
            <w:color w:val="087B78"/>
            <w:sz w:val="18"/>
            <w:szCs w:val="18"/>
          </w:rPr>
          <w:t xml:space="preserve"> [11]</w:t>
        </w:r>
      </w:hyperlink>
    </w:p>
    <w:p w14:paraId="7EC58A63" w14:textId="5AFD947C" w:rsidR="0012441F" w:rsidRDefault="00776492">
      <w:r>
        <w:t>The term remains useful when its dimensions are kept visible. A chromatin description can specify accessibility, histone-mark enrichment, expression and contacts separately, then ask how they are connected. This allows transitional or mixed states to be studied without forcing them into mutually exclusive labels. Single-cell tracing and enhancer comparisons demonstrate that both local structure and regulatory identity vary across cells and contexts.</w:t>
      </w:r>
      <w:hyperlink r:id="rId21" w:history="1">
        <w:r>
          <w:rPr>
            <w:color w:val="087B78"/>
            <w:sz w:val="18"/>
            <w:szCs w:val="18"/>
          </w:rPr>
          <w:t xml:space="preserve"> [12]</w:t>
        </w:r>
      </w:hyperlink>
      <w:hyperlink r:id="rId22" w:history="1">
        <w:r>
          <w:rPr>
            <w:color w:val="087B78"/>
            <w:sz w:val="18"/>
            <w:szCs w:val="18"/>
          </w:rPr>
          <w:t xml:space="preserve"> [14]</w:t>
        </w:r>
      </w:hyperlink>
    </w:p>
    <w:p w14:paraId="7B5B02F4" w14:textId="77777777" w:rsidR="0012441F" w:rsidRDefault="00776492">
      <w:pPr>
        <w:pStyle w:val="Heading1"/>
      </w:pPr>
      <w:bookmarkStart w:id="2" w:name="_Toc242668339"/>
      <w:r>
        <w:lastRenderedPageBreak/>
        <w:t>2. Accessibility begins within nucleosomal chromatin</w:t>
      </w:r>
      <w:bookmarkEnd w:id="2"/>
    </w:p>
    <w:p w14:paraId="6D8D48BE" w14:textId="79DB9546" w:rsidR="0012441F" w:rsidRDefault="00776492">
      <w:r>
        <w:t>The nucleosome core particle wraps DNA around a histone octamer through multiple contacts. Regulatory access therefore depends partly on how DNA is presented on that surface and how those contacts fluctuate. The crystal structure provides the molecular geometry, while transient-site-exposure experiments supply a dynamic complement. Chromatin can remain nucleosomal while a portion of DNA becomes temporarily available to a binding protein.</w:t>
      </w:r>
      <w:hyperlink r:id="rId23" w:history="1">
        <w:r>
          <w:rPr>
            <w:color w:val="087B78"/>
            <w:sz w:val="18"/>
            <w:szCs w:val="18"/>
          </w:rPr>
          <w:t xml:space="preserve"> [1]</w:t>
        </w:r>
      </w:hyperlink>
      <w:hyperlink r:id="rId24" w:history="1">
        <w:r>
          <w:rPr>
            <w:color w:val="087B78"/>
            <w:sz w:val="18"/>
            <w:szCs w:val="18"/>
          </w:rPr>
          <w:t xml:space="preserve"> [2]</w:t>
        </w:r>
      </w:hyperlink>
    </w:p>
    <w:p w14:paraId="602C95D6" w14:textId="3C76E4B2" w:rsidR="0012441F" w:rsidRDefault="00776492">
      <w:r>
        <w:t>Polach and Widom inferred position-dependent exposure equilibria using restriction-enzyme access to nucleosomal sites. The result supports transient opening as one route to target recognition. It does not require interpreting every accessible cellular site as a nucleosome-free gap. Nor does it imply that passive fluctuation alone establishes all regulatory competence: in cells, sequence-specific factors and remodeling activities add further constraints and opportunities.</w:t>
      </w:r>
      <w:hyperlink r:id="rId25" w:history="1">
        <w:r>
          <w:rPr>
            <w:color w:val="087B78"/>
            <w:sz w:val="18"/>
            <w:szCs w:val="18"/>
          </w:rPr>
          <w:t xml:space="preserve"> [2]</w:t>
        </w:r>
      </w:hyperlink>
      <w:hyperlink r:id="rId26" w:history="1">
        <w:r>
          <w:rPr>
            <w:color w:val="087B78"/>
            <w:sz w:val="18"/>
            <w:szCs w:val="18"/>
          </w:rPr>
          <w:t xml:space="preserve"> [15]</w:t>
        </w:r>
      </w:hyperlink>
      <w:hyperlink r:id="rId27" w:history="1">
        <w:r>
          <w:rPr>
            <w:color w:val="087B78"/>
            <w:sz w:val="18"/>
            <w:szCs w:val="18"/>
          </w:rPr>
          <w:t xml:space="preserve"> [16]</w:t>
        </w:r>
      </w:hyperlink>
    </w:p>
    <w:p w14:paraId="297D137A" w14:textId="3012EF4C" w:rsidR="0012441F" w:rsidRDefault="00776492">
      <w:r>
        <w:t>Defined H4K16 acetylation illustrates how chemistry can influence accessibility-related processes through more than one route. It weakened higher-order array interactions and altered ACF remodeling. Histone modification can thus affect the substrate’s contacts and its interaction with a protein machine. Assigning a cellular acetylation change to a single cause such as physical opening would omit this duality unless structural and biochemical readouts were measured together.</w:t>
      </w:r>
      <w:hyperlink r:id="rId28" w:history="1">
        <w:r>
          <w:rPr>
            <w:color w:val="087B78"/>
            <w:sz w:val="18"/>
            <w:szCs w:val="18"/>
          </w:rPr>
          <w:t xml:space="preserve"> [4]</w:t>
        </w:r>
      </w:hyperlink>
    </w:p>
    <w:p w14:paraId="3E60F5E7" w14:textId="77777777" w:rsidR="0012441F" w:rsidRDefault="00776492">
      <w:pPr>
        <w:pStyle w:val="Heading1"/>
      </w:pPr>
      <w:bookmarkStart w:id="3" w:name="_Toc242668340"/>
      <w:r>
        <w:t>3. Sequence-specific factors can engage nucleosomal sites</w:t>
      </w:r>
      <w:bookmarkEnd w:id="3"/>
    </w:p>
    <w:p w14:paraId="28C67CCE" w14:textId="15AFA470" w:rsidR="0012441F" w:rsidRDefault="00776492">
      <w:r>
        <w:t>Soufi and colleagues compared reprogramming factors with purified nucleosomes and cellular chromatin. Oct4, Sox2 and Klf4 could bind nucleosomal DNA and preferentially targeted silent nucleosome-enriched sites in the examined cellular setting. Their study connected pioneer activity to recognition of partial motifs exposed on a nucleosome surface. This provides a direct molecular route for initiating regulatory engagement before a locus becomes broadly accessible to other proteins.</w:t>
      </w:r>
      <w:hyperlink r:id="rId29" w:history="1">
        <w:r>
          <w:rPr>
            <w:color w:val="087B78"/>
            <w:sz w:val="18"/>
            <w:szCs w:val="18"/>
          </w:rPr>
          <w:t xml:space="preserve"> [15]</w:t>
        </w:r>
      </w:hyperlink>
    </w:p>
    <w:p w14:paraId="61AEB52A" w14:textId="62F67AE5" w:rsidR="0012441F" w:rsidRDefault="00776492">
      <w:r>
        <w:t>The comparison is factor-specific. Although c-Myc was included among the reprogramming factors studied, the abstract’s demonstrated nucleosome-binding result applies to Oct4, Sox2 and Klf4. A current review should retain that distinction rather than assign identical pioneer behavior to an entire factor cocktail. The broader implication is that DNA-binding-domain geometry and available motif presentation matter, not simply total factor abundance or the presence of an activation domain.</w:t>
      </w:r>
      <w:hyperlink r:id="rId30" w:history="1">
        <w:r>
          <w:rPr>
            <w:color w:val="087B78"/>
            <w:sz w:val="18"/>
            <w:szCs w:val="18"/>
          </w:rPr>
          <w:t xml:space="preserve"> [15]</w:t>
        </w:r>
      </w:hyperlink>
    </w:p>
    <w:p w14:paraId="0668ED4B" w14:textId="29A589FE" w:rsidR="0012441F" w:rsidRDefault="00776492">
      <w:r>
        <w:t>A new repressive-state perturbation complements this pioneer perspective. Acute methyltransferase removal in engineered mouse embryonic stem cells led to variable H3K9me3 decay and HP1-associated thresholds of chromatin opening and pioneer-factor binding. This links competence to the local repressive environment as well as to a factor’s intrinsic binding capacity. It also shows why access after a perturbation can be region- and state-dependent even when the same regulatory factor is present throughout the c</w:t>
      </w:r>
      <w:r>
        <w:t>ell.</w:t>
      </w:r>
      <w:hyperlink r:id="rId31" w:history="1">
        <w:r>
          <w:rPr>
            <w:color w:val="087B78"/>
            <w:sz w:val="18"/>
            <w:szCs w:val="18"/>
          </w:rPr>
          <w:t xml:space="preserve"> [8]</w:t>
        </w:r>
      </w:hyperlink>
      <w:hyperlink r:id="rId32" w:history="1">
        <w:r>
          <w:rPr>
            <w:color w:val="087B78"/>
            <w:sz w:val="18"/>
            <w:szCs w:val="18"/>
          </w:rPr>
          <w:t xml:space="preserve"> [15]</w:t>
        </w:r>
      </w:hyperlink>
    </w:p>
    <w:p w14:paraId="02641258" w14:textId="77777777" w:rsidR="0012441F" w:rsidRDefault="00776492">
      <w:pPr>
        <w:pStyle w:val="Heading1"/>
      </w:pPr>
      <w:bookmarkStart w:id="4" w:name="_Toc242668341"/>
      <w:r>
        <w:lastRenderedPageBreak/>
        <w:t>4. ATP-dependent remodeling is conditioned by the landscape</w:t>
      </w:r>
      <w:bookmarkEnd w:id="4"/>
    </w:p>
    <w:p w14:paraId="54206101" w14:textId="2AE58328" w:rsidR="0012441F" w:rsidRDefault="00776492">
      <w:r>
        <w:t>The defined ACF experiment showed that a histone mark can change remodeling of a mononucleosome, separating enzyme interaction from gross array folding. This establishes a useful mechanistic principle: remodeler action is influenced by substrate chemistry. A chromatin-opening effect should therefore be analyzed with the identity of the complex, its substrate and the mark state. The presence of an ATP-dependent machine alone does not predict an identical outcome at every genomic site.</w:t>
      </w:r>
      <w:hyperlink r:id="rId33" w:history="1">
        <w:r>
          <w:rPr>
            <w:color w:val="087B78"/>
            <w:sz w:val="18"/>
            <w:szCs w:val="18"/>
          </w:rPr>
          <w:t xml:space="preserve"> [4]</w:t>
        </w:r>
      </w:hyperlink>
    </w:p>
    <w:p w14:paraId="7936558E" w14:textId="1986E5D8" w:rsidR="0012441F" w:rsidRDefault="00776492">
      <w:r>
        <w:t>Basurto-Cayuela and colleagues reported that SWI/SNF-dependent genes are defined by their chromatin landscape. The abstract-supported finding places remodeling dependence within genomic context rather than treating SWI/SNF as a universal on switch. Local states help identify the genes whose expression depends on that activity. The relationship is most informative when dependence is measured independently of the chromatin annotation used to describe those genes.</w:t>
      </w:r>
      <w:hyperlink r:id="rId34" w:history="1">
        <w:r>
          <w:rPr>
            <w:color w:val="087B78"/>
            <w:sz w:val="18"/>
            <w:szCs w:val="18"/>
          </w:rPr>
          <w:t xml:space="preserve"> [16]</w:t>
        </w:r>
      </w:hyperlink>
    </w:p>
    <w:p w14:paraId="347D1289" w14:textId="6FF8C6D6" w:rsidR="0012441F" w:rsidRDefault="00776492">
      <w:r>
        <w:t>This landscape perspective is consistent with the difference between transient exposure and sustained regulatory competence. A factor may briefly contact nucleosomal DNA, while an active regulatory element requires additional recruitment and chromatin changes. Different assays sample different stages of that process. Combining accessibility with occupancy and expression can identify whether a perturbation changes initial engagement, subsequent organization or the eventual transcriptional output.</w:t>
      </w:r>
      <w:hyperlink r:id="rId35" w:history="1">
        <w:r>
          <w:rPr>
            <w:color w:val="087B78"/>
            <w:sz w:val="18"/>
            <w:szCs w:val="18"/>
          </w:rPr>
          <w:t xml:space="preserve"> [2]</w:t>
        </w:r>
      </w:hyperlink>
      <w:hyperlink r:id="rId36" w:history="1">
        <w:r>
          <w:rPr>
            <w:color w:val="087B78"/>
            <w:sz w:val="18"/>
            <w:szCs w:val="18"/>
          </w:rPr>
          <w:t xml:space="preserve"> [15]</w:t>
        </w:r>
      </w:hyperlink>
      <w:hyperlink r:id="rId37" w:history="1">
        <w:r>
          <w:rPr>
            <w:color w:val="087B78"/>
            <w:sz w:val="18"/>
            <w:szCs w:val="18"/>
          </w:rPr>
          <w:t xml:space="preserve"> [16]</w:t>
        </w:r>
      </w:hyperlink>
      <w:hyperlink r:id="rId38" w:history="1">
        <w:r>
          <w:rPr>
            <w:color w:val="087B78"/>
            <w:sz w:val="18"/>
            <w:szCs w:val="18"/>
          </w:rPr>
          <w:t xml:space="preserve"> [9]</w:t>
        </w:r>
      </w:hyperlink>
    </w:p>
    <w:p w14:paraId="3D3CE59D" w14:textId="77777777" w:rsidR="0012441F" w:rsidRDefault="00776492">
      <w:pPr>
        <w:pStyle w:val="Heading1"/>
      </w:pPr>
      <w:bookmarkStart w:id="5" w:name="_Toc242668342"/>
      <w:r>
        <w:t>5. Promoters and enhancers organize cell-specific regulation</w:t>
      </w:r>
      <w:bookmarkEnd w:id="5"/>
    </w:p>
    <w:p w14:paraId="64419BB0" w14:textId="7778712D" w:rsidR="0012441F" w:rsidRDefault="00776492">
      <w:r>
        <w:t>Heintzman and colleagues compared chromatin signatures across human cell types and found strong cell-type specificity at enhancers, linked to corresponding expression programs and enhancer activity. Promoter and insulator patterns were more invariant in the comparisons than enhancer signatures. This established enhancer state as a major dimension of cellular regulatory identity. A common genome can therefore provide different accessible and active regulatory combinations without changing its DNA sequence.</w:t>
      </w:r>
      <w:hyperlink r:id="rId39" w:history="1">
        <w:r>
          <w:rPr>
            <w:color w:val="087B78"/>
            <w:sz w:val="18"/>
            <w:szCs w:val="18"/>
          </w:rPr>
          <w:t xml:space="preserve"> [14]</w:t>
        </w:r>
      </w:hyperlink>
    </w:p>
    <w:p w14:paraId="43FE9F1B" w14:textId="2839BD3F" w:rsidR="0012441F" w:rsidRDefault="00776492">
      <w:r>
        <w:t>The result also guides how histone marks should be interpreted. A mark at an enhancer is evidence of a particular chemical and genomic state, while enhancer activity requires functional support. The study combined mapping with activity observations, but a new candidate identified by a similar signature remains a candidate until its relevant function is tested. Cell-specific expression correlation does not alone establish which promoter a regulatory element controls.</w:t>
      </w:r>
      <w:hyperlink r:id="rId40" w:history="1">
        <w:r>
          <w:rPr>
            <w:color w:val="087B78"/>
            <w:sz w:val="18"/>
            <w:szCs w:val="18"/>
          </w:rPr>
          <w:t xml:space="preserve"> [14]</w:t>
        </w:r>
      </w:hyperlink>
      <w:hyperlink r:id="rId41" w:history="1">
        <w:r>
          <w:rPr>
            <w:color w:val="087B78"/>
            <w:sz w:val="18"/>
            <w:szCs w:val="18"/>
          </w:rPr>
          <w:t xml:space="preserve"> [10]</w:t>
        </w:r>
      </w:hyperlink>
    </w:p>
    <w:p w14:paraId="1A2AA56E" w14:textId="4CACAFC1" w:rsidR="0012441F" w:rsidRDefault="00776492">
      <w:r>
        <w:t>Physical accessibility, regulatory chemistry and chromosome organization meet at these elements. ATAC fragments can identify accessible regulatory regions, and Hi-C can identify enriched genomic contacts. Neither replaces the other. A regulatory model becomes stronger when the same locus is accessible, has a defined factor or mark state, and shows a perturbation-sensitive expression relationship. The inference remains local to the examined elements and cellular context.</w:t>
      </w:r>
      <w:hyperlink r:id="rId42" w:history="1">
        <w:r>
          <w:rPr>
            <w:color w:val="087B78"/>
            <w:sz w:val="18"/>
            <w:szCs w:val="18"/>
          </w:rPr>
          <w:t xml:space="preserve"> [9]</w:t>
        </w:r>
      </w:hyperlink>
      <w:hyperlink r:id="rId43" w:history="1">
        <w:r>
          <w:rPr>
            <w:color w:val="087B78"/>
            <w:sz w:val="18"/>
            <w:szCs w:val="18"/>
          </w:rPr>
          <w:t xml:space="preserve"> [14]</w:t>
        </w:r>
      </w:hyperlink>
      <w:hyperlink r:id="rId44" w:history="1">
        <w:r>
          <w:rPr>
            <w:color w:val="087B78"/>
            <w:sz w:val="18"/>
            <w:szCs w:val="18"/>
          </w:rPr>
          <w:t xml:space="preserve"> [10]</w:t>
        </w:r>
      </w:hyperlink>
    </w:p>
    <w:p w14:paraId="71191F89" w14:textId="77777777" w:rsidR="0012441F" w:rsidRDefault="00776492">
      <w:pPr>
        <w:pStyle w:val="Heading1"/>
      </w:pPr>
      <w:bookmarkStart w:id="6" w:name="_Toc242668343"/>
      <w:r>
        <w:lastRenderedPageBreak/>
        <w:t>6. Contact domains and single-cell structure are variable</w:t>
      </w:r>
      <w:bookmarkEnd w:id="6"/>
    </w:p>
    <w:p w14:paraId="6BDBBBE9" w14:textId="6CBDCD52" w:rsidR="0012441F" w:rsidRDefault="00776492">
      <w:r>
        <w:t>Bintu and colleagues traced selected chromosome-21 intervals in individual fixed cells and observed domain-like structures with variable boundaries. In cohesin-depleted HCT116 cells, single-cell domains persisted even when preferred boundary positions changed. This shows that a population domain boundary and one cell’s local folding are related but not identical objects. Domain annotations summarize a distribution, rather than guaranteeing an invariant structure in every accessible genomic region.</w:t>
      </w:r>
      <w:hyperlink r:id="rId45" w:history="1">
        <w:r>
          <w:rPr>
            <w:color w:val="087B78"/>
            <w:sz w:val="18"/>
            <w:szCs w:val="18"/>
          </w:rPr>
          <w:t xml:space="preserve"> [12]</w:t>
        </w:r>
      </w:hyperlink>
    </w:p>
    <w:p w14:paraId="67C4BE45" w14:textId="27528AB6" w:rsidR="0012441F" w:rsidRDefault="00776492">
      <w:r>
        <w:t>The distinction is reinforced by live tracking of a silent Fbn2 locus, where looped states were inferred from label distances and protein perturbations. That system was not an active euchromatic-gene assay, so its specific lifetime should not be transferred to all active loci. Its methodological contribution is the demonstration that temporal organization can be measured and modeled. Structural variability should be interpreted with both the locus context and the observation timescale.</w:t>
      </w:r>
      <w:hyperlink r:id="rId46" w:history="1">
        <w:r>
          <w:rPr>
            <w:color w:val="087B78"/>
            <w:sz w:val="18"/>
            <w:szCs w:val="18"/>
          </w:rPr>
          <w:t xml:space="preserve"> [7]</w:t>
        </w:r>
      </w:hyperlink>
    </w:p>
    <w:p w14:paraId="01C45B2D" w14:textId="2F6F9A1D" w:rsidR="0012441F" w:rsidRDefault="00776492">
      <w:r>
        <w:t>Thus, a current euchromatin review need not claim that open chromatin is either unstructured or permanently organized into stable loops. Contact enrichment and variable conformations can coexist. The critical question is which structural relationships constrain regulatory encounters and which persist long enough to matter for the process under study. Population maps, single-cell tracing and live trajectories supply complementary constraints on that question.</w:t>
      </w:r>
      <w:hyperlink r:id="rId47" w:history="1">
        <w:r>
          <w:rPr>
            <w:color w:val="087B78"/>
            <w:sz w:val="18"/>
            <w:szCs w:val="18"/>
          </w:rPr>
          <w:t xml:space="preserve"> [10]</w:t>
        </w:r>
      </w:hyperlink>
      <w:hyperlink r:id="rId48" w:history="1">
        <w:r>
          <w:rPr>
            <w:color w:val="087B78"/>
            <w:sz w:val="18"/>
            <w:szCs w:val="18"/>
          </w:rPr>
          <w:t xml:space="preserve"> [12]</w:t>
        </w:r>
      </w:hyperlink>
      <w:hyperlink r:id="rId49" w:history="1">
        <w:r>
          <w:rPr>
            <w:color w:val="087B78"/>
            <w:sz w:val="18"/>
            <w:szCs w:val="18"/>
          </w:rPr>
          <w:t xml:space="preserve"> [7]</w:t>
        </w:r>
      </w:hyperlink>
    </w:p>
    <w:p w14:paraId="64EA755C" w14:textId="77777777" w:rsidR="0012441F" w:rsidRDefault="00776492">
      <w:pPr>
        <w:pStyle w:val="Heading1"/>
      </w:pPr>
      <w:bookmarkStart w:id="7" w:name="_Toc242668344"/>
      <w:r>
        <w:t>7. Native packing challenges a uniform open-fiber picture</w:t>
      </w:r>
      <w:bookmarkEnd w:id="7"/>
    </w:p>
    <w:p w14:paraId="11A5241E" w14:textId="51B66C89" w:rsidR="0012441F" w:rsidRDefault="00776492">
      <w:r>
        <w:t>ChromEMT resolved disordered chromatin chains with variable packing in sampled interphase and mitotic human cells. Cryo-ET in CEM cells showed locally heterogeneous zigzag arrangements near the nuclear envelope. These studies do not define one universal euchromatin fiber; they support local packing variation. A structurally loose region and an accessible regulatory site should be connected with genomic or molecular evidence rather than assigned to each other purely from appearance.</w:t>
      </w:r>
      <w:hyperlink r:id="rId50" w:history="1">
        <w:r>
          <w:rPr>
            <w:color w:val="087B78"/>
            <w:sz w:val="18"/>
            <w:szCs w:val="18"/>
          </w:rPr>
          <w:t xml:space="preserve"> [13]</w:t>
        </w:r>
      </w:hyperlink>
      <w:hyperlink r:id="rId51" w:history="1">
        <w:r>
          <w:rPr>
            <w:color w:val="087B78"/>
            <w:sz w:val="18"/>
            <w:szCs w:val="18"/>
          </w:rPr>
          <w:t xml:space="preserve"> [5]</w:t>
        </w:r>
      </w:hyperlink>
    </w:p>
    <w:p w14:paraId="07674747" w14:textId="3DB74DAD" w:rsidR="0012441F" w:rsidRDefault="00776492">
      <w:r>
        <w:t>The newer primary-human-cell cryo-ET study found heterogeneous peripheral heterochromatin with local nucleosome stacking. This dense comparison is useful because even a repressive region did not require the canonical uniform fiber architecture. Structural heterogeneity is therefore not a feature reserved for euchromatin. The active–repressed comparison should examine local interactions, packing and molecular annotations together, rather than assume that each state has one exclusive fiber geometry.</w:t>
      </w:r>
      <w:hyperlink r:id="rId52" w:history="1">
        <w:r>
          <w:rPr>
            <w:color w:val="087B78"/>
            <w:sz w:val="18"/>
            <w:szCs w:val="18"/>
          </w:rPr>
          <w:t xml:space="preserve"> [6]</w:t>
        </w:r>
      </w:hyperlink>
      <w:hyperlink r:id="rId53" w:history="1">
        <w:r>
          <w:rPr>
            <w:color w:val="087B78"/>
            <w:sz w:val="18"/>
            <w:szCs w:val="18"/>
          </w:rPr>
          <w:t xml:space="preserve"> [5]</w:t>
        </w:r>
      </w:hyperlink>
    </w:p>
    <w:p w14:paraId="202620FF" w14:textId="7A5039C3" w:rsidR="0012441F" w:rsidRDefault="00776492">
      <w:r>
        <w:t>Histone chemistry can nevertheless influence those interactions. Defined arrays show altered folding after H4K16 acetylation and differences with repeat length or H5 binding. These molecular experiments provide causal possibilities for a heterogeneous cellular material. They do not supply a fixed percentage of the genome that is open, nor a universal stiffness assigned to a euchromatic label. Such quantitative statements require their own specimen-specific measurements.</w:t>
      </w:r>
      <w:hyperlink r:id="rId54" w:history="1">
        <w:r>
          <w:rPr>
            <w:color w:val="087B78"/>
            <w:sz w:val="18"/>
            <w:szCs w:val="18"/>
          </w:rPr>
          <w:t xml:space="preserve"> [4]</w:t>
        </w:r>
      </w:hyperlink>
      <w:hyperlink r:id="rId55" w:history="1">
        <w:r>
          <w:rPr>
            <w:color w:val="087B78"/>
            <w:sz w:val="18"/>
            <w:szCs w:val="18"/>
          </w:rPr>
          <w:t xml:space="preserve"> [3]</w:t>
        </w:r>
      </w:hyperlink>
      <w:hyperlink r:id="rId56" w:history="1">
        <w:r>
          <w:rPr>
            <w:color w:val="087B78"/>
            <w:sz w:val="18"/>
            <w:szCs w:val="18"/>
          </w:rPr>
          <w:t xml:space="preserve"> [13]</w:t>
        </w:r>
      </w:hyperlink>
    </w:p>
    <w:p w14:paraId="71CCA4EF" w14:textId="77777777" w:rsidR="0012441F" w:rsidRDefault="00776492">
      <w:pPr>
        <w:pStyle w:val="Heading1"/>
      </w:pPr>
      <w:bookmarkStart w:id="8" w:name="_Toc242668345"/>
      <w:r>
        <w:lastRenderedPageBreak/>
        <w:t>8. Replication rebuilds chromatin rather than simply copying a snapshot</w:t>
      </w:r>
      <w:bookmarkEnd w:id="8"/>
    </w:p>
    <w:p w14:paraId="52E05DE8" w14:textId="084329DE" w:rsidR="0012441F" w:rsidRDefault="00776492">
      <w:r>
        <w:t>Alabert and colleagues distinguished parental and new histones on nascent chromatin using isotope labeling and mass spectrometry. Many modifications gradually approached parental patterns, whereas H3K27me3 and H3K9me3 accumulated on both old and new histones over a longer trajectory. This means that the post-replication chemical landscape is reconstructed with modification-specific kinetics. An accessible-state map at one timepoint does not describe the complete history of the nucleosomes that generated it.</w:t>
      </w:r>
      <w:hyperlink r:id="rId57" w:history="1">
        <w:r>
          <w:rPr>
            <w:color w:val="087B78"/>
            <w:sz w:val="18"/>
            <w:szCs w:val="18"/>
          </w:rPr>
          <w:t xml:space="preserve"> [17]</w:t>
        </w:r>
      </w:hyperlink>
    </w:p>
    <w:p w14:paraId="047F7B81" w14:textId="58DF6807" w:rsidR="0012441F" w:rsidRDefault="00776492">
      <w:r>
        <w:t>The 2024 fork-protection-complex study connected parental histone recycling to epigenetic memory. Histone handling at the replication machinery is therefore one contributor to rebuilding regulatory chromatin. Its role should be distinguished from the action of modifying enzymes after deposition, even though both affect later marks. A current model of euchromatin includes maintenance of regulatory competence through DNA replication rather than defining the state only by an interphase image.</w:t>
      </w:r>
      <w:hyperlink r:id="rId58" w:history="1">
        <w:r>
          <w:rPr>
            <w:color w:val="087B78"/>
            <w:sz w:val="18"/>
            <w:szCs w:val="18"/>
          </w:rPr>
          <w:t xml:space="preserve"> [19]</w:t>
        </w:r>
      </w:hyperlink>
      <w:hyperlink r:id="rId59" w:history="1">
        <w:r>
          <w:rPr>
            <w:color w:val="087B78"/>
            <w:sz w:val="18"/>
            <w:szCs w:val="18"/>
          </w:rPr>
          <w:t xml:space="preserve"> [17]</w:t>
        </w:r>
      </w:hyperlink>
    </w:p>
    <w:p w14:paraId="29B1BEC2" w14:textId="79257865" w:rsidR="0012441F" w:rsidRDefault="00776492">
      <w:r>
        <w:t xml:space="preserve">A replication-coupled example shows how physical context can affect a regulatory mark. H1-depleted mouse embryonic stem cells restored H3K27me3 more slowly on newly replicated DNA, linking the compact environment to rebuilding a repressive annotation. This does not directly measure every active region, but it identifies a boundary condition relevant when an accessible domain is compared before and after replication. Chemical restoration, histone composition and physical organization can change on different </w:t>
      </w:r>
      <w:r>
        <w:t>trajectories.</w:t>
      </w:r>
      <w:hyperlink r:id="rId60" w:history="1">
        <w:r>
          <w:rPr>
            <w:color w:val="087B78"/>
            <w:sz w:val="18"/>
            <w:szCs w:val="18"/>
          </w:rPr>
          <w:t xml:space="preserve"> [18]</w:t>
        </w:r>
      </w:hyperlink>
      <w:hyperlink r:id="rId61" w:history="1">
        <w:r>
          <w:rPr>
            <w:color w:val="087B78"/>
            <w:sz w:val="18"/>
            <w:szCs w:val="18"/>
          </w:rPr>
          <w:t xml:space="preserve"> [17]</w:t>
        </w:r>
      </w:hyperlink>
    </w:p>
    <w:p w14:paraId="22EFE97A" w14:textId="77777777" w:rsidR="0012441F" w:rsidRDefault="00776492">
      <w:pPr>
        <w:pStyle w:val="Heading1"/>
      </w:pPr>
      <w:bookmarkStart w:id="9" w:name="_Toc242668346"/>
      <w:r>
        <w:t>9. How to examine an accessible region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2441F" w14:paraId="2D347470"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68DCAE5B" w14:textId="77777777" w:rsidR="0012441F" w:rsidRDefault="00776492">
            <w:pPr>
              <w:spacing w:after="50" w:line="255" w:lineRule="auto"/>
            </w:pPr>
            <w:r>
              <w:rPr>
                <w:b/>
                <w:bCs/>
                <w:color w:val="173B4C"/>
                <w:sz w:val="19"/>
                <w:szCs w:val="19"/>
              </w:rPr>
              <w:t>Readout</w:t>
            </w:r>
          </w:p>
        </w:tc>
        <w:tc>
          <w:tcPr>
            <w:tcW w:w="3120" w:type="dxa"/>
            <w:shd w:val="clear" w:color="auto" w:fill="EAF3F3"/>
            <w:tcMar>
              <w:top w:w="105" w:type="dxa"/>
              <w:left w:w="125" w:type="dxa"/>
              <w:bottom w:w="105" w:type="dxa"/>
              <w:right w:w="125" w:type="dxa"/>
            </w:tcMar>
          </w:tcPr>
          <w:p w14:paraId="7519CC5F" w14:textId="77777777" w:rsidR="0012441F" w:rsidRDefault="00776492">
            <w:pPr>
              <w:spacing w:after="50" w:line="255" w:lineRule="auto"/>
            </w:pPr>
            <w:r>
              <w:rPr>
                <w:b/>
                <w:bCs/>
                <w:color w:val="173B4C"/>
                <w:sz w:val="19"/>
                <w:szCs w:val="19"/>
              </w:rPr>
              <w:t>Supported interpretation</w:t>
            </w:r>
          </w:p>
        </w:tc>
        <w:tc>
          <w:tcPr>
            <w:tcW w:w="3120" w:type="dxa"/>
            <w:shd w:val="clear" w:color="auto" w:fill="EAF3F3"/>
            <w:tcMar>
              <w:top w:w="105" w:type="dxa"/>
              <w:left w:w="125" w:type="dxa"/>
              <w:bottom w:w="105" w:type="dxa"/>
              <w:right w:w="125" w:type="dxa"/>
            </w:tcMar>
          </w:tcPr>
          <w:p w14:paraId="79C24741" w14:textId="77777777" w:rsidR="0012441F" w:rsidRDefault="00776492">
            <w:pPr>
              <w:spacing w:after="50" w:line="255" w:lineRule="auto"/>
            </w:pPr>
            <w:r>
              <w:rPr>
                <w:b/>
                <w:bCs/>
                <w:color w:val="173B4C"/>
                <w:sz w:val="19"/>
                <w:szCs w:val="19"/>
              </w:rPr>
              <w:t>Additional question</w:t>
            </w:r>
          </w:p>
        </w:tc>
      </w:tr>
      <w:tr w:rsidR="0012441F" w14:paraId="3E4B942A" w14:textId="77777777">
        <w:tblPrEx>
          <w:tblCellMar>
            <w:top w:w="0" w:type="dxa"/>
            <w:bottom w:w="0" w:type="dxa"/>
          </w:tblCellMar>
        </w:tblPrEx>
        <w:trPr>
          <w:cantSplit/>
        </w:trPr>
        <w:tc>
          <w:tcPr>
            <w:tcW w:w="3120" w:type="dxa"/>
            <w:tcMar>
              <w:top w:w="105" w:type="dxa"/>
              <w:left w:w="125" w:type="dxa"/>
              <w:bottom w:w="105" w:type="dxa"/>
              <w:right w:w="125" w:type="dxa"/>
            </w:tcMar>
          </w:tcPr>
          <w:p w14:paraId="5063AED9" w14:textId="77777777" w:rsidR="0012441F" w:rsidRDefault="00776492">
            <w:pPr>
              <w:spacing w:after="50" w:line="255" w:lineRule="auto"/>
            </w:pPr>
            <w:r>
              <w:rPr>
                <w:sz w:val="19"/>
                <w:szCs w:val="19"/>
              </w:rPr>
              <w:t>ATAC-seq insertion and fragment patterns</w:t>
            </w:r>
          </w:p>
        </w:tc>
        <w:tc>
          <w:tcPr>
            <w:tcW w:w="3120" w:type="dxa"/>
            <w:tcMar>
              <w:top w:w="105" w:type="dxa"/>
              <w:left w:w="125" w:type="dxa"/>
              <w:bottom w:w="105" w:type="dxa"/>
              <w:right w:w="125" w:type="dxa"/>
            </w:tcMar>
          </w:tcPr>
          <w:p w14:paraId="1B37A396" w14:textId="77777777" w:rsidR="0012441F" w:rsidRDefault="00776492">
            <w:pPr>
              <w:spacing w:after="50" w:line="255" w:lineRule="auto"/>
            </w:pPr>
            <w:r>
              <w:rPr>
                <w:sz w:val="19"/>
                <w:szCs w:val="19"/>
              </w:rPr>
              <w:t>DNA accessibility and nucleosome-associated genomic distributions.</w:t>
            </w:r>
          </w:p>
        </w:tc>
        <w:tc>
          <w:tcPr>
            <w:tcW w:w="3120" w:type="dxa"/>
            <w:tcMar>
              <w:top w:w="105" w:type="dxa"/>
              <w:left w:w="125" w:type="dxa"/>
              <w:bottom w:w="105" w:type="dxa"/>
              <w:right w:w="125" w:type="dxa"/>
            </w:tcMar>
          </w:tcPr>
          <w:p w14:paraId="408B626C" w14:textId="727F290A" w:rsidR="0012441F" w:rsidRDefault="00776492">
            <w:pPr>
              <w:spacing w:after="50" w:line="255" w:lineRule="auto"/>
            </w:pPr>
            <w:r>
              <w:rPr>
                <w:sz w:val="19"/>
                <w:szCs w:val="19"/>
              </w:rPr>
              <w:t>Is the locus transcribed, and which protein or event caused the accessibility change?</w:t>
            </w:r>
            <w:hyperlink r:id="rId62" w:history="1">
              <w:r>
                <w:rPr>
                  <w:color w:val="087B78"/>
                  <w:sz w:val="18"/>
                  <w:szCs w:val="18"/>
                </w:rPr>
                <w:t xml:space="preserve"> [9]</w:t>
              </w:r>
            </w:hyperlink>
          </w:p>
        </w:tc>
      </w:tr>
      <w:tr w:rsidR="0012441F" w14:paraId="778F6B85" w14:textId="77777777">
        <w:tblPrEx>
          <w:tblCellMar>
            <w:top w:w="0" w:type="dxa"/>
            <w:bottom w:w="0" w:type="dxa"/>
          </w:tblCellMar>
        </w:tblPrEx>
        <w:trPr>
          <w:cantSplit/>
        </w:trPr>
        <w:tc>
          <w:tcPr>
            <w:tcW w:w="3120" w:type="dxa"/>
            <w:tcMar>
              <w:top w:w="105" w:type="dxa"/>
              <w:left w:w="125" w:type="dxa"/>
              <w:bottom w:w="105" w:type="dxa"/>
              <w:right w:w="125" w:type="dxa"/>
            </w:tcMar>
          </w:tcPr>
          <w:p w14:paraId="747FDB4F" w14:textId="77777777" w:rsidR="0012441F" w:rsidRDefault="00776492">
            <w:pPr>
              <w:spacing w:after="50" w:line="255" w:lineRule="auto"/>
            </w:pPr>
            <w:r>
              <w:rPr>
                <w:sz w:val="19"/>
                <w:szCs w:val="19"/>
              </w:rPr>
              <w:t>Histone signatures and enhancer tests</w:t>
            </w:r>
          </w:p>
        </w:tc>
        <w:tc>
          <w:tcPr>
            <w:tcW w:w="3120" w:type="dxa"/>
            <w:tcMar>
              <w:top w:w="105" w:type="dxa"/>
              <w:left w:w="125" w:type="dxa"/>
              <w:bottom w:w="105" w:type="dxa"/>
              <w:right w:w="125" w:type="dxa"/>
            </w:tcMar>
          </w:tcPr>
          <w:p w14:paraId="680D4D8C" w14:textId="77777777" w:rsidR="0012441F" w:rsidRDefault="00776492">
            <w:pPr>
              <w:spacing w:after="50" w:line="255" w:lineRule="auto"/>
            </w:pPr>
            <w:r>
              <w:rPr>
                <w:sz w:val="19"/>
                <w:szCs w:val="19"/>
              </w:rPr>
              <w:t>Cell-specific regulatory-element chemistry with functional activity in tested constructs or contexts.</w:t>
            </w:r>
          </w:p>
        </w:tc>
        <w:tc>
          <w:tcPr>
            <w:tcW w:w="3120" w:type="dxa"/>
            <w:tcMar>
              <w:top w:w="105" w:type="dxa"/>
              <w:left w:w="125" w:type="dxa"/>
              <w:bottom w:w="105" w:type="dxa"/>
              <w:right w:w="125" w:type="dxa"/>
            </w:tcMar>
          </w:tcPr>
          <w:p w14:paraId="6164EAC5" w14:textId="704E06C4" w:rsidR="0012441F" w:rsidRDefault="00776492">
            <w:pPr>
              <w:spacing w:after="50" w:line="255" w:lineRule="auto"/>
            </w:pPr>
            <w:r>
              <w:rPr>
                <w:sz w:val="19"/>
                <w:szCs w:val="19"/>
              </w:rPr>
              <w:t>Which target gene and endogenous causal relationship are established?</w:t>
            </w:r>
            <w:hyperlink r:id="rId63" w:history="1">
              <w:r>
                <w:rPr>
                  <w:color w:val="087B78"/>
                  <w:sz w:val="18"/>
                  <w:szCs w:val="18"/>
                </w:rPr>
                <w:t xml:space="preserve"> [14]</w:t>
              </w:r>
            </w:hyperlink>
          </w:p>
        </w:tc>
      </w:tr>
      <w:tr w:rsidR="0012441F" w14:paraId="7AABA94E" w14:textId="77777777">
        <w:tblPrEx>
          <w:tblCellMar>
            <w:top w:w="0" w:type="dxa"/>
            <w:bottom w:w="0" w:type="dxa"/>
          </w:tblCellMar>
        </w:tblPrEx>
        <w:trPr>
          <w:cantSplit/>
        </w:trPr>
        <w:tc>
          <w:tcPr>
            <w:tcW w:w="3120" w:type="dxa"/>
            <w:tcMar>
              <w:top w:w="105" w:type="dxa"/>
              <w:left w:w="125" w:type="dxa"/>
              <w:bottom w:w="105" w:type="dxa"/>
              <w:right w:w="125" w:type="dxa"/>
            </w:tcMar>
          </w:tcPr>
          <w:p w14:paraId="541CB2FE" w14:textId="77777777" w:rsidR="0012441F" w:rsidRDefault="00776492">
            <w:pPr>
              <w:spacing w:after="50" w:line="255" w:lineRule="auto"/>
            </w:pPr>
            <w:r>
              <w:rPr>
                <w:sz w:val="19"/>
                <w:szCs w:val="19"/>
              </w:rPr>
              <w:t>Hi-C compartments and loops</w:t>
            </w:r>
          </w:p>
        </w:tc>
        <w:tc>
          <w:tcPr>
            <w:tcW w:w="3120" w:type="dxa"/>
            <w:tcMar>
              <w:top w:w="105" w:type="dxa"/>
              <w:left w:w="125" w:type="dxa"/>
              <w:bottom w:w="105" w:type="dxa"/>
              <w:right w:w="125" w:type="dxa"/>
            </w:tcMar>
          </w:tcPr>
          <w:p w14:paraId="6C0BA6D8" w14:textId="77777777" w:rsidR="0012441F" w:rsidRDefault="00776492">
            <w:pPr>
              <w:spacing w:after="50" w:line="255" w:lineRule="auto"/>
            </w:pPr>
            <w:r>
              <w:rPr>
                <w:sz w:val="19"/>
                <w:szCs w:val="19"/>
              </w:rPr>
              <w:t>Enriched population contacts and their association with genomic activity.</w:t>
            </w:r>
          </w:p>
        </w:tc>
        <w:tc>
          <w:tcPr>
            <w:tcW w:w="3120" w:type="dxa"/>
            <w:tcMar>
              <w:top w:w="105" w:type="dxa"/>
              <w:left w:w="125" w:type="dxa"/>
              <w:bottom w:w="105" w:type="dxa"/>
              <w:right w:w="125" w:type="dxa"/>
            </w:tcMar>
          </w:tcPr>
          <w:p w14:paraId="160C8DE1" w14:textId="45DC74AA" w:rsidR="0012441F" w:rsidRDefault="00776492">
            <w:pPr>
              <w:spacing w:after="50" w:line="255" w:lineRule="auto"/>
            </w:pPr>
            <w:r>
              <w:rPr>
                <w:sz w:val="19"/>
                <w:szCs w:val="19"/>
              </w:rPr>
              <w:t>How variable and persistent is the relationship in individual cells?</w:t>
            </w:r>
            <w:hyperlink r:id="rId64" w:history="1">
              <w:r>
                <w:rPr>
                  <w:color w:val="087B78"/>
                  <w:sz w:val="18"/>
                  <w:szCs w:val="18"/>
                </w:rPr>
                <w:t xml:space="preserve"> [10]</w:t>
              </w:r>
            </w:hyperlink>
            <w:hyperlink r:id="rId65" w:history="1">
              <w:r>
                <w:rPr>
                  <w:color w:val="087B78"/>
                  <w:sz w:val="18"/>
                  <w:szCs w:val="18"/>
                </w:rPr>
                <w:t xml:space="preserve"> [12]</w:t>
              </w:r>
            </w:hyperlink>
          </w:p>
        </w:tc>
      </w:tr>
      <w:tr w:rsidR="0012441F" w14:paraId="3F2D8979" w14:textId="77777777">
        <w:tblPrEx>
          <w:tblCellMar>
            <w:top w:w="0" w:type="dxa"/>
            <w:bottom w:w="0" w:type="dxa"/>
          </w:tblCellMar>
        </w:tblPrEx>
        <w:trPr>
          <w:cantSplit/>
        </w:trPr>
        <w:tc>
          <w:tcPr>
            <w:tcW w:w="3120" w:type="dxa"/>
            <w:tcMar>
              <w:top w:w="105" w:type="dxa"/>
              <w:left w:w="125" w:type="dxa"/>
              <w:bottom w:w="105" w:type="dxa"/>
              <w:right w:w="125" w:type="dxa"/>
            </w:tcMar>
          </w:tcPr>
          <w:p w14:paraId="268B1ADC" w14:textId="77777777" w:rsidR="0012441F" w:rsidRDefault="00776492">
            <w:pPr>
              <w:spacing w:after="50" w:line="255" w:lineRule="auto"/>
            </w:pPr>
            <w:r>
              <w:rPr>
                <w:sz w:val="19"/>
                <w:szCs w:val="19"/>
              </w:rPr>
              <w:t>Native structural imaging</w:t>
            </w:r>
          </w:p>
        </w:tc>
        <w:tc>
          <w:tcPr>
            <w:tcW w:w="3120" w:type="dxa"/>
            <w:tcMar>
              <w:top w:w="105" w:type="dxa"/>
              <w:left w:w="125" w:type="dxa"/>
              <w:bottom w:w="105" w:type="dxa"/>
              <w:right w:w="125" w:type="dxa"/>
            </w:tcMar>
          </w:tcPr>
          <w:p w14:paraId="419237C6" w14:textId="77777777" w:rsidR="0012441F" w:rsidRDefault="00776492">
            <w:pPr>
              <w:spacing w:after="50" w:line="255" w:lineRule="auto"/>
            </w:pPr>
            <w:r>
              <w:rPr>
                <w:sz w:val="19"/>
                <w:szCs w:val="19"/>
              </w:rPr>
              <w:t>Local packing and nucleosome arrangements.</w:t>
            </w:r>
          </w:p>
        </w:tc>
        <w:tc>
          <w:tcPr>
            <w:tcW w:w="3120" w:type="dxa"/>
            <w:tcMar>
              <w:top w:w="105" w:type="dxa"/>
              <w:left w:w="125" w:type="dxa"/>
              <w:bottom w:w="105" w:type="dxa"/>
              <w:right w:w="125" w:type="dxa"/>
            </w:tcMar>
          </w:tcPr>
          <w:p w14:paraId="21727635" w14:textId="63DC1E49" w:rsidR="0012441F" w:rsidRDefault="00776492">
            <w:pPr>
              <w:spacing w:after="50" w:line="255" w:lineRule="auto"/>
            </w:pPr>
            <w:r>
              <w:rPr>
                <w:sz w:val="19"/>
                <w:szCs w:val="19"/>
              </w:rPr>
              <w:t>What genomic and regulatory state does the imaged region represent?</w:t>
            </w:r>
            <w:hyperlink r:id="rId66" w:history="1">
              <w:r>
                <w:rPr>
                  <w:color w:val="087B78"/>
                  <w:sz w:val="18"/>
                  <w:szCs w:val="18"/>
                </w:rPr>
                <w:t xml:space="preserve"> [13]</w:t>
              </w:r>
            </w:hyperlink>
            <w:hyperlink r:id="rId67" w:history="1">
              <w:r>
                <w:rPr>
                  <w:color w:val="087B78"/>
                  <w:sz w:val="18"/>
                  <w:szCs w:val="18"/>
                </w:rPr>
                <w:t xml:space="preserve"> [5]</w:t>
              </w:r>
            </w:hyperlink>
            <w:hyperlink r:id="rId68" w:history="1">
              <w:r>
                <w:rPr>
                  <w:color w:val="087B78"/>
                  <w:sz w:val="18"/>
                  <w:szCs w:val="18"/>
                </w:rPr>
                <w:t xml:space="preserve"> [6]</w:t>
              </w:r>
            </w:hyperlink>
          </w:p>
        </w:tc>
      </w:tr>
      <w:tr w:rsidR="0012441F" w14:paraId="1580FDBA" w14:textId="77777777">
        <w:tblPrEx>
          <w:tblCellMar>
            <w:top w:w="0" w:type="dxa"/>
            <w:bottom w:w="0" w:type="dxa"/>
          </w:tblCellMar>
        </w:tblPrEx>
        <w:trPr>
          <w:cantSplit/>
        </w:trPr>
        <w:tc>
          <w:tcPr>
            <w:tcW w:w="3120" w:type="dxa"/>
            <w:tcMar>
              <w:top w:w="105" w:type="dxa"/>
              <w:left w:w="125" w:type="dxa"/>
              <w:bottom w:w="105" w:type="dxa"/>
              <w:right w:w="125" w:type="dxa"/>
            </w:tcMar>
          </w:tcPr>
          <w:p w14:paraId="50FFC5F7" w14:textId="77777777" w:rsidR="0012441F" w:rsidRDefault="00776492">
            <w:pPr>
              <w:spacing w:after="50" w:line="255" w:lineRule="auto"/>
            </w:pPr>
            <w:r>
              <w:rPr>
                <w:sz w:val="19"/>
                <w:szCs w:val="19"/>
              </w:rPr>
              <w:lastRenderedPageBreak/>
              <w:t>Pioneer/remodeler perturbation</w:t>
            </w:r>
          </w:p>
        </w:tc>
        <w:tc>
          <w:tcPr>
            <w:tcW w:w="3120" w:type="dxa"/>
            <w:tcMar>
              <w:top w:w="105" w:type="dxa"/>
              <w:left w:w="125" w:type="dxa"/>
              <w:bottom w:w="105" w:type="dxa"/>
              <w:right w:w="125" w:type="dxa"/>
            </w:tcMar>
          </w:tcPr>
          <w:p w14:paraId="7F5A7ADB" w14:textId="77777777" w:rsidR="0012441F" w:rsidRDefault="00776492">
            <w:pPr>
              <w:spacing w:after="50" w:line="255" w:lineRule="auto"/>
            </w:pPr>
            <w:r>
              <w:rPr>
                <w:sz w:val="19"/>
                <w:szCs w:val="19"/>
              </w:rPr>
              <w:t>Factor-specific engagement or gene dependence in a defined landscape.</w:t>
            </w:r>
          </w:p>
        </w:tc>
        <w:tc>
          <w:tcPr>
            <w:tcW w:w="3120" w:type="dxa"/>
            <w:tcMar>
              <w:top w:w="105" w:type="dxa"/>
              <w:left w:w="125" w:type="dxa"/>
              <w:bottom w:w="105" w:type="dxa"/>
              <w:right w:w="125" w:type="dxa"/>
            </w:tcMar>
          </w:tcPr>
          <w:p w14:paraId="4D281380" w14:textId="57F36FC9" w:rsidR="0012441F" w:rsidRDefault="00776492">
            <w:pPr>
              <w:spacing w:after="50" w:line="255" w:lineRule="auto"/>
            </w:pPr>
            <w:r>
              <w:rPr>
                <w:sz w:val="19"/>
                <w:szCs w:val="19"/>
              </w:rPr>
              <w:t>Does the intervention change binding, opening or downstream transcription?</w:t>
            </w:r>
            <w:hyperlink r:id="rId69" w:history="1">
              <w:r>
                <w:rPr>
                  <w:color w:val="087B78"/>
                  <w:sz w:val="18"/>
                  <w:szCs w:val="18"/>
                </w:rPr>
                <w:t xml:space="preserve"> [15]</w:t>
              </w:r>
            </w:hyperlink>
            <w:hyperlink r:id="rId70" w:history="1">
              <w:r>
                <w:rPr>
                  <w:color w:val="087B78"/>
                  <w:sz w:val="18"/>
                  <w:szCs w:val="18"/>
                </w:rPr>
                <w:t xml:space="preserve"> [16]</w:t>
              </w:r>
            </w:hyperlink>
            <w:hyperlink r:id="rId71" w:history="1">
              <w:r>
                <w:rPr>
                  <w:color w:val="087B78"/>
                  <w:sz w:val="18"/>
                  <w:szCs w:val="18"/>
                </w:rPr>
                <w:t xml:space="preserve"> [8]</w:t>
              </w:r>
            </w:hyperlink>
          </w:p>
        </w:tc>
      </w:tr>
    </w:tbl>
    <w:p w14:paraId="10929573" w14:textId="77777777" w:rsidR="0012441F" w:rsidRDefault="0012441F">
      <w:pPr>
        <w:spacing w:after="170"/>
      </w:pPr>
    </w:p>
    <w:p w14:paraId="627C1E30" w14:textId="4773E982" w:rsidR="0012441F" w:rsidRDefault="00776492">
      <w:r>
        <w:t>For a cell-state transition, the measurement schedule should distinguish initial factor engagement from later accessibility and gene-expression changes. Pioneer-factor binding assays, landscape-dependent SWI/SNF studies and acute repressive-mark removal motivate that sequence. If a locus becomes accessible before its transcript changes, the time ordering constrains the model but still needs a selective intervention to establish necessity. This makes temporal sampling a mechanistic part of the study rather t</w:t>
      </w:r>
      <w:r>
        <w:t>han a decorative addition to an endpoint map.</w:t>
      </w:r>
      <w:hyperlink r:id="rId72" w:history="1">
        <w:r>
          <w:rPr>
            <w:color w:val="087B78"/>
            <w:sz w:val="18"/>
            <w:szCs w:val="18"/>
          </w:rPr>
          <w:t xml:space="preserve"> [15]</w:t>
        </w:r>
      </w:hyperlink>
      <w:hyperlink r:id="rId73" w:history="1">
        <w:r>
          <w:rPr>
            <w:color w:val="087B78"/>
            <w:sz w:val="18"/>
            <w:szCs w:val="18"/>
          </w:rPr>
          <w:t xml:space="preserve"> [16]</w:t>
        </w:r>
      </w:hyperlink>
      <w:hyperlink r:id="rId74" w:history="1">
        <w:r>
          <w:rPr>
            <w:color w:val="087B78"/>
            <w:sz w:val="18"/>
            <w:szCs w:val="18"/>
          </w:rPr>
          <w:t xml:space="preserve"> [8]</w:t>
        </w:r>
      </w:hyperlink>
    </w:p>
    <w:p w14:paraId="4E9F073B" w14:textId="77777777" w:rsidR="0012441F" w:rsidRDefault="00776492">
      <w:pPr>
        <w:pStyle w:val="Heading1"/>
      </w:pPr>
      <w:bookmarkStart w:id="10" w:name="_Toc242668347"/>
      <w:r>
        <w:t>10. Synthesis and current priorities</w:t>
      </w:r>
      <w:bookmarkEnd w:id="10"/>
    </w:p>
    <w:p w14:paraId="45E53C93" w14:textId="03482731" w:rsidR="0012441F" w:rsidRDefault="00776492">
      <w:r>
        <w:t>Euchromatin is a regulated, locally heterogeneous state of genomic competence. Its useful defining features emerge from nucleosome dynamics, regulatory-factor access, remodeling, histone chemistry and chromosome contacts. Recent primary studies strengthen the view that chromatin landscape predicts some molecular dependencies and that repressive-state removal has multiple temporal outcomes. This account supports detailed local mechanisms without treating every active locus as physically or chemically identic</w:t>
      </w:r>
      <w:r>
        <w:t>al.</w:t>
      </w:r>
      <w:hyperlink r:id="rId75" w:history="1">
        <w:r>
          <w:rPr>
            <w:color w:val="087B78"/>
            <w:sz w:val="18"/>
            <w:szCs w:val="18"/>
          </w:rPr>
          <w:t xml:space="preserve"> [2]</w:t>
        </w:r>
      </w:hyperlink>
      <w:hyperlink r:id="rId76" w:history="1">
        <w:r>
          <w:rPr>
            <w:color w:val="087B78"/>
            <w:sz w:val="18"/>
            <w:szCs w:val="18"/>
          </w:rPr>
          <w:t xml:space="preserve"> [15]</w:t>
        </w:r>
      </w:hyperlink>
      <w:hyperlink r:id="rId77" w:history="1">
        <w:r>
          <w:rPr>
            <w:color w:val="087B78"/>
            <w:sz w:val="18"/>
            <w:szCs w:val="18"/>
          </w:rPr>
          <w:t xml:space="preserve"> [16]</w:t>
        </w:r>
      </w:hyperlink>
      <w:hyperlink r:id="rId78" w:history="1">
        <w:r>
          <w:rPr>
            <w:color w:val="087B78"/>
            <w:sz w:val="18"/>
            <w:szCs w:val="18"/>
          </w:rPr>
          <w:t xml:space="preserve"> [8]</w:t>
        </w:r>
      </w:hyperlink>
    </w:p>
    <w:p w14:paraId="06519A97" w14:textId="00A6D8B9" w:rsidR="0012441F" w:rsidRDefault="00776492">
      <w:r>
        <w:t>The next priority is to align the readouts in the same cellular state. A meaningful mechanistic test asks whether changing a specified interaction changes accessibility, the relevant genomic contacts and an independent transcriptional outcome together. The primary studies provide the tools and counterexamples motivating that design. A change in any one layer is informative, but connecting the layers is what makes a current account of euchromatin predictive.</w:t>
      </w:r>
      <w:hyperlink r:id="rId79" w:history="1">
        <w:r>
          <w:rPr>
            <w:color w:val="087B78"/>
            <w:sz w:val="18"/>
            <w:szCs w:val="18"/>
          </w:rPr>
          <w:t xml:space="preserve"> [9]</w:t>
        </w:r>
      </w:hyperlink>
      <w:hyperlink r:id="rId80" w:history="1">
        <w:r>
          <w:rPr>
            <w:color w:val="087B78"/>
            <w:sz w:val="18"/>
            <w:szCs w:val="18"/>
          </w:rPr>
          <w:t xml:space="preserve"> [14]</w:t>
        </w:r>
      </w:hyperlink>
      <w:hyperlink r:id="rId81" w:history="1">
        <w:r>
          <w:rPr>
            <w:color w:val="087B78"/>
            <w:sz w:val="18"/>
            <w:szCs w:val="18"/>
          </w:rPr>
          <w:t xml:space="preserve"> [12]</w:t>
        </w:r>
      </w:hyperlink>
      <w:hyperlink r:id="rId82" w:history="1">
        <w:r>
          <w:rPr>
            <w:color w:val="087B78"/>
            <w:sz w:val="18"/>
            <w:szCs w:val="18"/>
          </w:rPr>
          <w:t xml:space="preserve"> [16]</w:t>
        </w:r>
      </w:hyperlink>
    </w:p>
    <w:p w14:paraId="03A43567" w14:textId="77777777" w:rsidR="0012441F" w:rsidRDefault="00776492">
      <w:pPr>
        <w:pStyle w:val="Heading1"/>
      </w:pPr>
      <w:bookmarkStart w:id="11" w:name="_Toc242668348"/>
      <w:r>
        <w:t>References</w:t>
      </w:r>
      <w:bookmarkEnd w:id="11"/>
    </w:p>
    <w:p w14:paraId="4DA159C7" w14:textId="4EE61B4F" w:rsidR="0012441F" w:rsidRDefault="00776492">
      <w:pPr>
        <w:keepLines/>
        <w:spacing w:after="90" w:line="245" w:lineRule="auto"/>
      </w:pPr>
      <w:r>
        <w:rPr>
          <w:b/>
          <w:bCs/>
          <w:sz w:val="20"/>
          <w:szCs w:val="20"/>
        </w:rPr>
        <w:t xml:space="preserve">[1] Luger K, Mäder AW, Richmond RK, Sargent DF, Richmond TJ (1997). </w:t>
      </w:r>
      <w:r>
        <w:rPr>
          <w:sz w:val="20"/>
          <w:szCs w:val="20"/>
        </w:rPr>
        <w:t xml:space="preserve">Crystal structure of the nucleosome core particle at 2.8 Å resolution. Nature 389:251–260. </w:t>
      </w:r>
      <w:hyperlink r:id="rId83" w:history="1">
        <w:r>
          <w:rPr>
            <w:color w:val="087B78"/>
            <w:sz w:val="20"/>
            <w:szCs w:val="20"/>
            <w:u w:val="single"/>
          </w:rPr>
          <w:t>10.1038/38444</w:t>
        </w:r>
      </w:hyperlink>
    </w:p>
    <w:p w14:paraId="41FE0B53" w14:textId="1A44AB22" w:rsidR="0012441F" w:rsidRDefault="00776492">
      <w:pPr>
        <w:keepLines/>
        <w:spacing w:after="90" w:line="245" w:lineRule="auto"/>
      </w:pPr>
      <w:r>
        <w:rPr>
          <w:b/>
          <w:bCs/>
          <w:sz w:val="20"/>
          <w:szCs w:val="20"/>
        </w:rPr>
        <w:t xml:space="preserve">[2] Polach KJ, Widom J (1995). </w:t>
      </w:r>
      <w:r>
        <w:rPr>
          <w:sz w:val="20"/>
          <w:szCs w:val="20"/>
        </w:rPr>
        <w:t xml:space="preserve">Mechanism of protein access to specific DNA sequences in chromatin: a dynamic equilibrium model for gene regulation. Journal of Molecular Biology 254:130–149. </w:t>
      </w:r>
      <w:hyperlink r:id="rId84" w:history="1">
        <w:r>
          <w:rPr>
            <w:color w:val="087B78"/>
            <w:sz w:val="20"/>
            <w:szCs w:val="20"/>
            <w:u w:val="single"/>
          </w:rPr>
          <w:t>10.1006/jmbi.1995.0606</w:t>
        </w:r>
      </w:hyperlink>
    </w:p>
    <w:p w14:paraId="4A05356F" w14:textId="7BCC1A3C" w:rsidR="0012441F" w:rsidRDefault="00776492">
      <w:pPr>
        <w:keepLines/>
        <w:spacing w:after="90" w:line="245" w:lineRule="auto"/>
      </w:pPr>
      <w:r>
        <w:rPr>
          <w:b/>
          <w:bCs/>
          <w:sz w:val="20"/>
          <w:szCs w:val="20"/>
        </w:rPr>
        <w:t xml:space="preserve">[3] Routh A, Sandin S, Rhodes D (2008). </w:t>
      </w:r>
      <w:r>
        <w:rPr>
          <w:sz w:val="20"/>
          <w:szCs w:val="20"/>
        </w:rPr>
        <w:t xml:space="preserve">Nucleosome repeat length and linker histone stoichiometry determine chromatin fiber structure. PNAS 105:8872–8877. </w:t>
      </w:r>
      <w:hyperlink r:id="rId85" w:history="1">
        <w:r>
          <w:rPr>
            <w:color w:val="087B78"/>
            <w:sz w:val="20"/>
            <w:szCs w:val="20"/>
            <w:u w:val="single"/>
          </w:rPr>
          <w:t>10.1073/pnas.0802336105</w:t>
        </w:r>
      </w:hyperlink>
    </w:p>
    <w:p w14:paraId="44DFCBB3" w14:textId="7FC8AF61" w:rsidR="0012441F" w:rsidRDefault="00776492">
      <w:pPr>
        <w:keepLines/>
        <w:spacing w:after="90" w:line="245" w:lineRule="auto"/>
      </w:pPr>
      <w:r>
        <w:rPr>
          <w:b/>
          <w:bCs/>
          <w:sz w:val="20"/>
          <w:szCs w:val="20"/>
        </w:rPr>
        <w:t xml:space="preserve">[4] Shogren-Knaak M, Ishii H, Sun JM, Pazin MJ, Davie JR, Peterson CL (2006). </w:t>
      </w:r>
      <w:r>
        <w:rPr>
          <w:sz w:val="20"/>
          <w:szCs w:val="20"/>
        </w:rPr>
        <w:t xml:space="preserve">Histone H4-K16 Acetylation Controls Chromatin Structure and Protein Interactions. Science 311:844–847. </w:t>
      </w:r>
      <w:hyperlink r:id="rId86" w:history="1">
        <w:r>
          <w:rPr>
            <w:color w:val="087B78"/>
            <w:sz w:val="20"/>
            <w:szCs w:val="20"/>
            <w:u w:val="single"/>
          </w:rPr>
          <w:t>10.1126/science.1124000</w:t>
        </w:r>
      </w:hyperlink>
    </w:p>
    <w:p w14:paraId="58966CD7" w14:textId="18BD5249" w:rsidR="0012441F" w:rsidRDefault="00776492">
      <w:pPr>
        <w:keepLines/>
        <w:spacing w:after="90" w:line="245" w:lineRule="auto"/>
      </w:pPr>
      <w:r>
        <w:rPr>
          <w:b/>
          <w:bCs/>
          <w:sz w:val="20"/>
          <w:szCs w:val="20"/>
        </w:rPr>
        <w:t xml:space="preserve">[5] Hou Z, Nightingale F, Zhu Y, MacGregor-Chatwin C, Zhang P (2023). </w:t>
      </w:r>
      <w:r>
        <w:rPr>
          <w:sz w:val="20"/>
          <w:szCs w:val="20"/>
        </w:rPr>
        <w:t xml:space="preserve">Structure of native chromatin fibres revealed by Cryo-ET in situ. Nature Communications 14:6324. </w:t>
      </w:r>
      <w:hyperlink r:id="rId87" w:history="1">
        <w:r>
          <w:rPr>
            <w:color w:val="087B78"/>
            <w:sz w:val="20"/>
            <w:szCs w:val="20"/>
            <w:u w:val="single"/>
          </w:rPr>
          <w:t>10.1038/s41467-023-42072-1</w:t>
        </w:r>
      </w:hyperlink>
    </w:p>
    <w:p w14:paraId="1DDA53A4" w14:textId="58A89916" w:rsidR="0012441F" w:rsidRDefault="00776492">
      <w:pPr>
        <w:keepLines/>
        <w:spacing w:after="90" w:line="245" w:lineRule="auto"/>
      </w:pPr>
      <w:r>
        <w:rPr>
          <w:b/>
          <w:bCs/>
          <w:sz w:val="20"/>
          <w:szCs w:val="20"/>
        </w:rPr>
        <w:t xml:space="preserve">[6] Kreysing JP, Cruz-León S, Betz J, et al. (2026). </w:t>
      </w:r>
      <w:r>
        <w:rPr>
          <w:sz w:val="20"/>
          <w:szCs w:val="20"/>
        </w:rPr>
        <w:t xml:space="preserve">Molecular architecture of heterochromatin at the nuclear periphery of primary human cells. Nature Communications 17:5844. </w:t>
      </w:r>
      <w:hyperlink r:id="rId88" w:history="1">
        <w:r>
          <w:rPr>
            <w:color w:val="087B78"/>
            <w:sz w:val="20"/>
            <w:szCs w:val="20"/>
            <w:u w:val="single"/>
          </w:rPr>
          <w:t>10.1038/s41467-026-75087-5</w:t>
        </w:r>
      </w:hyperlink>
    </w:p>
    <w:p w14:paraId="5BC784C1" w14:textId="153308A5" w:rsidR="0012441F" w:rsidRDefault="00776492">
      <w:pPr>
        <w:keepLines/>
        <w:spacing w:after="90" w:line="245" w:lineRule="auto"/>
      </w:pPr>
      <w:r>
        <w:rPr>
          <w:b/>
          <w:bCs/>
          <w:sz w:val="20"/>
          <w:szCs w:val="20"/>
        </w:rPr>
        <w:lastRenderedPageBreak/>
        <w:t xml:space="preserve">[7] Gabriele M, Brandão HB, Grosse-Holz S, et al. (2022). </w:t>
      </w:r>
      <w:r>
        <w:rPr>
          <w:sz w:val="20"/>
          <w:szCs w:val="20"/>
        </w:rPr>
        <w:t xml:space="preserve">Dynamics of CTCF- and cohesin-mediated chromatin looping revealed by live-cell imaging. Science 376:496–501. </w:t>
      </w:r>
      <w:hyperlink r:id="rId89" w:history="1">
        <w:r>
          <w:rPr>
            <w:color w:val="087B78"/>
            <w:sz w:val="20"/>
            <w:szCs w:val="20"/>
            <w:u w:val="single"/>
          </w:rPr>
          <w:t>10.1126/science.abn6583</w:t>
        </w:r>
      </w:hyperlink>
    </w:p>
    <w:p w14:paraId="103CD993" w14:textId="505855FB" w:rsidR="0012441F" w:rsidRDefault="00776492">
      <w:pPr>
        <w:keepLines/>
        <w:spacing w:after="90" w:line="245" w:lineRule="auto"/>
      </w:pPr>
      <w:r>
        <w:rPr>
          <w:b/>
          <w:bCs/>
          <w:sz w:val="20"/>
          <w:szCs w:val="20"/>
        </w:rPr>
        <w:t xml:space="preserve">[8] Zhang J, Donahue G, Gilbert MB, Lapidot T, Nicetto D, Zaret KS (2024). </w:t>
      </w:r>
      <w:r>
        <w:rPr>
          <w:sz w:val="20"/>
          <w:szCs w:val="20"/>
        </w:rPr>
        <w:t xml:space="preserve">Distinct H3K9me3 heterochromatin maintenance dynamics govern different gene programs and repeats in pluripotent cells. Nature Cell Biology 26:2115–2128. </w:t>
      </w:r>
      <w:hyperlink r:id="rId90" w:history="1">
        <w:r>
          <w:rPr>
            <w:color w:val="087B78"/>
            <w:sz w:val="20"/>
            <w:szCs w:val="20"/>
            <w:u w:val="single"/>
          </w:rPr>
          <w:t>10.1038/s41556-024-01547-z</w:t>
        </w:r>
      </w:hyperlink>
    </w:p>
    <w:p w14:paraId="0973A0BE" w14:textId="3347F769" w:rsidR="0012441F" w:rsidRDefault="00776492">
      <w:pPr>
        <w:keepLines/>
        <w:spacing w:after="90" w:line="245" w:lineRule="auto"/>
      </w:pPr>
      <w:r>
        <w:rPr>
          <w:b/>
          <w:bCs/>
          <w:sz w:val="20"/>
          <w:szCs w:val="20"/>
        </w:rPr>
        <w:t xml:space="preserve">[9] Buenrostro JD, Giresi PG, Zaba LC, Chang HY, Greenleaf WJ (2013). </w:t>
      </w:r>
      <w:r>
        <w:rPr>
          <w:sz w:val="20"/>
          <w:szCs w:val="20"/>
        </w:rPr>
        <w:t xml:space="preserve">Transposition of native chromatin for fast and sensitive epigenomic profiling of open chromatin, DNA-binding proteins and nucleosome position. Nature Methods 10:1213–1218. </w:t>
      </w:r>
      <w:hyperlink r:id="rId91" w:history="1">
        <w:r>
          <w:rPr>
            <w:color w:val="087B78"/>
            <w:sz w:val="20"/>
            <w:szCs w:val="20"/>
            <w:u w:val="single"/>
          </w:rPr>
          <w:t>10.1038/nmeth.2688</w:t>
        </w:r>
      </w:hyperlink>
    </w:p>
    <w:p w14:paraId="33EA3F50" w14:textId="5EBFDA0A" w:rsidR="0012441F" w:rsidRDefault="00776492">
      <w:pPr>
        <w:keepLines/>
        <w:spacing w:after="90" w:line="245" w:lineRule="auto"/>
      </w:pPr>
      <w:r>
        <w:rPr>
          <w:b/>
          <w:bCs/>
          <w:sz w:val="20"/>
          <w:szCs w:val="20"/>
        </w:rPr>
        <w:t xml:space="preserve">[10] Rao SSP, Huntley MH, Durand NC, et al. (2014). </w:t>
      </w:r>
      <w:r>
        <w:rPr>
          <w:sz w:val="20"/>
          <w:szCs w:val="20"/>
        </w:rPr>
        <w:t xml:space="preserve">A 3D map of the human genome at kilobase resolution reveals principles of chromatin looping. Cell 159:1665–1680. </w:t>
      </w:r>
      <w:hyperlink r:id="rId92" w:history="1">
        <w:r>
          <w:rPr>
            <w:color w:val="087B78"/>
            <w:sz w:val="20"/>
            <w:szCs w:val="20"/>
            <w:u w:val="single"/>
          </w:rPr>
          <w:t>10.1016/j.cell.2014.11.021</w:t>
        </w:r>
      </w:hyperlink>
    </w:p>
    <w:p w14:paraId="3C8BB2EF" w14:textId="40C31FBF" w:rsidR="0012441F" w:rsidRDefault="00776492">
      <w:pPr>
        <w:keepLines/>
        <w:spacing w:after="90" w:line="245" w:lineRule="auto"/>
      </w:pPr>
      <w:r>
        <w:rPr>
          <w:b/>
          <w:bCs/>
          <w:sz w:val="20"/>
          <w:szCs w:val="20"/>
        </w:rPr>
        <w:t xml:space="preserve">[11] Rao SSP, Huntley MH, Durand NC, et al. (2015). </w:t>
      </w:r>
      <w:r>
        <w:rPr>
          <w:sz w:val="20"/>
          <w:szCs w:val="20"/>
        </w:rPr>
        <w:t xml:space="preserve">Erratum: A 3D map of the human genome at kilobase resolution reveals principles of chromatin looping. Cell 162:687–688. </w:t>
      </w:r>
      <w:hyperlink r:id="rId93" w:history="1">
        <w:r>
          <w:rPr>
            <w:color w:val="087B78"/>
            <w:sz w:val="20"/>
            <w:szCs w:val="20"/>
            <w:u w:val="single"/>
          </w:rPr>
          <w:t>10.1016/j.cell.2015.07.024</w:t>
        </w:r>
      </w:hyperlink>
    </w:p>
    <w:p w14:paraId="565C509E" w14:textId="2AF34608" w:rsidR="0012441F" w:rsidRDefault="00776492">
      <w:pPr>
        <w:keepLines/>
        <w:spacing w:after="90" w:line="245" w:lineRule="auto"/>
      </w:pPr>
      <w:r>
        <w:rPr>
          <w:b/>
          <w:bCs/>
          <w:sz w:val="20"/>
          <w:szCs w:val="20"/>
        </w:rPr>
        <w:t xml:space="preserve">[12] Bintu B, Mateo LJ, Su JH, et al. (2018). </w:t>
      </w:r>
      <w:r>
        <w:rPr>
          <w:sz w:val="20"/>
          <w:szCs w:val="20"/>
        </w:rPr>
        <w:t xml:space="preserve">Super-resolution chromatin tracing reveals domains and cooperative interactions in single cells. Science 362:eaau1783. </w:t>
      </w:r>
      <w:hyperlink r:id="rId94" w:history="1">
        <w:r>
          <w:rPr>
            <w:color w:val="087B78"/>
            <w:sz w:val="20"/>
            <w:szCs w:val="20"/>
            <w:u w:val="single"/>
          </w:rPr>
          <w:t>10.1126/science.aau1783</w:t>
        </w:r>
      </w:hyperlink>
    </w:p>
    <w:p w14:paraId="2E8D966A" w14:textId="12DB61A4" w:rsidR="0012441F" w:rsidRDefault="00776492">
      <w:pPr>
        <w:keepLines/>
        <w:spacing w:after="90" w:line="245" w:lineRule="auto"/>
      </w:pPr>
      <w:r>
        <w:rPr>
          <w:b/>
          <w:bCs/>
          <w:sz w:val="20"/>
          <w:szCs w:val="20"/>
        </w:rPr>
        <w:t xml:space="preserve">[13] Ou HD, Phan S, Deerinck TJ, Thor A, Ellisman MH, O’Shea CC (2017). </w:t>
      </w:r>
      <w:r>
        <w:rPr>
          <w:sz w:val="20"/>
          <w:szCs w:val="20"/>
        </w:rPr>
        <w:t xml:space="preserve">ChromEMT: Visualizing 3D chromatin structure and compaction in interphase and mitotic cells. Science 357:eaag0025. </w:t>
      </w:r>
      <w:hyperlink r:id="rId95" w:history="1">
        <w:r>
          <w:rPr>
            <w:color w:val="087B78"/>
            <w:sz w:val="20"/>
            <w:szCs w:val="20"/>
            <w:u w:val="single"/>
          </w:rPr>
          <w:t>10.1126/science.aag0025</w:t>
        </w:r>
      </w:hyperlink>
    </w:p>
    <w:p w14:paraId="08D03242" w14:textId="22E34B90" w:rsidR="0012441F" w:rsidRDefault="00776492">
      <w:pPr>
        <w:keepLines/>
        <w:spacing w:after="90" w:line="245" w:lineRule="auto"/>
      </w:pPr>
      <w:r>
        <w:rPr>
          <w:b/>
          <w:bCs/>
          <w:sz w:val="20"/>
          <w:szCs w:val="20"/>
        </w:rPr>
        <w:t xml:space="preserve">[14] Heintzman ND, Hon GC, Hawkins RD, et al. (2009). </w:t>
      </w:r>
      <w:r>
        <w:rPr>
          <w:sz w:val="20"/>
          <w:szCs w:val="20"/>
        </w:rPr>
        <w:t xml:space="preserve">Histone modifications at human enhancers reflect global cell-type-specific gene expression. Nature 459:108–112. </w:t>
      </w:r>
      <w:hyperlink r:id="rId96" w:history="1">
        <w:r>
          <w:rPr>
            <w:color w:val="087B78"/>
            <w:sz w:val="20"/>
            <w:szCs w:val="20"/>
            <w:u w:val="single"/>
          </w:rPr>
          <w:t>10.1038/nature07829</w:t>
        </w:r>
      </w:hyperlink>
    </w:p>
    <w:p w14:paraId="3624C7F9" w14:textId="3892BBCD" w:rsidR="0012441F" w:rsidRDefault="00776492">
      <w:pPr>
        <w:keepLines/>
        <w:spacing w:after="90" w:line="245" w:lineRule="auto"/>
      </w:pPr>
      <w:r>
        <w:rPr>
          <w:b/>
          <w:bCs/>
          <w:sz w:val="20"/>
          <w:szCs w:val="20"/>
        </w:rPr>
        <w:t xml:space="preserve">[15] Soufi A, Garcia MF, Jaroszewicz A, Osman N, Pellegrini M, Zaret KS (2015). </w:t>
      </w:r>
      <w:r>
        <w:rPr>
          <w:sz w:val="20"/>
          <w:szCs w:val="20"/>
        </w:rPr>
        <w:t xml:space="preserve">Pioneer Transcription Factors Target Partial DNA Motifs on Nucleosomes to Initiate Reprogramming. Cell 161:555–568. </w:t>
      </w:r>
      <w:hyperlink r:id="rId97" w:history="1">
        <w:r>
          <w:rPr>
            <w:color w:val="087B78"/>
            <w:sz w:val="20"/>
            <w:szCs w:val="20"/>
            <w:u w:val="single"/>
          </w:rPr>
          <w:t>10.1016/j.cell.2015.03.017</w:t>
        </w:r>
      </w:hyperlink>
    </w:p>
    <w:p w14:paraId="3C186590" w14:textId="34419E3B" w:rsidR="0012441F" w:rsidRDefault="00776492">
      <w:pPr>
        <w:keepLines/>
        <w:spacing w:after="90" w:line="245" w:lineRule="auto"/>
      </w:pPr>
      <w:r>
        <w:rPr>
          <w:b/>
          <w:bCs/>
          <w:sz w:val="20"/>
          <w:szCs w:val="20"/>
        </w:rPr>
        <w:t xml:space="preserve">[16] Basurto-Cayuela L, Guerrero-Martínez JA, Gómez-Marín E, et al. (2024). </w:t>
      </w:r>
      <w:r>
        <w:rPr>
          <w:sz w:val="20"/>
          <w:szCs w:val="20"/>
        </w:rPr>
        <w:t xml:space="preserve">SWI/SNF-dependent genes are defined by their chromatin landscape. Cell Reports 43:113855. </w:t>
      </w:r>
      <w:hyperlink r:id="rId98" w:history="1">
        <w:r>
          <w:rPr>
            <w:color w:val="087B78"/>
            <w:sz w:val="20"/>
            <w:szCs w:val="20"/>
            <w:u w:val="single"/>
          </w:rPr>
          <w:t>10.1016/j.celrep.2024.113855</w:t>
        </w:r>
      </w:hyperlink>
    </w:p>
    <w:p w14:paraId="0EFD1171" w14:textId="01AF550B" w:rsidR="0012441F" w:rsidRDefault="00776492">
      <w:pPr>
        <w:keepLines/>
        <w:spacing w:after="90" w:line="245" w:lineRule="auto"/>
      </w:pPr>
      <w:r>
        <w:rPr>
          <w:b/>
          <w:bCs/>
          <w:sz w:val="20"/>
          <w:szCs w:val="20"/>
        </w:rPr>
        <w:t xml:space="preserve">[17] Alabert C, Barth TK, Reverón-Gómez N, et al. (2015). </w:t>
      </w:r>
      <w:r>
        <w:rPr>
          <w:sz w:val="20"/>
          <w:szCs w:val="20"/>
        </w:rPr>
        <w:t xml:space="preserve">Two distinct modes for propagation of histone PTMs across the cell cycle. Genes &amp; Development 29:585–590. </w:t>
      </w:r>
      <w:hyperlink r:id="rId99" w:history="1">
        <w:r>
          <w:rPr>
            <w:color w:val="087B78"/>
            <w:sz w:val="20"/>
            <w:szCs w:val="20"/>
            <w:u w:val="single"/>
          </w:rPr>
          <w:t>10.1101/gad.256354.114</w:t>
        </w:r>
      </w:hyperlink>
    </w:p>
    <w:p w14:paraId="1D92E482" w14:textId="3DF65CA7" w:rsidR="0012441F" w:rsidRDefault="00776492">
      <w:pPr>
        <w:keepLines/>
        <w:spacing w:after="90" w:line="245" w:lineRule="auto"/>
      </w:pPr>
      <w:r>
        <w:rPr>
          <w:b/>
          <w:bCs/>
          <w:sz w:val="20"/>
          <w:szCs w:val="20"/>
        </w:rPr>
        <w:t xml:space="preserve">[18] Liu C, Yu J, Song A, et al. (2023). </w:t>
      </w:r>
      <w:r>
        <w:rPr>
          <w:sz w:val="20"/>
          <w:szCs w:val="20"/>
        </w:rPr>
        <w:t xml:space="preserve">Histone H1 facilitates restoration of H3K27me3 during DNA replication by chromatin compaction. Nature Communications 14:4081. </w:t>
      </w:r>
      <w:hyperlink r:id="rId100" w:history="1">
        <w:r>
          <w:rPr>
            <w:color w:val="087B78"/>
            <w:sz w:val="20"/>
            <w:szCs w:val="20"/>
            <w:u w:val="single"/>
          </w:rPr>
          <w:t>10.1038/s41467-023-39846-y</w:t>
        </w:r>
      </w:hyperlink>
    </w:p>
    <w:p w14:paraId="27551B81" w14:textId="41D09C2B" w:rsidR="0012441F" w:rsidRDefault="00776492">
      <w:pPr>
        <w:keepLines/>
        <w:spacing w:after="90" w:line="245" w:lineRule="auto"/>
      </w:pPr>
      <w:r>
        <w:rPr>
          <w:b/>
          <w:bCs/>
          <w:sz w:val="20"/>
          <w:szCs w:val="20"/>
        </w:rPr>
        <w:t xml:space="preserve">[19] Charlton SJ, Flury V, Kanoh Y, et al. (2024). </w:t>
      </w:r>
      <w:r>
        <w:rPr>
          <w:sz w:val="20"/>
          <w:szCs w:val="20"/>
        </w:rPr>
        <w:t xml:space="preserve">The fork protection complex promotes parental histone recycling and epigenetic memory. Cell 187:5029–5047.e21. </w:t>
      </w:r>
      <w:hyperlink r:id="rId101" w:history="1">
        <w:r>
          <w:rPr>
            <w:color w:val="087B78"/>
            <w:sz w:val="20"/>
            <w:szCs w:val="20"/>
            <w:u w:val="single"/>
          </w:rPr>
          <w:t>10.1016/j.cell.2024.07.017</w:t>
        </w:r>
      </w:hyperlink>
    </w:p>
    <w:p w14:paraId="070CFA42" w14:textId="77777777" w:rsidR="0012441F" w:rsidRDefault="00776492">
      <w:pPr>
        <w:pStyle w:val="Heading1"/>
      </w:pPr>
      <w:bookmarkStart w:id="12" w:name="_Toc242668349"/>
      <w:r>
        <w:t>Evidence scope</w:t>
      </w:r>
      <w:bookmarkEnd w:id="12"/>
    </w:p>
    <w:p w14:paraId="17E97A04" w14:textId="77777777" w:rsidR="0012441F" w:rsidRDefault="00776492">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12441F">
      <w:headerReference w:type="default" r:id="rId102"/>
      <w:footerReference w:type="default" r:id="rId103"/>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B91F6" w14:textId="77777777" w:rsidR="00776492" w:rsidRDefault="00776492">
      <w:pPr>
        <w:spacing w:after="0" w:line="240" w:lineRule="auto"/>
      </w:pPr>
      <w:r>
        <w:separator/>
      </w:r>
    </w:p>
  </w:endnote>
  <w:endnote w:type="continuationSeparator" w:id="0">
    <w:p w14:paraId="527FC21A" w14:textId="77777777" w:rsidR="00776492" w:rsidRDefault="0077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5FB0" w14:textId="77777777" w:rsidR="0012441F" w:rsidRDefault="00776492">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DD18E2">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DD18E2">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90AC" w14:textId="77777777" w:rsidR="00776492" w:rsidRDefault="00776492">
      <w:pPr>
        <w:spacing w:after="0" w:line="240" w:lineRule="auto"/>
      </w:pPr>
      <w:r>
        <w:separator/>
      </w:r>
    </w:p>
  </w:footnote>
  <w:footnote w:type="continuationSeparator" w:id="0">
    <w:p w14:paraId="1E5A21F0" w14:textId="77777777" w:rsidR="00776492" w:rsidRDefault="00776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975C" w14:textId="77777777" w:rsidR="0012441F" w:rsidRDefault="00776492">
    <w:pPr>
      <w:pBdr>
        <w:bottom w:val="single" w:sz="4" w:space="0" w:color="B8D1D0"/>
      </w:pBdr>
    </w:pPr>
    <w:r>
      <w:rPr>
        <w:color w:val="527077"/>
        <w:sz w:val="17"/>
        <w:szCs w:val="17"/>
      </w:rPr>
      <w:t>Euchromatin: accessibility, regulatory competence and dynamic genome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72F66"/>
    <w:multiLevelType w:val="hybridMultilevel"/>
    <w:tmpl w:val="572A459E"/>
    <w:lvl w:ilvl="0" w:tplc="4DC4C7B8">
      <w:start w:val="1"/>
      <w:numFmt w:val="bullet"/>
      <w:lvlText w:val="•"/>
      <w:lvlJc w:val="left"/>
      <w:pPr>
        <w:ind w:left="340" w:hanging="170"/>
      </w:pPr>
    </w:lvl>
    <w:lvl w:ilvl="1" w:tplc="7B6A0692">
      <w:numFmt w:val="decimal"/>
      <w:lvlText w:val=""/>
      <w:lvlJc w:val="left"/>
    </w:lvl>
    <w:lvl w:ilvl="2" w:tplc="4DECEC44">
      <w:numFmt w:val="decimal"/>
      <w:lvlText w:val=""/>
      <w:lvlJc w:val="left"/>
    </w:lvl>
    <w:lvl w:ilvl="3" w:tplc="7EA87436">
      <w:numFmt w:val="decimal"/>
      <w:lvlText w:val=""/>
      <w:lvlJc w:val="left"/>
    </w:lvl>
    <w:lvl w:ilvl="4" w:tplc="99CEEEAC">
      <w:numFmt w:val="decimal"/>
      <w:lvlText w:val=""/>
      <w:lvlJc w:val="left"/>
    </w:lvl>
    <w:lvl w:ilvl="5" w:tplc="EE1073FA">
      <w:numFmt w:val="decimal"/>
      <w:lvlText w:val=""/>
      <w:lvlJc w:val="left"/>
    </w:lvl>
    <w:lvl w:ilvl="6" w:tplc="E14EED06">
      <w:numFmt w:val="decimal"/>
      <w:lvlText w:val=""/>
      <w:lvlJc w:val="left"/>
    </w:lvl>
    <w:lvl w:ilvl="7" w:tplc="98C8A7FA">
      <w:numFmt w:val="decimal"/>
      <w:lvlText w:val=""/>
      <w:lvlJc w:val="left"/>
    </w:lvl>
    <w:lvl w:ilvl="8" w:tplc="C0FC3780">
      <w:numFmt w:val="decimal"/>
      <w:lvlText w:val=""/>
      <w:lvlJc w:val="left"/>
    </w:lvl>
  </w:abstractNum>
  <w:abstractNum w:abstractNumId="1" w15:restartNumberingAfterBreak="0">
    <w:nsid w:val="6E8127D6"/>
    <w:multiLevelType w:val="hybridMultilevel"/>
    <w:tmpl w:val="96BAD450"/>
    <w:lvl w:ilvl="0" w:tplc="9CF03E06">
      <w:start w:val="1"/>
      <w:numFmt w:val="bullet"/>
      <w:lvlText w:val="●"/>
      <w:lvlJc w:val="left"/>
      <w:pPr>
        <w:ind w:left="720" w:hanging="360"/>
      </w:pPr>
    </w:lvl>
    <w:lvl w:ilvl="1" w:tplc="E0167114">
      <w:start w:val="1"/>
      <w:numFmt w:val="bullet"/>
      <w:lvlText w:val="○"/>
      <w:lvlJc w:val="left"/>
      <w:pPr>
        <w:ind w:left="1440" w:hanging="360"/>
      </w:pPr>
    </w:lvl>
    <w:lvl w:ilvl="2" w:tplc="7F882968">
      <w:start w:val="1"/>
      <w:numFmt w:val="bullet"/>
      <w:lvlText w:val="■"/>
      <w:lvlJc w:val="left"/>
      <w:pPr>
        <w:ind w:left="2160" w:hanging="360"/>
      </w:pPr>
    </w:lvl>
    <w:lvl w:ilvl="3" w:tplc="EE4EEA8C">
      <w:start w:val="1"/>
      <w:numFmt w:val="bullet"/>
      <w:lvlText w:val="●"/>
      <w:lvlJc w:val="left"/>
      <w:pPr>
        <w:ind w:left="2880" w:hanging="360"/>
      </w:pPr>
    </w:lvl>
    <w:lvl w:ilvl="4" w:tplc="C4021FF0">
      <w:start w:val="1"/>
      <w:numFmt w:val="bullet"/>
      <w:lvlText w:val="○"/>
      <w:lvlJc w:val="left"/>
      <w:pPr>
        <w:ind w:left="3600" w:hanging="360"/>
      </w:pPr>
    </w:lvl>
    <w:lvl w:ilvl="5" w:tplc="907A0F76">
      <w:start w:val="1"/>
      <w:numFmt w:val="bullet"/>
      <w:lvlText w:val="■"/>
      <w:lvlJc w:val="left"/>
      <w:pPr>
        <w:ind w:left="4320" w:hanging="360"/>
      </w:pPr>
    </w:lvl>
    <w:lvl w:ilvl="6" w:tplc="655262DE">
      <w:start w:val="1"/>
      <w:numFmt w:val="bullet"/>
      <w:lvlText w:val="●"/>
      <w:lvlJc w:val="left"/>
      <w:pPr>
        <w:ind w:left="5040" w:hanging="360"/>
      </w:pPr>
    </w:lvl>
    <w:lvl w:ilvl="7" w:tplc="45AAD970">
      <w:start w:val="1"/>
      <w:numFmt w:val="bullet"/>
      <w:lvlText w:val="●"/>
      <w:lvlJc w:val="left"/>
      <w:pPr>
        <w:ind w:left="5760" w:hanging="360"/>
      </w:pPr>
    </w:lvl>
    <w:lvl w:ilvl="8" w:tplc="32040DA6">
      <w:start w:val="1"/>
      <w:numFmt w:val="bullet"/>
      <w:lvlText w:val="●"/>
      <w:lvlJc w:val="left"/>
      <w:pPr>
        <w:ind w:left="6480" w:hanging="360"/>
      </w:pPr>
    </w:lvl>
  </w:abstractNum>
  <w:num w:numId="1" w16cid:durableId="21213352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41F"/>
    <w:rsid w:val="0012441F"/>
    <w:rsid w:val="00776492"/>
    <w:rsid w:val="00DD18E2"/>
    <w:rsid w:val="00ED6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36A04"/>
  <w15:docId w15:val="{60745309-42F9-4B10-B9B5-FAAD5BFD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DD18E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cell.2015.03.017" TargetMode="External"/><Relationship Id="rId21" Type="http://schemas.openxmlformats.org/officeDocument/2006/relationships/hyperlink" Target="https://doi.org/10.1126/science.aau1783" TargetMode="External"/><Relationship Id="rId42" Type="http://schemas.openxmlformats.org/officeDocument/2006/relationships/hyperlink" Target="https://doi.org/10.1038/nmeth.2688" TargetMode="External"/><Relationship Id="rId47" Type="http://schemas.openxmlformats.org/officeDocument/2006/relationships/hyperlink" Target="https://doi.org/10.1016/j.cell.2014.11.021" TargetMode="External"/><Relationship Id="rId63" Type="http://schemas.openxmlformats.org/officeDocument/2006/relationships/hyperlink" Target="https://doi.org/10.1038/nature07829" TargetMode="External"/><Relationship Id="rId68" Type="http://schemas.openxmlformats.org/officeDocument/2006/relationships/hyperlink" Target="https://doi.org/10.1038/s41467-026-75087-5" TargetMode="External"/><Relationship Id="rId84" Type="http://schemas.openxmlformats.org/officeDocument/2006/relationships/hyperlink" Target="https://doi.org/10.1006/jmbi.1995.0606" TargetMode="External"/><Relationship Id="rId89" Type="http://schemas.openxmlformats.org/officeDocument/2006/relationships/hyperlink" Target="https://doi.org/10.1126/science.abn6583" TargetMode="External"/><Relationship Id="rId16" Type="http://schemas.openxmlformats.org/officeDocument/2006/relationships/hyperlink" Target="https://doi.org/10.1038/nmeth.2688" TargetMode="External"/><Relationship Id="rId11" Type="http://schemas.openxmlformats.org/officeDocument/2006/relationships/hyperlink" Target="https://doi.org/10.1126/science.aag0025" TargetMode="External"/><Relationship Id="rId32" Type="http://schemas.openxmlformats.org/officeDocument/2006/relationships/hyperlink" Target="https://doi.org/10.1016/j.cell.2015.03.017" TargetMode="External"/><Relationship Id="rId37" Type="http://schemas.openxmlformats.org/officeDocument/2006/relationships/hyperlink" Target="https://doi.org/10.1016/j.celrep.2024.113855" TargetMode="External"/><Relationship Id="rId53" Type="http://schemas.openxmlformats.org/officeDocument/2006/relationships/hyperlink" Target="https://doi.org/10.1038/s41467-023-42072-1" TargetMode="External"/><Relationship Id="rId58" Type="http://schemas.openxmlformats.org/officeDocument/2006/relationships/hyperlink" Target="https://doi.org/10.1016/j.cell.2024.07.017" TargetMode="External"/><Relationship Id="rId74" Type="http://schemas.openxmlformats.org/officeDocument/2006/relationships/hyperlink" Target="https://doi.org/10.1038/s41556-024-01547-z" TargetMode="External"/><Relationship Id="rId79" Type="http://schemas.openxmlformats.org/officeDocument/2006/relationships/hyperlink" Target="https://doi.org/10.1038/nmeth.2688" TargetMode="External"/><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hyperlink" Target="https://doi.org/10.1038/s41556-024-01547-z" TargetMode="External"/><Relationship Id="rId95" Type="http://schemas.openxmlformats.org/officeDocument/2006/relationships/hyperlink" Target="https://doi.org/10.1126/science.aag0025" TargetMode="External"/><Relationship Id="rId22" Type="http://schemas.openxmlformats.org/officeDocument/2006/relationships/hyperlink" Target="https://doi.org/10.1038/nature07829" TargetMode="External"/><Relationship Id="rId27" Type="http://schemas.openxmlformats.org/officeDocument/2006/relationships/hyperlink" Target="https://doi.org/10.1016/j.celrep.2024.113855" TargetMode="External"/><Relationship Id="rId43" Type="http://schemas.openxmlformats.org/officeDocument/2006/relationships/hyperlink" Target="https://doi.org/10.1038/nature07829" TargetMode="External"/><Relationship Id="rId48" Type="http://schemas.openxmlformats.org/officeDocument/2006/relationships/hyperlink" Target="https://doi.org/10.1126/science.aau1783" TargetMode="External"/><Relationship Id="rId64" Type="http://schemas.openxmlformats.org/officeDocument/2006/relationships/hyperlink" Target="https://doi.org/10.1016/j.cell.2014.11.021" TargetMode="External"/><Relationship Id="rId69" Type="http://schemas.openxmlformats.org/officeDocument/2006/relationships/hyperlink" Target="https://doi.org/10.1016/j.cell.2015.03.017" TargetMode="External"/><Relationship Id="rId80" Type="http://schemas.openxmlformats.org/officeDocument/2006/relationships/hyperlink" Target="https://doi.org/10.1038/nature07829" TargetMode="External"/><Relationship Id="rId85" Type="http://schemas.openxmlformats.org/officeDocument/2006/relationships/hyperlink" Target="https://doi.org/10.1073/pnas.0802336105" TargetMode="External"/><Relationship Id="rId12" Type="http://schemas.openxmlformats.org/officeDocument/2006/relationships/hyperlink" Target="https://doi.org/10.1006/jmbi.1995.0606" TargetMode="External"/><Relationship Id="rId17" Type="http://schemas.openxmlformats.org/officeDocument/2006/relationships/hyperlink" Target="https://doi.org/10.1038/nature07829" TargetMode="External"/><Relationship Id="rId33" Type="http://schemas.openxmlformats.org/officeDocument/2006/relationships/hyperlink" Target="https://doi.org/10.1126/science.1124000" TargetMode="External"/><Relationship Id="rId38" Type="http://schemas.openxmlformats.org/officeDocument/2006/relationships/hyperlink" Target="https://doi.org/10.1038/nmeth.2688" TargetMode="External"/><Relationship Id="rId59" Type="http://schemas.openxmlformats.org/officeDocument/2006/relationships/hyperlink" Target="https://doi.org/10.1101/gad.256354.114" TargetMode="External"/><Relationship Id="rId103" Type="http://schemas.openxmlformats.org/officeDocument/2006/relationships/footer" Target="footer1.xml"/><Relationship Id="rId20" Type="http://schemas.openxmlformats.org/officeDocument/2006/relationships/hyperlink" Target="https://doi.org/10.1016/j.cell.2015.07.024" TargetMode="External"/><Relationship Id="rId41" Type="http://schemas.openxmlformats.org/officeDocument/2006/relationships/hyperlink" Target="https://doi.org/10.1016/j.cell.2014.11.021" TargetMode="External"/><Relationship Id="rId54" Type="http://schemas.openxmlformats.org/officeDocument/2006/relationships/hyperlink" Target="https://doi.org/10.1126/science.1124000" TargetMode="External"/><Relationship Id="rId62" Type="http://schemas.openxmlformats.org/officeDocument/2006/relationships/hyperlink" Target="https://doi.org/10.1038/nmeth.2688" TargetMode="External"/><Relationship Id="rId70" Type="http://schemas.openxmlformats.org/officeDocument/2006/relationships/hyperlink" Target="https://doi.org/10.1016/j.celrep.2024.113855" TargetMode="External"/><Relationship Id="rId75" Type="http://schemas.openxmlformats.org/officeDocument/2006/relationships/hyperlink" Target="https://doi.org/10.1006/jmbi.1995.0606" TargetMode="External"/><Relationship Id="rId83" Type="http://schemas.openxmlformats.org/officeDocument/2006/relationships/hyperlink" Target="https://doi.org/10.1038/38444" TargetMode="External"/><Relationship Id="rId88" Type="http://schemas.openxmlformats.org/officeDocument/2006/relationships/hyperlink" Target="https://doi.org/10.1038/s41467-026-75087-5" TargetMode="External"/><Relationship Id="rId91" Type="http://schemas.openxmlformats.org/officeDocument/2006/relationships/hyperlink" Target="https://doi.org/10.1038/nmeth.2688" TargetMode="External"/><Relationship Id="rId96" Type="http://schemas.openxmlformats.org/officeDocument/2006/relationships/hyperlink" Target="https://doi.org/10.1038/nature07829"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556-024-01547-z" TargetMode="External"/><Relationship Id="rId23" Type="http://schemas.openxmlformats.org/officeDocument/2006/relationships/hyperlink" Target="https://doi.org/10.1038/38444" TargetMode="External"/><Relationship Id="rId28" Type="http://schemas.openxmlformats.org/officeDocument/2006/relationships/hyperlink" Target="https://doi.org/10.1126/science.1124000" TargetMode="External"/><Relationship Id="rId36" Type="http://schemas.openxmlformats.org/officeDocument/2006/relationships/hyperlink" Target="https://doi.org/10.1016/j.cell.2015.03.017" TargetMode="External"/><Relationship Id="rId49" Type="http://schemas.openxmlformats.org/officeDocument/2006/relationships/hyperlink" Target="https://doi.org/10.1126/science.abn6583" TargetMode="External"/><Relationship Id="rId57" Type="http://schemas.openxmlformats.org/officeDocument/2006/relationships/hyperlink" Target="https://doi.org/10.1101/gad.256354.114" TargetMode="External"/><Relationship Id="rId10" Type="http://schemas.openxmlformats.org/officeDocument/2006/relationships/hyperlink" Target="https://doi.org/10.1126/science.aau1783" TargetMode="External"/><Relationship Id="rId31" Type="http://schemas.openxmlformats.org/officeDocument/2006/relationships/hyperlink" Target="https://doi.org/10.1038/s41556-024-01547-z" TargetMode="External"/><Relationship Id="rId44" Type="http://schemas.openxmlformats.org/officeDocument/2006/relationships/hyperlink" Target="https://doi.org/10.1016/j.cell.2014.11.021" TargetMode="External"/><Relationship Id="rId52" Type="http://schemas.openxmlformats.org/officeDocument/2006/relationships/hyperlink" Target="https://doi.org/10.1038/s41467-026-75087-5" TargetMode="External"/><Relationship Id="rId60" Type="http://schemas.openxmlformats.org/officeDocument/2006/relationships/hyperlink" Target="https://doi.org/10.1038/s41467-023-39846-y" TargetMode="External"/><Relationship Id="rId65" Type="http://schemas.openxmlformats.org/officeDocument/2006/relationships/hyperlink" Target="https://doi.org/10.1126/science.aau1783" TargetMode="External"/><Relationship Id="rId73" Type="http://schemas.openxmlformats.org/officeDocument/2006/relationships/hyperlink" Target="https://doi.org/10.1016/j.celrep.2024.113855" TargetMode="External"/><Relationship Id="rId78" Type="http://schemas.openxmlformats.org/officeDocument/2006/relationships/hyperlink" Target="https://doi.org/10.1038/s41556-024-01547-z" TargetMode="External"/><Relationship Id="rId81" Type="http://schemas.openxmlformats.org/officeDocument/2006/relationships/hyperlink" Target="https://doi.org/10.1126/science.aau1783" TargetMode="External"/><Relationship Id="rId86" Type="http://schemas.openxmlformats.org/officeDocument/2006/relationships/hyperlink" Target="https://doi.org/10.1126/science.1124000" TargetMode="External"/><Relationship Id="rId94" Type="http://schemas.openxmlformats.org/officeDocument/2006/relationships/hyperlink" Target="https://doi.org/10.1126/science.aau1783" TargetMode="External"/><Relationship Id="rId99" Type="http://schemas.openxmlformats.org/officeDocument/2006/relationships/hyperlink" Target="https://doi.org/10.1101/gad.256354.114" TargetMode="External"/><Relationship Id="rId101" Type="http://schemas.openxmlformats.org/officeDocument/2006/relationships/hyperlink" Target="https://doi.org/10.1016/j.cell.2024.07.017" TargetMode="External"/><Relationship Id="rId4" Type="http://schemas.openxmlformats.org/officeDocument/2006/relationships/webSettings" Target="webSettings.xml"/><Relationship Id="rId9" Type="http://schemas.openxmlformats.org/officeDocument/2006/relationships/hyperlink" Target="https://doi.org/10.1016/j.cell.2014.11.021" TargetMode="External"/><Relationship Id="rId13" Type="http://schemas.openxmlformats.org/officeDocument/2006/relationships/hyperlink" Target="https://doi.org/10.1016/j.cell.2015.03.017" TargetMode="External"/><Relationship Id="rId18" Type="http://schemas.openxmlformats.org/officeDocument/2006/relationships/hyperlink" Target="https://doi.org/10.1016/j.cell.2014.11.021" TargetMode="External"/><Relationship Id="rId39" Type="http://schemas.openxmlformats.org/officeDocument/2006/relationships/hyperlink" Target="https://doi.org/10.1038/nature07829" TargetMode="External"/><Relationship Id="rId34" Type="http://schemas.openxmlformats.org/officeDocument/2006/relationships/hyperlink" Target="https://doi.org/10.1016/j.celrep.2024.113855" TargetMode="External"/><Relationship Id="rId50" Type="http://schemas.openxmlformats.org/officeDocument/2006/relationships/hyperlink" Target="https://doi.org/10.1126/science.aag0025" TargetMode="External"/><Relationship Id="rId55" Type="http://schemas.openxmlformats.org/officeDocument/2006/relationships/hyperlink" Target="https://doi.org/10.1073/pnas.0802336105" TargetMode="External"/><Relationship Id="rId76" Type="http://schemas.openxmlformats.org/officeDocument/2006/relationships/hyperlink" Target="https://doi.org/10.1016/j.cell.2015.03.017" TargetMode="External"/><Relationship Id="rId97" Type="http://schemas.openxmlformats.org/officeDocument/2006/relationships/hyperlink" Target="https://doi.org/10.1016/j.cell.2015.03.017" TargetMode="External"/><Relationship Id="rId104" Type="http://schemas.openxmlformats.org/officeDocument/2006/relationships/fontTable" Target="fontTable.xml"/><Relationship Id="rId7" Type="http://schemas.openxmlformats.org/officeDocument/2006/relationships/hyperlink" Target="https://doi.org/10.1038/nmeth.2688" TargetMode="External"/><Relationship Id="rId71" Type="http://schemas.openxmlformats.org/officeDocument/2006/relationships/hyperlink" Target="https://doi.org/10.1038/s41556-024-01547-z" TargetMode="External"/><Relationship Id="rId92" Type="http://schemas.openxmlformats.org/officeDocument/2006/relationships/hyperlink" Target="https://doi.org/10.1016/j.cell.2014.11.021" TargetMode="External"/><Relationship Id="rId2" Type="http://schemas.openxmlformats.org/officeDocument/2006/relationships/styles" Target="styles.xml"/><Relationship Id="rId29" Type="http://schemas.openxmlformats.org/officeDocument/2006/relationships/hyperlink" Target="https://doi.org/10.1016/j.cell.2015.03.017" TargetMode="External"/><Relationship Id="rId24" Type="http://schemas.openxmlformats.org/officeDocument/2006/relationships/hyperlink" Target="https://doi.org/10.1006/jmbi.1995.0606" TargetMode="External"/><Relationship Id="rId40" Type="http://schemas.openxmlformats.org/officeDocument/2006/relationships/hyperlink" Target="https://doi.org/10.1038/nature07829" TargetMode="External"/><Relationship Id="rId45" Type="http://schemas.openxmlformats.org/officeDocument/2006/relationships/hyperlink" Target="https://doi.org/10.1126/science.aau1783" TargetMode="External"/><Relationship Id="rId66" Type="http://schemas.openxmlformats.org/officeDocument/2006/relationships/hyperlink" Target="https://doi.org/10.1126/science.aag0025" TargetMode="External"/><Relationship Id="rId87" Type="http://schemas.openxmlformats.org/officeDocument/2006/relationships/hyperlink" Target="https://doi.org/10.1038/s41467-023-42072-1" TargetMode="External"/><Relationship Id="rId61" Type="http://schemas.openxmlformats.org/officeDocument/2006/relationships/hyperlink" Target="https://doi.org/10.1101/gad.256354.114" TargetMode="External"/><Relationship Id="rId82" Type="http://schemas.openxmlformats.org/officeDocument/2006/relationships/hyperlink" Target="https://doi.org/10.1016/j.celrep.2024.113855" TargetMode="External"/><Relationship Id="rId19" Type="http://schemas.openxmlformats.org/officeDocument/2006/relationships/hyperlink" Target="https://doi.org/10.1016/j.cell.2014.11.021" TargetMode="External"/><Relationship Id="rId14" Type="http://schemas.openxmlformats.org/officeDocument/2006/relationships/hyperlink" Target="https://doi.org/10.1016/j.celrep.2024.113855" TargetMode="External"/><Relationship Id="rId30" Type="http://schemas.openxmlformats.org/officeDocument/2006/relationships/hyperlink" Target="https://doi.org/10.1016/j.cell.2015.03.017" TargetMode="External"/><Relationship Id="rId35" Type="http://schemas.openxmlformats.org/officeDocument/2006/relationships/hyperlink" Target="https://doi.org/10.1006/jmbi.1995.0606" TargetMode="External"/><Relationship Id="rId56" Type="http://schemas.openxmlformats.org/officeDocument/2006/relationships/hyperlink" Target="https://doi.org/10.1126/science.aag0025" TargetMode="External"/><Relationship Id="rId77" Type="http://schemas.openxmlformats.org/officeDocument/2006/relationships/hyperlink" Target="https://doi.org/10.1016/j.celrep.2024.113855" TargetMode="External"/><Relationship Id="rId100" Type="http://schemas.openxmlformats.org/officeDocument/2006/relationships/hyperlink" Target="https://doi.org/10.1038/s41467-023-39846-y" TargetMode="External"/><Relationship Id="rId105" Type="http://schemas.openxmlformats.org/officeDocument/2006/relationships/theme" Target="theme/theme1.xml"/><Relationship Id="rId8" Type="http://schemas.openxmlformats.org/officeDocument/2006/relationships/hyperlink" Target="https://doi.org/10.1038/nature07829" TargetMode="External"/><Relationship Id="rId51" Type="http://schemas.openxmlformats.org/officeDocument/2006/relationships/hyperlink" Target="https://doi.org/10.1038/s41467-023-42072-1" TargetMode="External"/><Relationship Id="rId72" Type="http://schemas.openxmlformats.org/officeDocument/2006/relationships/hyperlink" Target="https://doi.org/10.1016/j.cell.2015.03.017" TargetMode="External"/><Relationship Id="rId93" Type="http://schemas.openxmlformats.org/officeDocument/2006/relationships/hyperlink" Target="https://doi.org/10.1016/j.cell.2015.07.024" TargetMode="External"/><Relationship Id="rId98" Type="http://schemas.openxmlformats.org/officeDocument/2006/relationships/hyperlink" Target="https://doi.org/10.1016/j.celrep.2024.113855" TargetMode="External"/><Relationship Id="rId3" Type="http://schemas.openxmlformats.org/officeDocument/2006/relationships/settings" Target="settings.xml"/><Relationship Id="rId25" Type="http://schemas.openxmlformats.org/officeDocument/2006/relationships/hyperlink" Target="https://doi.org/10.1006/jmbi.1995.0606" TargetMode="External"/><Relationship Id="rId46" Type="http://schemas.openxmlformats.org/officeDocument/2006/relationships/hyperlink" Target="https://doi.org/10.1126/science.abn6583" TargetMode="External"/><Relationship Id="rId67" Type="http://schemas.openxmlformats.org/officeDocument/2006/relationships/hyperlink" Target="https://doi.org/10.1038/s41467-023-420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2899</Words>
  <Characters>18382</Characters>
  <Application>Microsoft Office Word</Application>
  <DocSecurity>0</DocSecurity>
  <Lines>291</Lines>
  <Paragraphs>97</Paragraphs>
  <ScaleCrop>false</ScaleCrop>
  <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Euchromatin: accessibility, regulatory competence and dynamic genome organization</dc:title>
  <dc:subject>A current synthesis of how nucleosomes, remodeling, regulatory elements and chromosome folding support an accessible genome.</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