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C3B6C" w14:textId="77777777" w:rsidR="000C345B" w:rsidRDefault="00EC309F">
      <w:pPr>
        <w:pStyle w:val="Title"/>
      </w:pPr>
      <w:r>
        <w:t>The Orchestration of Eukaryotic Gene Expression</w:t>
      </w:r>
    </w:p>
    <w:p w14:paraId="4C9060C5" w14:textId="77777777" w:rsidR="000C345B" w:rsidRDefault="00EC309F">
      <w:pPr>
        <w:pStyle w:val="Subtitle"/>
      </w:pPr>
      <w:r>
        <w:t>Molecular coupling, nuclear organization and the measured flow of RNA from synthesis to export</w:t>
      </w:r>
    </w:p>
    <w:p w14:paraId="59DD4ACB" w14:textId="77777777" w:rsidR="000C345B" w:rsidRDefault="00EC309F">
      <w:pPr>
        <w:spacing w:before="200" w:after="320"/>
      </w:pPr>
      <w:r>
        <w:rPr>
          <w:color w:val="087B78"/>
          <w:sz w:val="20"/>
          <w:szCs w:val="20"/>
        </w:rPr>
        <w:t>CellNucleus · Current research review · 12 October 2026</w:t>
      </w:r>
    </w:p>
    <w:p w14:paraId="198B36CC" w14:textId="77777777" w:rsidR="000C345B" w:rsidRDefault="00EC309F">
      <w:pPr>
        <w:pStyle w:val="Heading1"/>
      </w:pPr>
      <w:bookmarkStart w:id="0" w:name="_Toc242668342"/>
      <w:r>
        <w:t>Abstract</w:t>
      </w:r>
      <w:bookmarkEnd w:id="0"/>
    </w:p>
    <w:p w14:paraId="0CC1FCEA" w14:textId="7F3B4203" w:rsidR="000C345B" w:rsidRDefault="00EC309F">
      <w:r>
        <w:t>Eukaryotic gene expression is a coordinated flow through distinct biochemical and spatial steps. Polymerase catalysis, RNA processing, nuclear organization and export can influence one another, but coordination does not imply a single controlling compartment or a fixed sequence of rate-limiting events. Foundational CTD experiments, live transcription measurements and recent compartment-resolved RNA kinetics support a framework in which a gene’s output depends on several coupled rates and on the fate of indi</w:t>
      </w:r>
      <w:r>
        <w:t>vidual transcript classes.</w:t>
      </w:r>
      <w:hyperlink r:id="rId7" w:history="1">
        <w:r>
          <w:rPr>
            <w:color w:val="087B78"/>
            <w:sz w:val="18"/>
            <w:szCs w:val="18"/>
          </w:rPr>
          <w:t xml:space="preserve"> [1]</w:t>
        </w:r>
      </w:hyperlink>
      <w:hyperlink r:id="rId8" w:history="1">
        <w:r>
          <w:rPr>
            <w:color w:val="087B78"/>
            <w:sz w:val="18"/>
            <w:szCs w:val="18"/>
          </w:rPr>
          <w:t xml:space="preserve"> [2]</w:t>
        </w:r>
      </w:hyperlink>
      <w:hyperlink r:id="rId9" w:history="1">
        <w:r>
          <w:rPr>
            <w:color w:val="087B78"/>
            <w:sz w:val="18"/>
            <w:szCs w:val="18"/>
          </w:rPr>
          <w:t xml:space="preserve"> [3]</w:t>
        </w:r>
      </w:hyperlink>
      <w:hyperlink r:id="rId10" w:history="1">
        <w:r>
          <w:rPr>
            <w:color w:val="087B78"/>
            <w:sz w:val="18"/>
            <w:szCs w:val="18"/>
          </w:rPr>
          <w:t xml:space="preserve"> [4]</w:t>
        </w:r>
      </w:hyperlink>
    </w:p>
    <w:p w14:paraId="09105775" w14:textId="3BF41D69" w:rsidR="000C345B" w:rsidRDefault="00EC309F">
      <w:r>
        <w:t>Current experiments sharpen the role of nuclear speckles in selected splicing reactions and identify molecular handoffs that license export. They also show why contact frequency, fluorescent RNA accumulation and mature RNA abundance must be interpreted as different measurements. A mechanistic account follows the substrate and measures the relevant transition rather than treating every focus or expression change as proof of one universal organizing mechanism.</w:t>
      </w:r>
      <w:hyperlink r:id="rId11" w:history="1">
        <w:r>
          <w:rPr>
            <w:color w:val="087B78"/>
            <w:sz w:val="18"/>
            <w:szCs w:val="18"/>
          </w:rPr>
          <w:t xml:space="preserve"> [5]</w:t>
        </w:r>
      </w:hyperlink>
      <w:hyperlink r:id="rId12" w:history="1">
        <w:r>
          <w:rPr>
            <w:color w:val="087B78"/>
            <w:sz w:val="18"/>
            <w:szCs w:val="18"/>
          </w:rPr>
          <w:t xml:space="preserve"> [6]</w:t>
        </w:r>
      </w:hyperlink>
      <w:hyperlink r:id="rId13" w:history="1">
        <w:r>
          <w:rPr>
            <w:color w:val="087B78"/>
            <w:sz w:val="18"/>
            <w:szCs w:val="18"/>
          </w:rPr>
          <w:t xml:space="preserve"> [7]</w:t>
        </w:r>
      </w:hyperlink>
      <w:hyperlink r:id="rId14" w:history="1">
        <w:r>
          <w:rPr>
            <w:color w:val="087B78"/>
            <w:sz w:val="18"/>
            <w:szCs w:val="18"/>
          </w:rPr>
          <w:t xml:space="preserve"> [8]</w:t>
        </w:r>
      </w:hyperlink>
    </w:p>
    <w:p w14:paraId="52F7CAB1" w14:textId="77777777" w:rsidR="000C345B" w:rsidRDefault="00EC309F">
      <w:pPr>
        <w:pageBreakBefore/>
        <w:spacing w:before="330"/>
      </w:pPr>
      <w:r>
        <w:rPr>
          <w:b/>
          <w:bCs/>
          <w:color w:val="173B4C"/>
          <w:sz w:val="32"/>
          <w:szCs w:val="32"/>
        </w:rPr>
        <w:lastRenderedPageBreak/>
        <w:t>Contents</w:t>
      </w:r>
    </w:p>
    <w:sdt>
      <w:sdtPr>
        <w:alias w:val="Contents"/>
        <w:id w:val="750400556"/>
      </w:sdtPr>
      <w:sdtEndPr/>
      <w:sdtContent>
        <w:p w14:paraId="575C71D8" w14:textId="66E81719" w:rsidR="003E3A3A" w:rsidRDefault="00EC309F">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42" w:history="1">
            <w:r w:rsidR="003E3A3A" w:rsidRPr="00511B58">
              <w:rPr>
                <w:rStyle w:val="Hyperlink"/>
                <w:noProof/>
              </w:rPr>
              <w:t>Abstract</w:t>
            </w:r>
            <w:r w:rsidR="003E3A3A">
              <w:rPr>
                <w:noProof/>
              </w:rPr>
              <w:tab/>
            </w:r>
            <w:r w:rsidR="003E3A3A">
              <w:rPr>
                <w:noProof/>
              </w:rPr>
              <w:fldChar w:fldCharType="begin"/>
            </w:r>
            <w:r w:rsidR="003E3A3A">
              <w:rPr>
                <w:noProof/>
              </w:rPr>
              <w:instrText xml:space="preserve"> PAGEREF _Toc242668342 \h </w:instrText>
            </w:r>
            <w:r w:rsidR="003E3A3A">
              <w:rPr>
                <w:noProof/>
              </w:rPr>
            </w:r>
            <w:r w:rsidR="003E3A3A">
              <w:rPr>
                <w:noProof/>
              </w:rPr>
              <w:fldChar w:fldCharType="separate"/>
            </w:r>
            <w:r w:rsidR="003E3A3A">
              <w:rPr>
                <w:noProof/>
              </w:rPr>
              <w:t>1</w:t>
            </w:r>
            <w:r w:rsidR="003E3A3A">
              <w:rPr>
                <w:noProof/>
              </w:rPr>
              <w:fldChar w:fldCharType="end"/>
            </w:r>
          </w:hyperlink>
        </w:p>
        <w:p w14:paraId="108849F5" w14:textId="3607CA61" w:rsidR="003E3A3A" w:rsidRDefault="003E3A3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3" w:history="1">
            <w:r w:rsidRPr="00511B58">
              <w:rPr>
                <w:rStyle w:val="Hyperlink"/>
                <w:noProof/>
              </w:rPr>
              <w:t>1. A coordinated process with distinguishable outputs</w:t>
            </w:r>
            <w:r>
              <w:rPr>
                <w:noProof/>
              </w:rPr>
              <w:tab/>
            </w:r>
            <w:r>
              <w:rPr>
                <w:noProof/>
              </w:rPr>
              <w:fldChar w:fldCharType="begin"/>
            </w:r>
            <w:r>
              <w:rPr>
                <w:noProof/>
              </w:rPr>
              <w:instrText xml:space="preserve"> PAGEREF _Toc242668343 \h </w:instrText>
            </w:r>
            <w:r>
              <w:rPr>
                <w:noProof/>
              </w:rPr>
            </w:r>
            <w:r>
              <w:rPr>
                <w:noProof/>
              </w:rPr>
              <w:fldChar w:fldCharType="separate"/>
            </w:r>
            <w:r>
              <w:rPr>
                <w:noProof/>
              </w:rPr>
              <w:t>2</w:t>
            </w:r>
            <w:r>
              <w:rPr>
                <w:noProof/>
              </w:rPr>
              <w:fldChar w:fldCharType="end"/>
            </w:r>
          </w:hyperlink>
        </w:p>
        <w:p w14:paraId="5789F15A" w14:textId="66F461EF" w:rsidR="003E3A3A" w:rsidRDefault="003E3A3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4" w:history="1">
            <w:r w:rsidRPr="00511B58">
              <w:rPr>
                <w:rStyle w:val="Hyperlink"/>
                <w:noProof/>
              </w:rPr>
              <w:t>2. Polymerase architecture and the CTD platform</w:t>
            </w:r>
            <w:r>
              <w:rPr>
                <w:noProof/>
              </w:rPr>
              <w:tab/>
            </w:r>
            <w:r>
              <w:rPr>
                <w:noProof/>
              </w:rPr>
              <w:fldChar w:fldCharType="begin"/>
            </w:r>
            <w:r>
              <w:rPr>
                <w:noProof/>
              </w:rPr>
              <w:instrText xml:space="preserve"> PAGEREF _Toc242668344 \h </w:instrText>
            </w:r>
            <w:r>
              <w:rPr>
                <w:noProof/>
              </w:rPr>
            </w:r>
            <w:r>
              <w:rPr>
                <w:noProof/>
              </w:rPr>
              <w:fldChar w:fldCharType="separate"/>
            </w:r>
            <w:r>
              <w:rPr>
                <w:noProof/>
              </w:rPr>
              <w:t>3</w:t>
            </w:r>
            <w:r>
              <w:rPr>
                <w:noProof/>
              </w:rPr>
              <w:fldChar w:fldCharType="end"/>
            </w:r>
          </w:hyperlink>
        </w:p>
        <w:p w14:paraId="61FCF01F" w14:textId="5B3BB4FD" w:rsidR="003E3A3A" w:rsidRDefault="003E3A3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5" w:history="1">
            <w:r w:rsidRPr="00511B58">
              <w:rPr>
                <w:rStyle w:val="Hyperlink"/>
                <w:noProof/>
              </w:rPr>
              <w:t>3. Initiation, elongation and cleavage in living cells</w:t>
            </w:r>
            <w:r>
              <w:rPr>
                <w:noProof/>
              </w:rPr>
              <w:tab/>
            </w:r>
            <w:r>
              <w:rPr>
                <w:noProof/>
              </w:rPr>
              <w:fldChar w:fldCharType="begin"/>
            </w:r>
            <w:r>
              <w:rPr>
                <w:noProof/>
              </w:rPr>
              <w:instrText xml:space="preserve"> PAGEREF _Toc242668345 \h </w:instrText>
            </w:r>
            <w:r>
              <w:rPr>
                <w:noProof/>
              </w:rPr>
            </w:r>
            <w:r>
              <w:rPr>
                <w:noProof/>
              </w:rPr>
              <w:fldChar w:fldCharType="separate"/>
            </w:r>
            <w:r>
              <w:rPr>
                <w:noProof/>
              </w:rPr>
              <w:t>3</w:t>
            </w:r>
            <w:r>
              <w:rPr>
                <w:noProof/>
              </w:rPr>
              <w:fldChar w:fldCharType="end"/>
            </w:r>
          </w:hyperlink>
        </w:p>
        <w:p w14:paraId="3F94BAB7" w14:textId="0AF41886" w:rsidR="003E3A3A" w:rsidRDefault="003E3A3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6" w:history="1">
            <w:r w:rsidRPr="00511B58">
              <w:rPr>
                <w:rStyle w:val="Hyperlink"/>
                <w:noProof/>
              </w:rPr>
              <w:t>4. Bursting and heterogeneous gene activity</w:t>
            </w:r>
            <w:r>
              <w:rPr>
                <w:noProof/>
              </w:rPr>
              <w:tab/>
            </w:r>
            <w:r>
              <w:rPr>
                <w:noProof/>
              </w:rPr>
              <w:fldChar w:fldCharType="begin"/>
            </w:r>
            <w:r>
              <w:rPr>
                <w:noProof/>
              </w:rPr>
              <w:instrText xml:space="preserve"> PAGEREF _Toc242668346 \h </w:instrText>
            </w:r>
            <w:r>
              <w:rPr>
                <w:noProof/>
              </w:rPr>
            </w:r>
            <w:r>
              <w:rPr>
                <w:noProof/>
              </w:rPr>
              <w:fldChar w:fldCharType="separate"/>
            </w:r>
            <w:r>
              <w:rPr>
                <w:noProof/>
              </w:rPr>
              <w:t>4</w:t>
            </w:r>
            <w:r>
              <w:rPr>
                <w:noProof/>
              </w:rPr>
              <w:fldChar w:fldCharType="end"/>
            </w:r>
          </w:hyperlink>
        </w:p>
        <w:p w14:paraId="47CBD612" w14:textId="0C18840D" w:rsidR="003E3A3A" w:rsidRDefault="003E3A3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7" w:history="1">
            <w:r w:rsidRPr="00511B58">
              <w:rPr>
                <w:rStyle w:val="Hyperlink"/>
                <w:noProof/>
              </w:rPr>
              <w:t>5. Genome contacts and transcriptional maintenance</w:t>
            </w:r>
            <w:r>
              <w:rPr>
                <w:noProof/>
              </w:rPr>
              <w:tab/>
            </w:r>
            <w:r>
              <w:rPr>
                <w:noProof/>
              </w:rPr>
              <w:fldChar w:fldCharType="begin"/>
            </w:r>
            <w:r>
              <w:rPr>
                <w:noProof/>
              </w:rPr>
              <w:instrText xml:space="preserve"> PAGEREF _Toc242668347 \h </w:instrText>
            </w:r>
            <w:r>
              <w:rPr>
                <w:noProof/>
              </w:rPr>
            </w:r>
            <w:r>
              <w:rPr>
                <w:noProof/>
              </w:rPr>
              <w:fldChar w:fldCharType="separate"/>
            </w:r>
            <w:r>
              <w:rPr>
                <w:noProof/>
              </w:rPr>
              <w:t>4</w:t>
            </w:r>
            <w:r>
              <w:rPr>
                <w:noProof/>
              </w:rPr>
              <w:fldChar w:fldCharType="end"/>
            </w:r>
          </w:hyperlink>
        </w:p>
        <w:p w14:paraId="71E05757" w14:textId="301D6F71" w:rsidR="003E3A3A" w:rsidRDefault="003E3A3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8" w:history="1">
            <w:r w:rsidRPr="00511B58">
              <w:rPr>
                <w:rStyle w:val="Hyperlink"/>
                <w:noProof/>
              </w:rPr>
              <w:t>6. Speckle proximity and transcript-specific processing</w:t>
            </w:r>
            <w:r>
              <w:rPr>
                <w:noProof/>
              </w:rPr>
              <w:tab/>
            </w:r>
            <w:r>
              <w:rPr>
                <w:noProof/>
              </w:rPr>
              <w:fldChar w:fldCharType="begin"/>
            </w:r>
            <w:r>
              <w:rPr>
                <w:noProof/>
              </w:rPr>
              <w:instrText xml:space="preserve"> PAGEREF _Toc242668348 \h </w:instrText>
            </w:r>
            <w:r>
              <w:rPr>
                <w:noProof/>
              </w:rPr>
            </w:r>
            <w:r>
              <w:rPr>
                <w:noProof/>
              </w:rPr>
              <w:fldChar w:fldCharType="separate"/>
            </w:r>
            <w:r>
              <w:rPr>
                <w:noProof/>
              </w:rPr>
              <w:t>4</w:t>
            </w:r>
            <w:r>
              <w:rPr>
                <w:noProof/>
              </w:rPr>
              <w:fldChar w:fldCharType="end"/>
            </w:r>
          </w:hyperlink>
        </w:p>
        <w:p w14:paraId="46838689" w14:textId="33C58B3E" w:rsidR="003E3A3A" w:rsidRDefault="003E3A3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9" w:history="1">
            <w:r w:rsidRPr="00511B58">
              <w:rPr>
                <w:rStyle w:val="Hyperlink"/>
                <w:noProof/>
              </w:rPr>
              <w:t>7. Cleavage and 3′ end formation have a spatial dimension</w:t>
            </w:r>
            <w:r>
              <w:rPr>
                <w:noProof/>
              </w:rPr>
              <w:tab/>
            </w:r>
            <w:r>
              <w:rPr>
                <w:noProof/>
              </w:rPr>
              <w:fldChar w:fldCharType="begin"/>
            </w:r>
            <w:r>
              <w:rPr>
                <w:noProof/>
              </w:rPr>
              <w:instrText xml:space="preserve"> PAGEREF _Toc242668349 \h </w:instrText>
            </w:r>
            <w:r>
              <w:rPr>
                <w:noProof/>
              </w:rPr>
            </w:r>
            <w:r>
              <w:rPr>
                <w:noProof/>
              </w:rPr>
              <w:fldChar w:fldCharType="separate"/>
            </w:r>
            <w:r>
              <w:rPr>
                <w:noProof/>
              </w:rPr>
              <w:t>5</w:t>
            </w:r>
            <w:r>
              <w:rPr>
                <w:noProof/>
              </w:rPr>
              <w:fldChar w:fldCharType="end"/>
            </w:r>
          </w:hyperlink>
        </w:p>
        <w:p w14:paraId="3ECD1F32" w14:textId="6CE98775" w:rsidR="003E3A3A" w:rsidRDefault="003E3A3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0" w:history="1">
            <w:r w:rsidRPr="00511B58">
              <w:rPr>
                <w:rStyle w:val="Hyperlink"/>
                <w:noProof/>
              </w:rPr>
              <w:t>8. Export licensing and RNA survival</w:t>
            </w:r>
            <w:r>
              <w:rPr>
                <w:noProof/>
              </w:rPr>
              <w:tab/>
            </w:r>
            <w:r>
              <w:rPr>
                <w:noProof/>
              </w:rPr>
              <w:fldChar w:fldCharType="begin"/>
            </w:r>
            <w:r>
              <w:rPr>
                <w:noProof/>
              </w:rPr>
              <w:instrText xml:space="preserve"> PAGEREF _Toc242668350 \h </w:instrText>
            </w:r>
            <w:r>
              <w:rPr>
                <w:noProof/>
              </w:rPr>
            </w:r>
            <w:r>
              <w:rPr>
                <w:noProof/>
              </w:rPr>
              <w:fldChar w:fldCharType="separate"/>
            </w:r>
            <w:r>
              <w:rPr>
                <w:noProof/>
              </w:rPr>
              <w:t>5</w:t>
            </w:r>
            <w:r>
              <w:rPr>
                <w:noProof/>
              </w:rPr>
              <w:fldChar w:fldCharType="end"/>
            </w:r>
          </w:hyperlink>
        </w:p>
        <w:p w14:paraId="5E328A71" w14:textId="1F4ABCF9" w:rsidR="003E3A3A" w:rsidRDefault="003E3A3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1" w:history="1">
            <w:r w:rsidRPr="00511B58">
              <w:rPr>
                <w:rStyle w:val="Hyperlink"/>
                <w:noProof/>
              </w:rPr>
              <w:t>9. Matching the assay to the mechanistic question</w:t>
            </w:r>
            <w:r>
              <w:rPr>
                <w:noProof/>
              </w:rPr>
              <w:tab/>
            </w:r>
            <w:r>
              <w:rPr>
                <w:noProof/>
              </w:rPr>
              <w:fldChar w:fldCharType="begin"/>
            </w:r>
            <w:r>
              <w:rPr>
                <w:noProof/>
              </w:rPr>
              <w:instrText xml:space="preserve"> PAGEREF _Toc242668351 \h </w:instrText>
            </w:r>
            <w:r>
              <w:rPr>
                <w:noProof/>
              </w:rPr>
            </w:r>
            <w:r>
              <w:rPr>
                <w:noProof/>
              </w:rPr>
              <w:fldChar w:fldCharType="separate"/>
            </w:r>
            <w:r>
              <w:rPr>
                <w:noProof/>
              </w:rPr>
              <w:t>6</w:t>
            </w:r>
            <w:r>
              <w:rPr>
                <w:noProof/>
              </w:rPr>
              <w:fldChar w:fldCharType="end"/>
            </w:r>
          </w:hyperlink>
        </w:p>
        <w:p w14:paraId="53F6039E" w14:textId="6DF096D8" w:rsidR="003E3A3A" w:rsidRDefault="003E3A3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2" w:history="1">
            <w:r w:rsidRPr="00511B58">
              <w:rPr>
                <w:rStyle w:val="Hyperlink"/>
                <w:noProof/>
              </w:rPr>
              <w:t>10. Processing changes the substrate presented to downstream machinery</w:t>
            </w:r>
            <w:r>
              <w:rPr>
                <w:noProof/>
              </w:rPr>
              <w:tab/>
            </w:r>
            <w:r>
              <w:rPr>
                <w:noProof/>
              </w:rPr>
              <w:fldChar w:fldCharType="begin"/>
            </w:r>
            <w:r>
              <w:rPr>
                <w:noProof/>
              </w:rPr>
              <w:instrText xml:space="preserve"> PAGEREF _Toc242668352 \h </w:instrText>
            </w:r>
            <w:r>
              <w:rPr>
                <w:noProof/>
              </w:rPr>
            </w:r>
            <w:r>
              <w:rPr>
                <w:noProof/>
              </w:rPr>
              <w:fldChar w:fldCharType="separate"/>
            </w:r>
            <w:r>
              <w:rPr>
                <w:noProof/>
              </w:rPr>
              <w:t>7</w:t>
            </w:r>
            <w:r>
              <w:rPr>
                <w:noProof/>
              </w:rPr>
              <w:fldChar w:fldCharType="end"/>
            </w:r>
          </w:hyperlink>
        </w:p>
        <w:p w14:paraId="1FF593D3" w14:textId="0E84C37A" w:rsidR="003E3A3A" w:rsidRDefault="003E3A3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3" w:history="1">
            <w:r w:rsidRPr="00511B58">
              <w:rPr>
                <w:rStyle w:val="Hyperlink"/>
                <w:noProof/>
              </w:rPr>
              <w:t>11. An integrated model and the remaining questions</w:t>
            </w:r>
            <w:r>
              <w:rPr>
                <w:noProof/>
              </w:rPr>
              <w:tab/>
            </w:r>
            <w:r>
              <w:rPr>
                <w:noProof/>
              </w:rPr>
              <w:fldChar w:fldCharType="begin"/>
            </w:r>
            <w:r>
              <w:rPr>
                <w:noProof/>
              </w:rPr>
              <w:instrText xml:space="preserve"> PAGEREF _Toc242668353 \h </w:instrText>
            </w:r>
            <w:r>
              <w:rPr>
                <w:noProof/>
              </w:rPr>
            </w:r>
            <w:r>
              <w:rPr>
                <w:noProof/>
              </w:rPr>
              <w:fldChar w:fldCharType="separate"/>
            </w:r>
            <w:r>
              <w:rPr>
                <w:noProof/>
              </w:rPr>
              <w:t>7</w:t>
            </w:r>
            <w:r>
              <w:rPr>
                <w:noProof/>
              </w:rPr>
              <w:fldChar w:fldCharType="end"/>
            </w:r>
          </w:hyperlink>
        </w:p>
        <w:p w14:paraId="2B34CDCF" w14:textId="77443DDF" w:rsidR="003E3A3A" w:rsidRDefault="003E3A3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4" w:history="1">
            <w:r w:rsidRPr="00511B58">
              <w:rPr>
                <w:rStyle w:val="Hyperlink"/>
                <w:noProof/>
              </w:rPr>
              <w:t>References</w:t>
            </w:r>
            <w:r>
              <w:rPr>
                <w:noProof/>
              </w:rPr>
              <w:tab/>
            </w:r>
            <w:r>
              <w:rPr>
                <w:noProof/>
              </w:rPr>
              <w:fldChar w:fldCharType="begin"/>
            </w:r>
            <w:r>
              <w:rPr>
                <w:noProof/>
              </w:rPr>
              <w:instrText xml:space="preserve"> PAGEREF _Toc242668354 \h </w:instrText>
            </w:r>
            <w:r>
              <w:rPr>
                <w:noProof/>
              </w:rPr>
            </w:r>
            <w:r>
              <w:rPr>
                <w:noProof/>
              </w:rPr>
              <w:fldChar w:fldCharType="separate"/>
            </w:r>
            <w:r>
              <w:rPr>
                <w:noProof/>
              </w:rPr>
              <w:t>8</w:t>
            </w:r>
            <w:r>
              <w:rPr>
                <w:noProof/>
              </w:rPr>
              <w:fldChar w:fldCharType="end"/>
            </w:r>
          </w:hyperlink>
        </w:p>
        <w:p w14:paraId="23C854F8" w14:textId="66264286" w:rsidR="003E3A3A" w:rsidRDefault="003E3A3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55" w:history="1">
            <w:r w:rsidRPr="00511B58">
              <w:rPr>
                <w:rStyle w:val="Hyperlink"/>
                <w:noProof/>
              </w:rPr>
              <w:t>Evidence scope</w:t>
            </w:r>
            <w:r>
              <w:rPr>
                <w:noProof/>
              </w:rPr>
              <w:tab/>
            </w:r>
            <w:r>
              <w:rPr>
                <w:noProof/>
              </w:rPr>
              <w:fldChar w:fldCharType="begin"/>
            </w:r>
            <w:r>
              <w:rPr>
                <w:noProof/>
              </w:rPr>
              <w:instrText xml:space="preserve"> PAGEREF _Toc242668355 \h </w:instrText>
            </w:r>
            <w:r>
              <w:rPr>
                <w:noProof/>
              </w:rPr>
            </w:r>
            <w:r>
              <w:rPr>
                <w:noProof/>
              </w:rPr>
              <w:fldChar w:fldCharType="separate"/>
            </w:r>
            <w:r>
              <w:rPr>
                <w:noProof/>
              </w:rPr>
              <w:t>8</w:t>
            </w:r>
            <w:r>
              <w:rPr>
                <w:noProof/>
              </w:rPr>
              <w:fldChar w:fldCharType="end"/>
            </w:r>
          </w:hyperlink>
        </w:p>
        <w:p w14:paraId="1B4CD0E2" w14:textId="57706E9B" w:rsidR="000C345B" w:rsidRDefault="00EC309F">
          <w:r>
            <w:fldChar w:fldCharType="end"/>
          </w:r>
        </w:p>
      </w:sdtContent>
    </w:sdt>
    <w:p w14:paraId="6CF6253F" w14:textId="77777777" w:rsidR="000C345B" w:rsidRDefault="00EC309F">
      <w:pPr>
        <w:pStyle w:val="Heading1"/>
      </w:pPr>
      <w:bookmarkStart w:id="1" w:name="_Toc242668343"/>
      <w:r>
        <w:t>1. A coordinated process with distinguishable outputs</w:t>
      </w:r>
      <w:bookmarkEnd w:id="1"/>
    </w:p>
    <w:p w14:paraId="39FFD61A" w14:textId="63081E5E" w:rsidR="000C345B" w:rsidRDefault="00EC309F">
      <w:r>
        <w:t>A protein-coding gene can be regulated at the point of transcription and during the subsequent maturation and trafficking of its RNA. Capping, intron removal and 3′ end formation often overlap with RNA synthesis, so a simple diagram showing transcription followed by processing hides opportunities for coupling. The mature RNA measured in an extract is the accumulated result of production and loss, whereas nascent RNA reports molecules still associated with synthesis. A high RNA concentration can therefore re</w:t>
      </w:r>
      <w:r>
        <w:t>flect greater production, greater persistence or altered movement between compartments. Each explanation requires a different measurement.</w:t>
      </w:r>
      <w:hyperlink r:id="rId15" w:history="1">
        <w:r>
          <w:rPr>
            <w:color w:val="087B78"/>
            <w:sz w:val="18"/>
            <w:szCs w:val="18"/>
          </w:rPr>
          <w:t xml:space="preserve"> [9]</w:t>
        </w:r>
      </w:hyperlink>
      <w:hyperlink r:id="rId16" w:history="1">
        <w:r>
          <w:rPr>
            <w:color w:val="087B78"/>
            <w:sz w:val="18"/>
            <w:szCs w:val="18"/>
          </w:rPr>
          <w:t xml:space="preserve"> [3]</w:t>
        </w:r>
      </w:hyperlink>
    </w:p>
    <w:p w14:paraId="26C572CC" w14:textId="5EDDD284" w:rsidR="000C345B" w:rsidRDefault="00EC309F">
      <w:r>
        <w:t xml:space="preserve">The organizing question is whether one transition constrains another. Recruitment of processing factors to a polymerase can provide a molecular route; proximity to a speckle can provide a spatial route; export licensing can provide a trafficking route. These are compatible explanations at different levels. They should be assembled into a conditional model of the tested cell and gene rather than a claim that every transcript is processed by the same visible factory. Recent data on selected GC-rich genes and </w:t>
      </w:r>
      <w:r>
        <w:t>export kinetics make such distinctions experimentally tractable.</w:t>
      </w:r>
      <w:hyperlink r:id="rId17" w:history="1">
        <w:r>
          <w:rPr>
            <w:color w:val="087B78"/>
            <w:sz w:val="18"/>
            <w:szCs w:val="18"/>
          </w:rPr>
          <w:t xml:space="preserve"> [1]</w:t>
        </w:r>
      </w:hyperlink>
      <w:hyperlink r:id="rId18" w:history="1">
        <w:r>
          <w:rPr>
            <w:color w:val="087B78"/>
            <w:sz w:val="18"/>
            <w:szCs w:val="18"/>
          </w:rPr>
          <w:t xml:space="preserve"> [6]</w:t>
        </w:r>
      </w:hyperlink>
      <w:hyperlink r:id="rId19" w:history="1">
        <w:r>
          <w:rPr>
            <w:color w:val="087B78"/>
            <w:sz w:val="18"/>
            <w:szCs w:val="18"/>
          </w:rPr>
          <w:t xml:space="preserve"> [7]</w:t>
        </w:r>
      </w:hyperlink>
    </w:p>
    <w:p w14:paraId="7FD1BD4B" w14:textId="77777777" w:rsidR="000C345B" w:rsidRDefault="00EC309F">
      <w:pPr>
        <w:pStyle w:val="Heading1"/>
      </w:pPr>
      <w:bookmarkStart w:id="2" w:name="_Toc242668344"/>
      <w:r>
        <w:lastRenderedPageBreak/>
        <w:t>2. Polymerase architecture and the CTD platform</w:t>
      </w:r>
      <w:bookmarkEnd w:id="2"/>
    </w:p>
    <w:p w14:paraId="2C57E780" w14:textId="3DDA4881" w:rsidR="000C345B" w:rsidRDefault="00EC309F">
      <w:r>
        <w:t>The Pol II catalytic core provides the physical basis for RNA synthesis. Cramer, Bushnell and Kornberg resolved a ten-subunit yeast core with a mobile clamp and active-site metal architecture. That structure connects enzyme organization to DNA entry and RNA exit, but it represents a particular purified core rather than every component of an intact mammalian initiation complex. It is a foundation for understanding catalysis, not a direct image of how a gene is organized in a living nucleus.</w:t>
      </w:r>
      <w:hyperlink r:id="rId20" w:history="1">
        <w:r>
          <w:rPr>
            <w:color w:val="087B78"/>
            <w:sz w:val="18"/>
            <w:szCs w:val="18"/>
          </w:rPr>
          <w:t xml:space="preserve"> [10]</w:t>
        </w:r>
      </w:hyperlink>
    </w:p>
    <w:p w14:paraId="4358D9B7" w14:textId="2906ADCB" w:rsidR="000C345B" w:rsidRDefault="00EC309F">
      <w:r>
        <w:t>A complementary foundation came from perturbing the carboxy-terminal domain of the largest Pol II subunit. McCracken and colleagues found that CTD truncation impaired efficient splicing, 3′ processing and termination in their cellular experiments. The CTD therefore supplies an experimentally supported connection between synthesis and RNA maturation. Its role is broader than an inert tail: changing it can alter several transitions simultaneously. Consequently, a CTD perturbation cannot be interpreted as sele</w:t>
      </w:r>
      <w:r>
        <w:t>ctively removing only a spatial compartment or only one processing reaction.</w:t>
      </w:r>
      <w:hyperlink r:id="rId21" w:history="1">
        <w:r>
          <w:rPr>
            <w:color w:val="087B78"/>
            <w:sz w:val="18"/>
            <w:szCs w:val="18"/>
          </w:rPr>
          <w:t xml:space="preserve"> [1]</w:t>
        </w:r>
      </w:hyperlink>
    </w:p>
    <w:p w14:paraId="42A50E82" w14:textId="2FAC0E54" w:rsidR="000C345B" w:rsidRDefault="00EC309F">
      <w:r>
        <w:t>The useful distinction is between a catalytic machine and the interfaces that organize its partners. The CTD can connect processing factors to the emerging transcript, while chromatin and nuclear bodies shape which partners are locally available. This layered view avoids assuming that successful RNA synthesis automatically establishes successful RNA maturation. It also explains why assays of polymerase occupancy, intron removal and mature RNA levels are complementary instead of interchangeable.</w:t>
      </w:r>
      <w:hyperlink r:id="rId22" w:history="1">
        <w:r>
          <w:rPr>
            <w:color w:val="087B78"/>
            <w:sz w:val="18"/>
            <w:szCs w:val="18"/>
          </w:rPr>
          <w:t xml:space="preserve"> [10]</w:t>
        </w:r>
      </w:hyperlink>
      <w:hyperlink r:id="rId23" w:history="1">
        <w:r>
          <w:rPr>
            <w:color w:val="087B78"/>
            <w:sz w:val="18"/>
            <w:szCs w:val="18"/>
          </w:rPr>
          <w:t xml:space="preserve"> [1]</w:t>
        </w:r>
      </w:hyperlink>
      <w:hyperlink r:id="rId24" w:history="1">
        <w:r>
          <w:rPr>
            <w:color w:val="087B78"/>
            <w:sz w:val="18"/>
            <w:szCs w:val="18"/>
          </w:rPr>
          <w:t xml:space="preserve"> [9]</w:t>
        </w:r>
      </w:hyperlink>
    </w:p>
    <w:p w14:paraId="512A6093" w14:textId="77777777" w:rsidR="000C345B" w:rsidRDefault="00EC309F">
      <w:pPr>
        <w:pStyle w:val="Heading1"/>
      </w:pPr>
      <w:bookmarkStart w:id="3" w:name="_Toc242668345"/>
      <w:r>
        <w:t>3. Initiation, elongation and cleavage in living cells</w:t>
      </w:r>
      <w:bookmarkEnd w:id="3"/>
    </w:p>
    <w:p w14:paraId="61C7CEF4" w14:textId="4091386D" w:rsidR="000C345B" w:rsidRDefault="00EC309F">
      <w:r>
        <w:t>Live reporters can separate effective stages that an endpoint assay combines. Darzacq and colleagues used fluorescence dynamics at an engineered transcription system with a deterministic model to extract features of the transcription cycle. Liu and colleagues later used two-color nascent-RNA imaging of a Drosophila hunchback reporter and Bayesian inference to estimate effective initiation, elongation and cleavage parameters. Such analyses connect time-resolved signals to kinetic hypotheses; the estimated pa</w:t>
      </w:r>
      <w:r>
        <w:t>rameters remain conditional on reporter design, calibration and model structure.</w:t>
      </w:r>
      <w:hyperlink r:id="rId25" w:history="1">
        <w:r>
          <w:rPr>
            <w:color w:val="087B78"/>
            <w:sz w:val="18"/>
            <w:szCs w:val="18"/>
          </w:rPr>
          <w:t xml:space="preserve"> [11]</w:t>
        </w:r>
      </w:hyperlink>
      <w:hyperlink r:id="rId26" w:history="1">
        <w:r>
          <w:rPr>
            <w:color w:val="087B78"/>
            <w:sz w:val="18"/>
            <w:szCs w:val="18"/>
          </w:rPr>
          <w:t xml:space="preserve"> [2]</w:t>
        </w:r>
      </w:hyperlink>
    </w:p>
    <w:p w14:paraId="495B4187" w14:textId="7C590AF9" w:rsidR="000C345B" w:rsidRDefault="00EC309F">
      <w:r>
        <w:t>A nascent-RNA signal is not a direct counter of initiation events unless the detection geometry, transcript dwell time and labeling response have been accounted for. Increasing initiation can brighten a locus, but slowing elongation or delaying transcript release can also increase the number of labeled RNAs present. In the Liu study, parameter relationships were inferred jointly from the reporter’s two signals. Its model did not cover strong bursting regimes, so its fitted rates should not be transferred wi</w:t>
      </w:r>
      <w:r>
        <w:t>thout qualification to a strongly intermittent human locus.</w:t>
      </w:r>
      <w:hyperlink r:id="rId27" w:history="1">
        <w:r>
          <w:rPr>
            <w:color w:val="087B78"/>
            <w:sz w:val="18"/>
            <w:szCs w:val="18"/>
          </w:rPr>
          <w:t xml:space="preserve"> [2]</w:t>
        </w:r>
      </w:hyperlink>
    </w:p>
    <w:p w14:paraId="4CEDBE8B" w14:textId="17CC325F" w:rsidR="000C345B" w:rsidRDefault="00EC309F">
      <w:r>
        <w:t xml:space="preserve">The practical consequence is to state which rate was inferred and which features were measured. A fitted cleavage time, for example, is a reporter-effective waiting time under a defined model; it need not correspond to a single isolated biochemical reaction. Independent perturbations, </w:t>
      </w:r>
      <w:r>
        <w:lastRenderedPageBreak/>
        <w:t>calibration and alternative model comparisons improve interpretation. This distinction is especially important when a nuclear-body association changes the reporter signal, because changes in synthesis, processing and retention can all affect accumulation at a transcription site.</w:t>
      </w:r>
      <w:hyperlink r:id="rId28" w:history="1">
        <w:r>
          <w:rPr>
            <w:color w:val="087B78"/>
            <w:sz w:val="18"/>
            <w:szCs w:val="18"/>
          </w:rPr>
          <w:t xml:space="preserve"> [2]</w:t>
        </w:r>
      </w:hyperlink>
      <w:hyperlink r:id="rId29" w:history="1">
        <w:r>
          <w:rPr>
            <w:color w:val="087B78"/>
            <w:sz w:val="18"/>
            <w:szCs w:val="18"/>
          </w:rPr>
          <w:t xml:space="preserve"> [12]</w:t>
        </w:r>
      </w:hyperlink>
    </w:p>
    <w:p w14:paraId="57B3C6EB" w14:textId="77777777" w:rsidR="000C345B" w:rsidRDefault="00EC309F">
      <w:pPr>
        <w:pStyle w:val="Heading1"/>
      </w:pPr>
      <w:bookmarkStart w:id="4" w:name="_Toc242668346"/>
      <w:r>
        <w:t>4. Bursting and heterogeneous gene activity</w:t>
      </w:r>
      <w:bookmarkEnd w:id="4"/>
    </w:p>
    <w:p w14:paraId="26E2F8D8" w14:textId="31F7CD7B" w:rsidR="000C345B" w:rsidRDefault="00EC309F">
      <w:r>
        <w:t>Transcriptional intermittency adds another level of regulation. Suter and colleagues monitored short-lived luciferase expressed from unstable RNA in gene-trap and transgenic mammalian cell lines. Mathematical modeling identified gene-specific active and inactive intervals and changes associated with cis-regulatory sequences. The experiment established that temporal activity patterns can differ among genes; its bioluminescent readout was not direct fluorescent imaging of each nascent RNA molecule.</w:t>
      </w:r>
      <w:hyperlink r:id="rId30" w:history="1">
        <w:r>
          <w:rPr>
            <w:color w:val="087B78"/>
            <w:sz w:val="18"/>
            <w:szCs w:val="18"/>
          </w:rPr>
          <w:t xml:space="preserve"> [13]</w:t>
        </w:r>
      </w:hyperlink>
    </w:p>
    <w:p w14:paraId="6C713748" w14:textId="17A715FC" w:rsidR="000C345B" w:rsidRDefault="00EC309F">
      <w:r>
        <w:t>Burst frequency, burst duration and RNA output during an active period offer distinct ways to change average expression. A population average cannot uniquely identify which parameter changed. Likewise, identical average output can coexist with different temporal patterns in single cells. Models make those alternatives explicit, but their switching states are effective descriptions and should not automatically be equated with one physical enhancer contact, one droplet or one polymerase-binding event. Time-re</w:t>
      </w:r>
      <w:r>
        <w:t>solved observations are needed to connect the abstract states to molecular mechanisms.</w:t>
      </w:r>
      <w:hyperlink r:id="rId31" w:history="1">
        <w:r>
          <w:rPr>
            <w:color w:val="087B78"/>
            <w:sz w:val="18"/>
            <w:szCs w:val="18"/>
          </w:rPr>
          <w:t xml:space="preserve"> [13]</w:t>
        </w:r>
      </w:hyperlink>
      <w:hyperlink r:id="rId32" w:history="1">
        <w:r>
          <w:rPr>
            <w:color w:val="087B78"/>
            <w:sz w:val="18"/>
            <w:szCs w:val="18"/>
          </w:rPr>
          <w:t xml:space="preserve"> [2]</w:t>
        </w:r>
      </w:hyperlink>
    </w:p>
    <w:p w14:paraId="4E62A391" w14:textId="77777777" w:rsidR="000C345B" w:rsidRDefault="00EC309F">
      <w:pPr>
        <w:pStyle w:val="Heading1"/>
      </w:pPr>
      <w:bookmarkStart w:id="5" w:name="_Toc242668347"/>
      <w:r>
        <w:t>5. Genome contacts and transcriptional maintenance</w:t>
      </w:r>
      <w:bookmarkEnd w:id="5"/>
    </w:p>
    <w:p w14:paraId="3929C66C" w14:textId="13C89851" w:rsidR="000C345B" w:rsidRDefault="00EC309F">
      <w:r>
        <w:t>Spatial genome architecture and expression are related but are not the same observable. Hsieh and colleagues acutely depleted CTCF, cohesin, WAPL or YY1 in mouse embryonic stem cells while examining structural contacts and transcription. Many enhancer–promoter contacts and expression outputs were largely maintained over the measured short-term perturbation window despite altered architectural features. Sensitive subsets remained. This limits a universal dependence claim while leaving open roles during estab</w:t>
      </w:r>
      <w:r>
        <w:t>lishment, differentiation and longer perturbations.</w:t>
      </w:r>
      <w:hyperlink r:id="rId33" w:history="1">
        <w:r>
          <w:rPr>
            <w:color w:val="087B78"/>
            <w:sz w:val="18"/>
            <w:szCs w:val="18"/>
          </w:rPr>
          <w:t xml:space="preserve"> [8]</w:t>
        </w:r>
      </w:hyperlink>
    </w:p>
    <w:p w14:paraId="12ADE16C" w14:textId="72647C5B" w:rsidR="000C345B" w:rsidRDefault="00EC309F">
      <w:r>
        <w:t>The difference between establishment and maintenance is essential for causal interpretation. A mature expression state may persist briefly after an architectural perturbation because its regulatory machinery or RNA pool persists. Conversely, disrupting an essential factor can alter transcription through a direct biochemical route as well as through spatial reorganization. An experiment that changes both cannot assign the whole phenotype to geometry. Contact assays, nascent RNA measurements and time-resolved</w:t>
      </w:r>
      <w:r>
        <w:t xml:space="preserve"> depletion therefore answer complementary parts of the causal question.</w:t>
      </w:r>
      <w:hyperlink r:id="rId34" w:history="1">
        <w:r>
          <w:rPr>
            <w:color w:val="087B78"/>
            <w:sz w:val="18"/>
            <w:szCs w:val="18"/>
          </w:rPr>
          <w:t xml:space="preserve"> [8]</w:t>
        </w:r>
      </w:hyperlink>
      <w:hyperlink r:id="rId35" w:history="1">
        <w:r>
          <w:rPr>
            <w:color w:val="087B78"/>
            <w:sz w:val="18"/>
            <w:szCs w:val="18"/>
          </w:rPr>
          <w:t xml:space="preserve"> [6]</w:t>
        </w:r>
      </w:hyperlink>
    </w:p>
    <w:p w14:paraId="33ADAAF3" w14:textId="77777777" w:rsidR="000C345B" w:rsidRDefault="00EC309F">
      <w:pPr>
        <w:pStyle w:val="Heading1"/>
      </w:pPr>
      <w:bookmarkStart w:id="6" w:name="_Toc242668348"/>
      <w:r>
        <w:t>6. Speckle proximity and transcript-specific processing</w:t>
      </w:r>
      <w:bookmarkEnd w:id="6"/>
    </w:p>
    <w:p w14:paraId="28840764" w14:textId="6BAB2785" w:rsidR="000C345B" w:rsidRDefault="00EC309F">
      <w:r>
        <w:t xml:space="preserve">Speckles provide a measured example of spatial organization affecting processing. Bhat and colleagues reported higher spliceosome binding and co-transcriptional splicing for genes near </w:t>
      </w:r>
      <w:r>
        <w:lastRenderedPageBreak/>
        <w:t>speckles and increased splicing after directed pre-mRNA recruitment. This goes beyond proximity alone by testing spatial sufficiency in a manipulated system. It supports a route by which local access to processing machinery improves particular reactions; it does not demonstrate that every intron must enter a speckle or that a phase transition is the only relevant cause.</w:t>
      </w:r>
      <w:hyperlink r:id="rId36" w:history="1">
        <w:r>
          <w:rPr>
            <w:color w:val="087B78"/>
            <w:sz w:val="18"/>
            <w:szCs w:val="18"/>
          </w:rPr>
          <w:t xml:space="preserve"> [5]</w:t>
        </w:r>
      </w:hyperlink>
    </w:p>
    <w:p w14:paraId="6C1C5C5F" w14:textId="15B78B21" w:rsidR="000C345B" w:rsidRDefault="00EC309F">
      <w:r>
        <w:t>The 2026 SON/SRRM2 removal study of Małszycki and colleagues adds transcript architecture to this account. Processing defects preferentially affected GC-rich genes with short introns and associated genomic organization. The outcome is a gene-class dependence, not uniform failure of all splicing. Depleting these proteins also removes their biochemical activities, so the experiment measures the combined consequences of organizer loss and architectural change. Spatial recruitment and organizer depletion are th</w:t>
      </w:r>
      <w:r>
        <w:t>erefore different causal interventions with different interpretive strengths.</w:t>
      </w:r>
      <w:hyperlink r:id="rId37" w:history="1">
        <w:r>
          <w:rPr>
            <w:color w:val="087B78"/>
            <w:sz w:val="18"/>
            <w:szCs w:val="18"/>
          </w:rPr>
          <w:t xml:space="preserve"> [6]</w:t>
        </w:r>
      </w:hyperlink>
      <w:hyperlink r:id="rId38" w:history="1">
        <w:r>
          <w:rPr>
            <w:color w:val="087B78"/>
            <w:sz w:val="18"/>
            <w:szCs w:val="18"/>
          </w:rPr>
          <w:t xml:space="preserve"> [5]</w:t>
        </w:r>
      </w:hyperlink>
    </w:p>
    <w:p w14:paraId="17108893" w14:textId="77777777" w:rsidR="000C345B" w:rsidRDefault="00EC309F">
      <w:pPr>
        <w:pStyle w:val="Heading1"/>
      </w:pPr>
      <w:bookmarkStart w:id="7" w:name="_Toc242668349"/>
      <w:r>
        <w:t>7. Cleavage and 3′ end formation have a spatial dimension</w:t>
      </w:r>
      <w:bookmarkEnd w:id="7"/>
    </w:p>
    <w:p w14:paraId="70541DC8" w14:textId="541C8B41" w:rsidR="000C345B" w:rsidRDefault="00EC309F">
      <w:r>
        <w:t>Yoon and colleagues tested RBBP6-mediated 3′ end processing with domain-rescue and RNA assays. A construct combining its N-terminal processing domain with IDR4 rescued alternative-polyadenylation behavior more effectively than the N-terminal domain alone. The comparisons connect molecular recruitment to productive processing, while showing that generic condensation capacity is not sufficient. The relevant causal unit is a particular protein interface and localization context, rather than the presence of any</w:t>
      </w:r>
      <w:r>
        <w:t xml:space="preserve"> fluorescent condensate.</w:t>
      </w:r>
      <w:hyperlink r:id="rId39" w:history="1">
        <w:r>
          <w:rPr>
            <w:color w:val="087B78"/>
            <w:sz w:val="18"/>
            <w:szCs w:val="18"/>
          </w:rPr>
          <w:t xml:space="preserve"> [14]</w:t>
        </w:r>
      </w:hyperlink>
    </w:p>
    <w:p w14:paraId="66076C34" w14:textId="3F49BADA" w:rsidR="000C345B" w:rsidRDefault="00EC309F">
      <w:r>
        <w:t>Termination-related readthrough and mature 3′ end choice should be kept distinct from splicing and total abundance. A perturbation can affect one transition more strongly than another, and a spatially enriched reaction can remain possible at other locations. The RBBP6 study therefore extends the coordination model beyond intron removal without establishing that every cleavage reaction occurs only inside speckles. It motivates following the defined precursor and product rather than assigning a single express</w:t>
      </w:r>
      <w:r>
        <w:t>ion phenotype to all processing stages.</w:t>
      </w:r>
      <w:hyperlink r:id="rId40" w:history="1">
        <w:r>
          <w:rPr>
            <w:color w:val="087B78"/>
            <w:sz w:val="18"/>
            <w:szCs w:val="18"/>
          </w:rPr>
          <w:t xml:space="preserve"> [14]</w:t>
        </w:r>
      </w:hyperlink>
      <w:hyperlink r:id="rId41" w:history="1">
        <w:r>
          <w:rPr>
            <w:color w:val="087B78"/>
            <w:sz w:val="18"/>
            <w:szCs w:val="18"/>
          </w:rPr>
          <w:t xml:space="preserve"> [1]</w:t>
        </w:r>
      </w:hyperlink>
    </w:p>
    <w:p w14:paraId="45CEEC1E" w14:textId="77777777" w:rsidR="000C345B" w:rsidRDefault="00EC309F">
      <w:pPr>
        <w:pStyle w:val="Heading1"/>
      </w:pPr>
      <w:bookmarkStart w:id="8" w:name="_Toc242668350"/>
      <w:r>
        <w:t>8. Export licensing and RNA survival</w:t>
      </w:r>
      <w:bookmarkEnd w:id="8"/>
    </w:p>
    <w:p w14:paraId="2E4523F3" w14:textId="22119FDD" w:rsidR="000C345B" w:rsidRDefault="00EC309F">
      <w:r>
        <w:t>A transcript that has accumulated in the nucleus has not necessarily completed its journey to the cytoplasm. Hohmann and colleagues used structural and biochemical analyses to describe UAP56 as an ATP-gated switch in mRNP transfer between TREX and pore-associated TREX-2. Their framework connects RNP assembly, remodeling, docking and release to export competence. The proposed pathway synthesizes those molecular observations; it is not a direct time-lapse trajectory of every endogenous mRNA. The article appea</w:t>
      </w:r>
      <w:r>
        <w:t>red online in 2025 and in a 2026 issue.</w:t>
      </w:r>
      <w:hyperlink r:id="rId42" w:history="1">
        <w:r>
          <w:rPr>
            <w:color w:val="087B78"/>
            <w:sz w:val="18"/>
            <w:szCs w:val="18"/>
          </w:rPr>
          <w:t xml:space="preserve"> [7]</w:t>
        </w:r>
      </w:hyperlink>
    </w:p>
    <w:p w14:paraId="2D80EE15" w14:textId="2B6A2CF1" w:rsidR="000C345B" w:rsidRDefault="00EC309F">
      <w:r>
        <w:t xml:space="preserve">Genome-scale metabolic-labeling studies quantify a different level of the same problem. Müller and colleagues fitted compartmental SLAM-seq measurements in human cancer cells to estimate synthesis, export and degradation. Their sampled polyadenylated RNAs often showed slow export relative to cytoplasmic loss, with isoform-specific differences. Ietswaart and colleagues used subcellular TimeLapse-seq in human and mouse cells and identified retained-intron transcript </w:t>
      </w:r>
      <w:r>
        <w:lastRenderedPageBreak/>
        <w:t>classes strongly affected by nuclear-exosome degradation. The studies examine different RNA populations and models; their results should not be flattened into one universal nuclear half-life or one claim that nuclear degradation never matters.</w:t>
      </w:r>
      <w:hyperlink r:id="rId43" w:history="1">
        <w:r>
          <w:rPr>
            <w:color w:val="087B78"/>
            <w:sz w:val="18"/>
            <w:szCs w:val="18"/>
          </w:rPr>
          <w:t xml:space="preserve"> [3]</w:t>
        </w:r>
      </w:hyperlink>
      <w:hyperlink r:id="rId44" w:history="1">
        <w:r>
          <w:rPr>
            <w:color w:val="087B78"/>
            <w:sz w:val="18"/>
            <w:szCs w:val="18"/>
          </w:rPr>
          <w:t xml:space="preserve"> [4]</w:t>
        </w:r>
      </w:hyperlink>
    </w:p>
    <w:p w14:paraId="463A5613" w14:textId="77777777" w:rsidR="000C345B" w:rsidRDefault="00EC309F">
      <w:pPr>
        <w:pStyle w:val="Heading1"/>
      </w:pPr>
      <w:bookmarkStart w:id="9" w:name="_Toc242668351"/>
      <w:r>
        <w:t>9. Matching the assay to the mechanistic question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C345B" w14:paraId="4D10FE0F"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4704E474" w14:textId="77777777" w:rsidR="000C345B" w:rsidRDefault="00EC309F">
            <w:pPr>
              <w:spacing w:after="50" w:line="255" w:lineRule="auto"/>
            </w:pPr>
            <w:r>
              <w:rPr>
                <w:b/>
                <w:bCs/>
                <w:color w:val="173B4C"/>
                <w:sz w:val="19"/>
                <w:szCs w:val="19"/>
              </w:rPr>
              <w:t>Measurement</w:t>
            </w:r>
          </w:p>
        </w:tc>
        <w:tc>
          <w:tcPr>
            <w:tcW w:w="3120" w:type="dxa"/>
            <w:shd w:val="clear" w:color="auto" w:fill="EAF3F3"/>
            <w:tcMar>
              <w:top w:w="105" w:type="dxa"/>
              <w:left w:w="125" w:type="dxa"/>
              <w:bottom w:w="105" w:type="dxa"/>
              <w:right w:w="125" w:type="dxa"/>
            </w:tcMar>
          </w:tcPr>
          <w:p w14:paraId="21BD0FE8" w14:textId="77777777" w:rsidR="000C345B" w:rsidRDefault="00EC309F">
            <w:pPr>
              <w:spacing w:after="50" w:line="255" w:lineRule="auto"/>
            </w:pPr>
            <w:r>
              <w:rPr>
                <w:b/>
                <w:bCs/>
                <w:color w:val="173B4C"/>
                <w:sz w:val="19"/>
                <w:szCs w:val="19"/>
              </w:rPr>
              <w:t>What it can establish</w:t>
            </w:r>
          </w:p>
        </w:tc>
        <w:tc>
          <w:tcPr>
            <w:tcW w:w="3120" w:type="dxa"/>
            <w:shd w:val="clear" w:color="auto" w:fill="EAF3F3"/>
            <w:tcMar>
              <w:top w:w="105" w:type="dxa"/>
              <w:left w:w="125" w:type="dxa"/>
              <w:bottom w:w="105" w:type="dxa"/>
              <w:right w:w="125" w:type="dxa"/>
            </w:tcMar>
          </w:tcPr>
          <w:p w14:paraId="6D1801FB" w14:textId="77777777" w:rsidR="000C345B" w:rsidRDefault="00EC309F">
            <w:pPr>
              <w:spacing w:after="50" w:line="255" w:lineRule="auto"/>
            </w:pPr>
            <w:r>
              <w:rPr>
                <w:b/>
                <w:bCs/>
                <w:color w:val="173B4C"/>
                <w:sz w:val="19"/>
                <w:szCs w:val="19"/>
              </w:rPr>
              <w:t>Important qualification</w:t>
            </w:r>
          </w:p>
        </w:tc>
      </w:tr>
      <w:tr w:rsidR="000C345B" w14:paraId="6A97C79A" w14:textId="77777777">
        <w:tblPrEx>
          <w:tblCellMar>
            <w:top w:w="0" w:type="dxa"/>
            <w:bottom w:w="0" w:type="dxa"/>
          </w:tblCellMar>
        </w:tblPrEx>
        <w:trPr>
          <w:cantSplit/>
        </w:trPr>
        <w:tc>
          <w:tcPr>
            <w:tcW w:w="3120" w:type="dxa"/>
            <w:tcMar>
              <w:top w:w="105" w:type="dxa"/>
              <w:left w:w="125" w:type="dxa"/>
              <w:bottom w:w="105" w:type="dxa"/>
              <w:right w:w="125" w:type="dxa"/>
            </w:tcMar>
          </w:tcPr>
          <w:p w14:paraId="1FEF534D" w14:textId="77777777" w:rsidR="000C345B" w:rsidRDefault="00EC309F">
            <w:pPr>
              <w:spacing w:after="50" w:line="255" w:lineRule="auto"/>
            </w:pPr>
            <w:r>
              <w:rPr>
                <w:sz w:val="19"/>
                <w:szCs w:val="19"/>
              </w:rPr>
              <w:t>Pol II structure and CTD perturbation</w:t>
            </w:r>
          </w:p>
        </w:tc>
        <w:tc>
          <w:tcPr>
            <w:tcW w:w="3120" w:type="dxa"/>
            <w:tcMar>
              <w:top w:w="105" w:type="dxa"/>
              <w:left w:w="125" w:type="dxa"/>
              <w:bottom w:w="105" w:type="dxa"/>
              <w:right w:w="125" w:type="dxa"/>
            </w:tcMar>
          </w:tcPr>
          <w:p w14:paraId="3B5B803F" w14:textId="77777777" w:rsidR="000C345B" w:rsidRDefault="00EC309F">
            <w:pPr>
              <w:spacing w:after="50" w:line="255" w:lineRule="auto"/>
            </w:pPr>
            <w:r>
              <w:rPr>
                <w:sz w:val="19"/>
                <w:szCs w:val="19"/>
              </w:rPr>
              <w:t>Catalytic architecture and molecular coupling to processing</w:t>
            </w:r>
          </w:p>
        </w:tc>
        <w:tc>
          <w:tcPr>
            <w:tcW w:w="3120" w:type="dxa"/>
            <w:tcMar>
              <w:top w:w="105" w:type="dxa"/>
              <w:left w:w="125" w:type="dxa"/>
              <w:bottom w:w="105" w:type="dxa"/>
              <w:right w:w="125" w:type="dxa"/>
            </w:tcMar>
          </w:tcPr>
          <w:p w14:paraId="4053D178" w14:textId="72EAC69D" w:rsidR="000C345B" w:rsidRDefault="00EC309F">
            <w:pPr>
              <w:spacing w:after="50" w:line="255" w:lineRule="auto"/>
            </w:pPr>
            <w:r>
              <w:rPr>
                <w:sz w:val="19"/>
                <w:szCs w:val="19"/>
              </w:rPr>
              <w:t>A purified core does not reproduce the full living transcription system; CTD loss can affect several reactions.</w:t>
            </w:r>
            <w:hyperlink r:id="rId45" w:history="1">
              <w:r>
                <w:rPr>
                  <w:color w:val="087B78"/>
                  <w:sz w:val="18"/>
                  <w:szCs w:val="18"/>
                </w:rPr>
                <w:t xml:space="preserve"> [10]</w:t>
              </w:r>
            </w:hyperlink>
            <w:hyperlink r:id="rId46" w:history="1">
              <w:r>
                <w:rPr>
                  <w:color w:val="087B78"/>
                  <w:sz w:val="18"/>
                  <w:szCs w:val="18"/>
                </w:rPr>
                <w:t xml:space="preserve"> [1]</w:t>
              </w:r>
            </w:hyperlink>
          </w:p>
        </w:tc>
      </w:tr>
      <w:tr w:rsidR="000C345B" w14:paraId="6C2EC0C7" w14:textId="77777777">
        <w:tblPrEx>
          <w:tblCellMar>
            <w:top w:w="0" w:type="dxa"/>
            <w:bottom w:w="0" w:type="dxa"/>
          </w:tblCellMar>
        </w:tblPrEx>
        <w:trPr>
          <w:cantSplit/>
        </w:trPr>
        <w:tc>
          <w:tcPr>
            <w:tcW w:w="3120" w:type="dxa"/>
            <w:tcMar>
              <w:top w:w="105" w:type="dxa"/>
              <w:left w:w="125" w:type="dxa"/>
              <w:bottom w:w="105" w:type="dxa"/>
              <w:right w:w="125" w:type="dxa"/>
            </w:tcMar>
          </w:tcPr>
          <w:p w14:paraId="5BD14512" w14:textId="77777777" w:rsidR="000C345B" w:rsidRDefault="00EC309F">
            <w:pPr>
              <w:spacing w:after="50" w:line="255" w:lineRule="auto"/>
            </w:pPr>
            <w:r>
              <w:rPr>
                <w:sz w:val="19"/>
                <w:szCs w:val="19"/>
              </w:rPr>
              <w:t>Time-resolved RNA or luciferase reporter</w:t>
            </w:r>
          </w:p>
        </w:tc>
        <w:tc>
          <w:tcPr>
            <w:tcW w:w="3120" w:type="dxa"/>
            <w:tcMar>
              <w:top w:w="105" w:type="dxa"/>
              <w:left w:w="125" w:type="dxa"/>
              <w:bottom w:w="105" w:type="dxa"/>
              <w:right w:w="125" w:type="dxa"/>
            </w:tcMar>
          </w:tcPr>
          <w:p w14:paraId="0653B37C" w14:textId="77777777" w:rsidR="000C345B" w:rsidRDefault="00EC309F">
            <w:pPr>
              <w:spacing w:after="50" w:line="255" w:lineRule="auto"/>
            </w:pPr>
            <w:r>
              <w:rPr>
                <w:sz w:val="19"/>
                <w:szCs w:val="19"/>
              </w:rPr>
              <w:t>Effective transcription-cycle or switching parameters</w:t>
            </w:r>
          </w:p>
        </w:tc>
        <w:tc>
          <w:tcPr>
            <w:tcW w:w="3120" w:type="dxa"/>
            <w:tcMar>
              <w:top w:w="105" w:type="dxa"/>
              <w:left w:w="125" w:type="dxa"/>
              <w:bottom w:w="105" w:type="dxa"/>
              <w:right w:w="125" w:type="dxa"/>
            </w:tcMar>
          </w:tcPr>
          <w:p w14:paraId="54195DC2" w14:textId="062EBCF5" w:rsidR="000C345B" w:rsidRDefault="00EC309F">
            <w:pPr>
              <w:spacing w:after="50" w:line="255" w:lineRule="auto"/>
            </w:pPr>
            <w:r>
              <w:rPr>
                <w:sz w:val="19"/>
                <w:szCs w:val="19"/>
              </w:rPr>
              <w:t>Reporter calibration and explicit models are required; bioluminescence and nascent RNA are different signals.</w:t>
            </w:r>
            <w:hyperlink r:id="rId47" w:history="1">
              <w:r>
                <w:rPr>
                  <w:color w:val="087B78"/>
                  <w:sz w:val="18"/>
                  <w:szCs w:val="18"/>
                </w:rPr>
                <w:t xml:space="preserve"> [2]</w:t>
              </w:r>
            </w:hyperlink>
            <w:hyperlink r:id="rId48" w:history="1">
              <w:r>
                <w:rPr>
                  <w:color w:val="087B78"/>
                  <w:sz w:val="18"/>
                  <w:szCs w:val="18"/>
                </w:rPr>
                <w:t xml:space="preserve"> [13]</w:t>
              </w:r>
            </w:hyperlink>
          </w:p>
        </w:tc>
      </w:tr>
      <w:tr w:rsidR="000C345B" w14:paraId="0C710E2D" w14:textId="77777777">
        <w:tblPrEx>
          <w:tblCellMar>
            <w:top w:w="0" w:type="dxa"/>
            <w:bottom w:w="0" w:type="dxa"/>
          </w:tblCellMar>
        </w:tblPrEx>
        <w:trPr>
          <w:cantSplit/>
        </w:trPr>
        <w:tc>
          <w:tcPr>
            <w:tcW w:w="3120" w:type="dxa"/>
            <w:tcMar>
              <w:top w:w="105" w:type="dxa"/>
              <w:left w:w="125" w:type="dxa"/>
              <w:bottom w:w="105" w:type="dxa"/>
              <w:right w:w="125" w:type="dxa"/>
            </w:tcMar>
          </w:tcPr>
          <w:p w14:paraId="58A6824F" w14:textId="77777777" w:rsidR="000C345B" w:rsidRDefault="00EC309F">
            <w:pPr>
              <w:spacing w:after="50" w:line="255" w:lineRule="auto"/>
            </w:pPr>
            <w:r>
              <w:rPr>
                <w:sz w:val="19"/>
                <w:szCs w:val="19"/>
              </w:rPr>
              <w:t>Acute depletion plus contact and nascent-RNA assays</w:t>
            </w:r>
          </w:p>
        </w:tc>
        <w:tc>
          <w:tcPr>
            <w:tcW w:w="3120" w:type="dxa"/>
            <w:tcMar>
              <w:top w:w="105" w:type="dxa"/>
              <w:left w:w="125" w:type="dxa"/>
              <w:bottom w:w="105" w:type="dxa"/>
              <w:right w:w="125" w:type="dxa"/>
            </w:tcMar>
          </w:tcPr>
          <w:p w14:paraId="06E1FFD2" w14:textId="77777777" w:rsidR="000C345B" w:rsidRDefault="00EC309F">
            <w:pPr>
              <w:spacing w:after="50" w:line="255" w:lineRule="auto"/>
            </w:pPr>
            <w:r>
              <w:rPr>
                <w:sz w:val="19"/>
                <w:szCs w:val="19"/>
              </w:rPr>
              <w:t>Short-term dependence of architecture and expression</w:t>
            </w:r>
          </w:p>
        </w:tc>
        <w:tc>
          <w:tcPr>
            <w:tcW w:w="3120" w:type="dxa"/>
            <w:tcMar>
              <w:top w:w="105" w:type="dxa"/>
              <w:left w:w="125" w:type="dxa"/>
              <w:bottom w:w="105" w:type="dxa"/>
              <w:right w:w="125" w:type="dxa"/>
            </w:tcMar>
          </w:tcPr>
          <w:p w14:paraId="271FDD14" w14:textId="72C4ED69" w:rsidR="000C345B" w:rsidRDefault="00EC309F">
            <w:pPr>
              <w:spacing w:after="50" w:line="255" w:lineRule="auto"/>
            </w:pPr>
            <w:r>
              <w:rPr>
                <w:sz w:val="19"/>
                <w:szCs w:val="19"/>
              </w:rPr>
              <w:t>Maintenance after depletion does not determine requirements during developmental establishment.</w:t>
            </w:r>
            <w:hyperlink r:id="rId49" w:history="1">
              <w:r>
                <w:rPr>
                  <w:color w:val="087B78"/>
                  <w:sz w:val="18"/>
                  <w:szCs w:val="18"/>
                </w:rPr>
                <w:t xml:space="preserve"> [8]</w:t>
              </w:r>
            </w:hyperlink>
          </w:p>
        </w:tc>
      </w:tr>
      <w:tr w:rsidR="000C345B" w14:paraId="432A3B97" w14:textId="77777777">
        <w:tblPrEx>
          <w:tblCellMar>
            <w:top w:w="0" w:type="dxa"/>
            <w:bottom w:w="0" w:type="dxa"/>
          </w:tblCellMar>
        </w:tblPrEx>
        <w:trPr>
          <w:cantSplit/>
        </w:trPr>
        <w:tc>
          <w:tcPr>
            <w:tcW w:w="3120" w:type="dxa"/>
            <w:tcMar>
              <w:top w:w="105" w:type="dxa"/>
              <w:left w:w="125" w:type="dxa"/>
              <w:bottom w:w="105" w:type="dxa"/>
              <w:right w:w="125" w:type="dxa"/>
            </w:tcMar>
          </w:tcPr>
          <w:p w14:paraId="683999E1" w14:textId="77777777" w:rsidR="000C345B" w:rsidRDefault="00EC309F">
            <w:pPr>
              <w:spacing w:after="50" w:line="255" w:lineRule="auto"/>
            </w:pPr>
            <w:r>
              <w:rPr>
                <w:sz w:val="19"/>
                <w:szCs w:val="19"/>
              </w:rPr>
              <w:t>Directed RNA recruitment near speckles</w:t>
            </w:r>
          </w:p>
        </w:tc>
        <w:tc>
          <w:tcPr>
            <w:tcW w:w="3120" w:type="dxa"/>
            <w:tcMar>
              <w:top w:w="105" w:type="dxa"/>
              <w:left w:w="125" w:type="dxa"/>
              <w:bottom w:w="105" w:type="dxa"/>
              <w:right w:w="125" w:type="dxa"/>
            </w:tcMar>
          </w:tcPr>
          <w:p w14:paraId="04D13C29" w14:textId="77777777" w:rsidR="000C345B" w:rsidRDefault="00EC309F">
            <w:pPr>
              <w:spacing w:after="50" w:line="255" w:lineRule="auto"/>
            </w:pPr>
            <w:r>
              <w:rPr>
                <w:sz w:val="19"/>
                <w:szCs w:val="19"/>
              </w:rPr>
              <w:t>Spatial sufficiency for improved selected splicing reactions</w:t>
            </w:r>
          </w:p>
        </w:tc>
        <w:tc>
          <w:tcPr>
            <w:tcW w:w="3120" w:type="dxa"/>
            <w:tcMar>
              <w:top w:w="105" w:type="dxa"/>
              <w:left w:w="125" w:type="dxa"/>
              <w:bottom w:w="105" w:type="dxa"/>
              <w:right w:w="125" w:type="dxa"/>
            </w:tcMar>
          </w:tcPr>
          <w:p w14:paraId="69FDA830" w14:textId="0A8DEE92" w:rsidR="000C345B" w:rsidRDefault="00EC309F">
            <w:pPr>
              <w:spacing w:after="50" w:line="255" w:lineRule="auto"/>
            </w:pPr>
            <w:r>
              <w:rPr>
                <w:sz w:val="19"/>
                <w:szCs w:val="19"/>
              </w:rPr>
              <w:t>Recruitment does not by itself isolate phase behavior or prove a universal requirement.</w:t>
            </w:r>
            <w:hyperlink r:id="rId50" w:history="1">
              <w:r>
                <w:rPr>
                  <w:color w:val="087B78"/>
                  <w:sz w:val="18"/>
                  <w:szCs w:val="18"/>
                </w:rPr>
                <w:t xml:space="preserve"> [5]</w:t>
              </w:r>
            </w:hyperlink>
          </w:p>
        </w:tc>
      </w:tr>
      <w:tr w:rsidR="000C345B" w14:paraId="05D43930" w14:textId="77777777">
        <w:tblPrEx>
          <w:tblCellMar>
            <w:top w:w="0" w:type="dxa"/>
            <w:bottom w:w="0" w:type="dxa"/>
          </w:tblCellMar>
        </w:tblPrEx>
        <w:trPr>
          <w:cantSplit/>
        </w:trPr>
        <w:tc>
          <w:tcPr>
            <w:tcW w:w="3120" w:type="dxa"/>
            <w:tcMar>
              <w:top w:w="105" w:type="dxa"/>
              <w:left w:w="125" w:type="dxa"/>
              <w:bottom w:w="105" w:type="dxa"/>
              <w:right w:w="125" w:type="dxa"/>
            </w:tcMar>
          </w:tcPr>
          <w:p w14:paraId="463CD6E3" w14:textId="77777777" w:rsidR="000C345B" w:rsidRDefault="00EC309F">
            <w:pPr>
              <w:spacing w:after="50" w:line="255" w:lineRule="auto"/>
            </w:pPr>
            <w:r>
              <w:rPr>
                <w:sz w:val="19"/>
                <w:szCs w:val="19"/>
              </w:rPr>
              <w:t>Compartmental metabolic labeling</w:t>
            </w:r>
          </w:p>
        </w:tc>
        <w:tc>
          <w:tcPr>
            <w:tcW w:w="3120" w:type="dxa"/>
            <w:tcMar>
              <w:top w:w="105" w:type="dxa"/>
              <w:left w:w="125" w:type="dxa"/>
              <w:bottom w:w="105" w:type="dxa"/>
              <w:right w:w="125" w:type="dxa"/>
            </w:tcMar>
          </w:tcPr>
          <w:p w14:paraId="270CA3CC" w14:textId="77777777" w:rsidR="000C345B" w:rsidRDefault="00EC309F">
            <w:pPr>
              <w:spacing w:after="50" w:line="255" w:lineRule="auto"/>
            </w:pPr>
            <w:r>
              <w:rPr>
                <w:sz w:val="19"/>
                <w:szCs w:val="19"/>
              </w:rPr>
              <w:t>RNA flow and effective production, export and loss rates</w:t>
            </w:r>
          </w:p>
        </w:tc>
        <w:tc>
          <w:tcPr>
            <w:tcW w:w="3120" w:type="dxa"/>
            <w:tcMar>
              <w:top w:w="105" w:type="dxa"/>
              <w:left w:w="125" w:type="dxa"/>
              <w:bottom w:w="105" w:type="dxa"/>
              <w:right w:w="125" w:type="dxa"/>
            </w:tcMar>
          </w:tcPr>
          <w:p w14:paraId="2AF4A114" w14:textId="5C63AE6C" w:rsidR="000C345B" w:rsidRDefault="00EC309F">
            <w:pPr>
              <w:spacing w:after="50" w:line="255" w:lineRule="auto"/>
            </w:pPr>
            <w:r>
              <w:rPr>
                <w:sz w:val="19"/>
                <w:szCs w:val="19"/>
              </w:rPr>
              <w:t>Fractionation, transcript selection and kinetic assumptions determine the fitted population and rates.</w:t>
            </w:r>
            <w:hyperlink r:id="rId51" w:history="1">
              <w:r>
                <w:rPr>
                  <w:color w:val="087B78"/>
                  <w:sz w:val="18"/>
                  <w:szCs w:val="18"/>
                </w:rPr>
                <w:t xml:space="preserve"> [3]</w:t>
              </w:r>
            </w:hyperlink>
            <w:hyperlink r:id="rId52" w:history="1">
              <w:r>
                <w:rPr>
                  <w:color w:val="087B78"/>
                  <w:sz w:val="18"/>
                  <w:szCs w:val="18"/>
                </w:rPr>
                <w:t xml:space="preserve"> [4]</w:t>
              </w:r>
            </w:hyperlink>
          </w:p>
        </w:tc>
      </w:tr>
      <w:tr w:rsidR="000C345B" w14:paraId="2BAEBB4F" w14:textId="77777777">
        <w:tblPrEx>
          <w:tblCellMar>
            <w:top w:w="0" w:type="dxa"/>
            <w:bottom w:w="0" w:type="dxa"/>
          </w:tblCellMar>
        </w:tblPrEx>
        <w:trPr>
          <w:cantSplit/>
        </w:trPr>
        <w:tc>
          <w:tcPr>
            <w:tcW w:w="3120" w:type="dxa"/>
            <w:tcMar>
              <w:top w:w="105" w:type="dxa"/>
              <w:left w:w="125" w:type="dxa"/>
              <w:bottom w:w="105" w:type="dxa"/>
              <w:right w:w="125" w:type="dxa"/>
            </w:tcMar>
          </w:tcPr>
          <w:p w14:paraId="39A28D67" w14:textId="77777777" w:rsidR="000C345B" w:rsidRDefault="00EC309F">
            <w:pPr>
              <w:spacing w:after="50" w:line="255" w:lineRule="auto"/>
            </w:pPr>
            <w:r>
              <w:rPr>
                <w:sz w:val="19"/>
                <w:szCs w:val="19"/>
              </w:rPr>
              <w:t>Export-complex structural and biochemical analysis</w:t>
            </w:r>
          </w:p>
        </w:tc>
        <w:tc>
          <w:tcPr>
            <w:tcW w:w="3120" w:type="dxa"/>
            <w:tcMar>
              <w:top w:w="105" w:type="dxa"/>
              <w:left w:w="125" w:type="dxa"/>
              <w:bottom w:w="105" w:type="dxa"/>
              <w:right w:w="125" w:type="dxa"/>
            </w:tcMar>
          </w:tcPr>
          <w:p w14:paraId="2C176D47" w14:textId="77777777" w:rsidR="000C345B" w:rsidRDefault="00EC309F">
            <w:pPr>
              <w:spacing w:after="50" w:line="255" w:lineRule="auto"/>
            </w:pPr>
            <w:r>
              <w:rPr>
                <w:sz w:val="19"/>
                <w:szCs w:val="19"/>
              </w:rPr>
              <w:t>Molecular interfaces and ATP-dependent RNP handoffs</w:t>
            </w:r>
          </w:p>
        </w:tc>
        <w:tc>
          <w:tcPr>
            <w:tcW w:w="3120" w:type="dxa"/>
            <w:tcMar>
              <w:top w:w="105" w:type="dxa"/>
              <w:left w:w="125" w:type="dxa"/>
              <w:bottom w:w="105" w:type="dxa"/>
              <w:right w:w="125" w:type="dxa"/>
            </w:tcMar>
          </w:tcPr>
          <w:p w14:paraId="19C813DD" w14:textId="3C8B1573" w:rsidR="000C345B" w:rsidRDefault="00EC309F">
            <w:pPr>
              <w:spacing w:after="50" w:line="255" w:lineRule="auto"/>
            </w:pPr>
            <w:r>
              <w:rPr>
                <w:sz w:val="19"/>
                <w:szCs w:val="19"/>
              </w:rPr>
              <w:t>A reconstructed pathway requires further cellular tests to determine prevalence and timing across RNA classes.</w:t>
            </w:r>
            <w:hyperlink r:id="rId53" w:history="1">
              <w:r>
                <w:rPr>
                  <w:color w:val="087B78"/>
                  <w:sz w:val="18"/>
                  <w:szCs w:val="18"/>
                </w:rPr>
                <w:t xml:space="preserve"> [7]</w:t>
              </w:r>
            </w:hyperlink>
          </w:p>
        </w:tc>
      </w:tr>
    </w:tbl>
    <w:p w14:paraId="69549E1D" w14:textId="77777777" w:rsidR="000C345B" w:rsidRDefault="000C345B">
      <w:pPr>
        <w:spacing w:after="170"/>
      </w:pPr>
    </w:p>
    <w:p w14:paraId="6E42A542" w14:textId="21B3792D" w:rsidR="000C345B" w:rsidRDefault="00EC309F">
      <w:r>
        <w:t>A coherent experimental strategy measures at least one upstream and one downstream observable. If RNA abundance rises near a speckle, nascent synthesis and RNA persistence should be distinguished. If polymerase occupancy changes, productive elongation should be considered. If nuclear RNA accumulates, processing, export and degradation should be separated. This approach follows the transition being proposed as causal and makes competing explanations testable instead of interpreting all expression readouts as</w:t>
      </w:r>
      <w:r>
        <w:t xml:space="preserve"> the same endpoint.</w:t>
      </w:r>
      <w:hyperlink r:id="rId54" w:history="1">
        <w:r>
          <w:rPr>
            <w:color w:val="087B78"/>
            <w:sz w:val="18"/>
            <w:szCs w:val="18"/>
          </w:rPr>
          <w:t xml:space="preserve"> [12]</w:t>
        </w:r>
      </w:hyperlink>
      <w:hyperlink r:id="rId55" w:history="1">
        <w:r>
          <w:rPr>
            <w:color w:val="087B78"/>
            <w:sz w:val="18"/>
            <w:szCs w:val="18"/>
          </w:rPr>
          <w:t xml:space="preserve"> [2]</w:t>
        </w:r>
      </w:hyperlink>
      <w:hyperlink r:id="rId56" w:history="1">
        <w:r>
          <w:rPr>
            <w:color w:val="087B78"/>
            <w:sz w:val="18"/>
            <w:szCs w:val="18"/>
          </w:rPr>
          <w:t xml:space="preserve"> [3]</w:t>
        </w:r>
      </w:hyperlink>
      <w:hyperlink r:id="rId57" w:history="1">
        <w:r>
          <w:rPr>
            <w:color w:val="087B78"/>
            <w:sz w:val="18"/>
            <w:szCs w:val="18"/>
          </w:rPr>
          <w:t xml:space="preserve"> [4]</w:t>
        </w:r>
      </w:hyperlink>
    </w:p>
    <w:p w14:paraId="0DCAD64E" w14:textId="77777777" w:rsidR="000C345B" w:rsidRDefault="00EC309F">
      <w:pPr>
        <w:pStyle w:val="Heading1"/>
      </w:pPr>
      <w:bookmarkStart w:id="10" w:name="_Toc242668352"/>
      <w:r>
        <w:lastRenderedPageBreak/>
        <w:t>10. Processing changes the substrate presented to downstream machinery</w:t>
      </w:r>
      <w:bookmarkEnd w:id="10"/>
    </w:p>
    <w:p w14:paraId="398C3598" w14:textId="115B742B" w:rsidR="000C345B" w:rsidRDefault="00EC309F">
      <w:r>
        <w:t>Splicing changes the protein organization of an RNA as well as its nucleotide sequence. Le Hir and colleagues detected splicing-dependent protein deposition upstream of exon junctions in HeLa nuclear extracts and Xenopus oocyte nuclei. This provides a molecular record of processing that can be presented to later machinery. The original study discussed potential functions in export and surveillance; the deposited complex itself was directly characterized, whereas every downstream consequence was not establis</w:t>
      </w:r>
      <w:r>
        <w:t>hed by that experiment. The distinction prevents a plausible handoff mechanism from becoming an unsupported claim that all mature RNAs follow one identical path.</w:t>
      </w:r>
      <w:hyperlink r:id="rId58" w:history="1">
        <w:r>
          <w:rPr>
            <w:color w:val="087B78"/>
            <w:sz w:val="18"/>
            <w:szCs w:val="18"/>
          </w:rPr>
          <w:t xml:space="preserve"> [15]</w:t>
        </w:r>
      </w:hyperlink>
    </w:p>
    <w:p w14:paraId="52F0D817" w14:textId="254D1B02" w:rsidR="000C345B" w:rsidRDefault="00EC309F">
      <w:r>
        <w:t>This molecular-memory perspective complements the spatial perspective. An RNA near a speckle may encounter processing machinery efficiently, but the resulting RNP still needs appropriate interactions for subsequent trafficking. Conversely, a transcript can be retained or degraded after it has acquired some mature features. Ietswaart and colleagues identified retained-intron transcripts with strong nuclear-exosome loss, showing why total polyadenylated RNA cannot simply be equated with an export-ready popula</w:t>
      </w:r>
      <w:r>
        <w:t>tion. A successful upstream step and a productive final output should therefore be measured separately when a perturbation changes gene expression.</w:t>
      </w:r>
      <w:hyperlink r:id="rId59" w:history="1">
        <w:r>
          <w:rPr>
            <w:color w:val="087B78"/>
            <w:sz w:val="18"/>
            <w:szCs w:val="18"/>
          </w:rPr>
          <w:t xml:space="preserve"> [5]</w:t>
        </w:r>
      </w:hyperlink>
      <w:hyperlink r:id="rId60" w:history="1">
        <w:r>
          <w:rPr>
            <w:color w:val="087B78"/>
            <w:sz w:val="18"/>
            <w:szCs w:val="18"/>
          </w:rPr>
          <w:t xml:space="preserve"> [4]</w:t>
        </w:r>
      </w:hyperlink>
    </w:p>
    <w:p w14:paraId="7C9EDC51" w14:textId="7E69B489" w:rsidR="000C345B" w:rsidRDefault="00EC309F">
      <w:r>
        <w:t>A coupling model becomes more informative when the intervening substrate is defined. For example, the relevant entity for an export handoff is an RNA–protein assembly rather than naked RNA; for a splicing reaction it is a particular intron-containing precursor rather than total gene-level abundance. Comparing those defined species over time permits a hypothesis about biochemical recruitment to be tested against a hypothesis about processing delay or retention. The same logic applies when an engineered local</w:t>
      </w:r>
      <w:r>
        <w:t>ization system changes the abundance of a transcript: specificity of the RNA and its maturation state are part of the causal claim.</w:t>
      </w:r>
      <w:hyperlink r:id="rId61" w:history="1">
        <w:r>
          <w:rPr>
            <w:color w:val="087B78"/>
            <w:sz w:val="18"/>
            <w:szCs w:val="18"/>
          </w:rPr>
          <w:t xml:space="preserve"> [15]</w:t>
        </w:r>
      </w:hyperlink>
      <w:hyperlink r:id="rId62" w:history="1">
        <w:r>
          <w:rPr>
            <w:color w:val="087B78"/>
            <w:sz w:val="18"/>
            <w:szCs w:val="18"/>
          </w:rPr>
          <w:t xml:space="preserve"> [7]</w:t>
        </w:r>
      </w:hyperlink>
      <w:hyperlink r:id="rId63" w:history="1">
        <w:r>
          <w:rPr>
            <w:color w:val="087B78"/>
            <w:sz w:val="18"/>
            <w:szCs w:val="18"/>
          </w:rPr>
          <w:t xml:space="preserve"> [5]</w:t>
        </w:r>
      </w:hyperlink>
    </w:p>
    <w:p w14:paraId="75771A31" w14:textId="77777777" w:rsidR="000C345B" w:rsidRDefault="00EC309F">
      <w:pPr>
        <w:pStyle w:val="Heading1"/>
      </w:pPr>
      <w:bookmarkStart w:id="11" w:name="_Toc242668353"/>
      <w:r>
        <w:t>11. An integrated model and the remaining questions</w:t>
      </w:r>
      <w:bookmarkEnd w:id="11"/>
    </w:p>
    <w:p w14:paraId="7534B2EC" w14:textId="2B43AC4F" w:rsidR="000C345B" w:rsidRDefault="00EC309F">
      <w:r>
        <w:t>The evidence supports coordination through molecular interfaces, local concentrations and regulated trafficking. It does not identify one universal bottleneck. In a kinetic description, changing production and changing loss can produce similar mature-RNA abundance, whereas a change in export redistributes RNA between compartments. Thus the same expression phenotype can arise through different routes. Distinguishing them requires rates, locations and RNA classes to be analyzed together, with the kinetic assu</w:t>
      </w:r>
      <w:r>
        <w:t>mptions stated.</w:t>
      </w:r>
      <w:hyperlink r:id="rId64" w:history="1">
        <w:r>
          <w:rPr>
            <w:color w:val="087B78"/>
            <w:sz w:val="18"/>
            <w:szCs w:val="18"/>
          </w:rPr>
          <w:t xml:space="preserve"> [1]</w:t>
        </w:r>
      </w:hyperlink>
      <w:hyperlink r:id="rId65" w:history="1">
        <w:r>
          <w:rPr>
            <w:color w:val="087B78"/>
            <w:sz w:val="18"/>
            <w:szCs w:val="18"/>
          </w:rPr>
          <w:t xml:space="preserve"> [3]</w:t>
        </w:r>
      </w:hyperlink>
      <w:hyperlink r:id="rId66" w:history="1">
        <w:r>
          <w:rPr>
            <w:color w:val="087B78"/>
            <w:sz w:val="18"/>
            <w:szCs w:val="18"/>
          </w:rPr>
          <w:t xml:space="preserve"> [4]</w:t>
        </w:r>
      </w:hyperlink>
    </w:p>
    <w:p w14:paraId="01C101F2" w14:textId="1FC4AFB2" w:rsidR="000C345B" w:rsidRDefault="00EC309F">
      <w:r>
        <w:t xml:space="preserve">The next mechanistic questions concern when spatial organization becomes limiting, which transcript features create a local processing dependence and how biochemical recruitment is coupled to export licensing. Targeted recruitment, rapid depletion, calibrated live imaging and compartmental pulse labeling offer complementary tests. Their strongest synthesis will compare compatible cell states and follow the same substrate over time. Until then, orchestration is best </w:t>
      </w:r>
      <w:r>
        <w:lastRenderedPageBreak/>
        <w:t>understood as a set of measured, conditional couplings rather than an assertion that all gene expression is governed by one nuclear structure.</w:t>
      </w:r>
      <w:hyperlink r:id="rId67" w:history="1">
        <w:r>
          <w:rPr>
            <w:color w:val="087B78"/>
            <w:sz w:val="18"/>
            <w:szCs w:val="18"/>
          </w:rPr>
          <w:t xml:space="preserve"> [5]</w:t>
        </w:r>
      </w:hyperlink>
      <w:hyperlink r:id="rId68" w:history="1">
        <w:r>
          <w:rPr>
            <w:color w:val="087B78"/>
            <w:sz w:val="18"/>
            <w:szCs w:val="18"/>
          </w:rPr>
          <w:t xml:space="preserve"> [6]</w:t>
        </w:r>
      </w:hyperlink>
      <w:hyperlink r:id="rId69" w:history="1">
        <w:r>
          <w:rPr>
            <w:color w:val="087B78"/>
            <w:sz w:val="18"/>
            <w:szCs w:val="18"/>
          </w:rPr>
          <w:t xml:space="preserve"> [2]</w:t>
        </w:r>
      </w:hyperlink>
      <w:hyperlink r:id="rId70" w:history="1">
        <w:r>
          <w:rPr>
            <w:color w:val="087B78"/>
            <w:sz w:val="18"/>
            <w:szCs w:val="18"/>
          </w:rPr>
          <w:t xml:space="preserve"> [7]</w:t>
        </w:r>
      </w:hyperlink>
    </w:p>
    <w:p w14:paraId="64745E47" w14:textId="77777777" w:rsidR="000C345B" w:rsidRDefault="00EC309F">
      <w:pPr>
        <w:pStyle w:val="Heading1"/>
      </w:pPr>
      <w:bookmarkStart w:id="12" w:name="_Toc242668354"/>
      <w:r>
        <w:t>References</w:t>
      </w:r>
      <w:bookmarkEnd w:id="12"/>
    </w:p>
    <w:p w14:paraId="5F51C0EE" w14:textId="08155FB2" w:rsidR="000C345B" w:rsidRDefault="00EC309F">
      <w:pPr>
        <w:keepLines/>
        <w:spacing w:after="90" w:line="245" w:lineRule="auto"/>
      </w:pPr>
      <w:r>
        <w:rPr>
          <w:b/>
          <w:bCs/>
          <w:sz w:val="20"/>
          <w:szCs w:val="20"/>
        </w:rPr>
        <w:t xml:space="preserve">[1] McCracken et al. (1997). </w:t>
      </w:r>
      <w:r>
        <w:rPr>
          <w:sz w:val="20"/>
          <w:szCs w:val="20"/>
        </w:rPr>
        <w:t xml:space="preserve">The C-terminal domain of RNA polymerase II couples mRNA processing to transcription. Nature. </w:t>
      </w:r>
      <w:hyperlink r:id="rId71" w:history="1">
        <w:r>
          <w:rPr>
            <w:color w:val="087B78"/>
            <w:sz w:val="20"/>
            <w:szCs w:val="20"/>
            <w:u w:val="single"/>
          </w:rPr>
          <w:t>10.1038/385357a0</w:t>
        </w:r>
      </w:hyperlink>
    </w:p>
    <w:p w14:paraId="5E6353F5" w14:textId="4F3D6843" w:rsidR="000C345B" w:rsidRDefault="00EC309F">
      <w:pPr>
        <w:keepLines/>
        <w:spacing w:after="90" w:line="245" w:lineRule="auto"/>
      </w:pPr>
      <w:r>
        <w:rPr>
          <w:b/>
          <w:bCs/>
          <w:sz w:val="20"/>
          <w:szCs w:val="20"/>
        </w:rPr>
        <w:t xml:space="preserve">[2] Liu et al. (2021). </w:t>
      </w:r>
      <w:r>
        <w:rPr>
          <w:sz w:val="20"/>
          <w:szCs w:val="20"/>
        </w:rPr>
        <w:t xml:space="preserve">Real-time single-cell characterization of the eukaryotic transcription cycle reveals correlations between RNA initiation, elongation, and cleavage. PLOS Computational Biology. </w:t>
      </w:r>
      <w:hyperlink r:id="rId72" w:history="1">
        <w:r>
          <w:rPr>
            <w:color w:val="087B78"/>
            <w:sz w:val="20"/>
            <w:szCs w:val="20"/>
            <w:u w:val="single"/>
          </w:rPr>
          <w:t>10.1371/journal.pcbi.1008999</w:t>
        </w:r>
      </w:hyperlink>
    </w:p>
    <w:p w14:paraId="2398D49E" w14:textId="7D4991BC" w:rsidR="000C345B" w:rsidRDefault="00EC309F">
      <w:pPr>
        <w:keepLines/>
        <w:spacing w:after="90" w:line="245" w:lineRule="auto"/>
      </w:pPr>
      <w:r>
        <w:rPr>
          <w:b/>
          <w:bCs/>
          <w:sz w:val="20"/>
          <w:szCs w:val="20"/>
        </w:rPr>
        <w:t xml:space="preserve">[3] Müller et al. (2024). </w:t>
      </w:r>
      <w:r>
        <w:rPr>
          <w:sz w:val="20"/>
          <w:szCs w:val="20"/>
        </w:rPr>
        <w:t xml:space="preserve">Nuclear export is a limiting factor in eukaryotic mRNA metabolism. PLOS Computational Biology. </w:t>
      </w:r>
      <w:hyperlink r:id="rId73" w:history="1">
        <w:r>
          <w:rPr>
            <w:color w:val="087B78"/>
            <w:sz w:val="20"/>
            <w:szCs w:val="20"/>
            <w:u w:val="single"/>
          </w:rPr>
          <w:t>10.1371/journal.pcbi.1012059</w:t>
        </w:r>
      </w:hyperlink>
    </w:p>
    <w:p w14:paraId="3921797B" w14:textId="70453096" w:rsidR="000C345B" w:rsidRDefault="00EC309F">
      <w:pPr>
        <w:keepLines/>
        <w:spacing w:after="90" w:line="245" w:lineRule="auto"/>
      </w:pPr>
      <w:r>
        <w:rPr>
          <w:b/>
          <w:bCs/>
          <w:sz w:val="20"/>
          <w:szCs w:val="20"/>
        </w:rPr>
        <w:t xml:space="preserve">[4] Ietswaart et al. (2024). </w:t>
      </w:r>
      <w:r>
        <w:rPr>
          <w:sz w:val="20"/>
          <w:szCs w:val="20"/>
        </w:rPr>
        <w:t xml:space="preserve">Genome-wide quantification of RNA flow across subcellular compartments reveals determinants of the mammalian transcript life cycle. Molecular Cell. </w:t>
      </w:r>
      <w:hyperlink r:id="rId74" w:history="1">
        <w:r>
          <w:rPr>
            <w:color w:val="087B78"/>
            <w:sz w:val="20"/>
            <w:szCs w:val="20"/>
            <w:u w:val="single"/>
          </w:rPr>
          <w:t>10.1016/j.molcel.2024.06.008</w:t>
        </w:r>
      </w:hyperlink>
    </w:p>
    <w:p w14:paraId="543E337B" w14:textId="4698D872" w:rsidR="000C345B" w:rsidRDefault="00EC309F">
      <w:pPr>
        <w:keepLines/>
        <w:spacing w:after="90" w:line="245" w:lineRule="auto"/>
      </w:pPr>
      <w:r>
        <w:rPr>
          <w:b/>
          <w:bCs/>
          <w:sz w:val="20"/>
          <w:szCs w:val="20"/>
        </w:rPr>
        <w:t xml:space="preserve">[5] Bhat et al. (2024). </w:t>
      </w:r>
      <w:r>
        <w:rPr>
          <w:sz w:val="20"/>
          <w:szCs w:val="20"/>
        </w:rPr>
        <w:t xml:space="preserve">Genome organization around nuclear speckles drives mRNA splicing efficiency. Nature. </w:t>
      </w:r>
      <w:hyperlink r:id="rId75" w:history="1">
        <w:r>
          <w:rPr>
            <w:color w:val="087B78"/>
            <w:sz w:val="20"/>
            <w:szCs w:val="20"/>
            <w:u w:val="single"/>
          </w:rPr>
          <w:t>10.1038/s41586-024-07429-6</w:t>
        </w:r>
      </w:hyperlink>
    </w:p>
    <w:p w14:paraId="7149E0AE" w14:textId="566AFD72" w:rsidR="000C345B" w:rsidRDefault="00EC309F">
      <w:pPr>
        <w:keepLines/>
        <w:spacing w:after="90" w:line="245" w:lineRule="auto"/>
      </w:pPr>
      <w:r>
        <w:rPr>
          <w:b/>
          <w:bCs/>
          <w:sz w:val="20"/>
          <w:szCs w:val="20"/>
        </w:rPr>
        <w:t xml:space="preserve">[6] Małszycki et al. (2026). </w:t>
      </w:r>
      <w:r>
        <w:rPr>
          <w:sz w:val="20"/>
          <w:szCs w:val="20"/>
        </w:rPr>
        <w:t xml:space="preserve">Nuclear speckles enable processing of RNA from GC-rich isochores. Cell. </w:t>
      </w:r>
      <w:hyperlink r:id="rId76" w:history="1">
        <w:r>
          <w:rPr>
            <w:color w:val="087B78"/>
            <w:sz w:val="20"/>
            <w:szCs w:val="20"/>
            <w:u w:val="single"/>
          </w:rPr>
          <w:t>10.1016/j.cell.2026.01.011</w:t>
        </w:r>
      </w:hyperlink>
    </w:p>
    <w:p w14:paraId="3A3D5BBD" w14:textId="006DC4F6" w:rsidR="000C345B" w:rsidRDefault="00EC309F">
      <w:pPr>
        <w:keepLines/>
        <w:spacing w:after="90" w:line="245" w:lineRule="auto"/>
      </w:pPr>
      <w:r>
        <w:rPr>
          <w:b/>
          <w:bCs/>
          <w:sz w:val="20"/>
          <w:szCs w:val="20"/>
        </w:rPr>
        <w:t xml:space="preserve">[7] Hohmann et al. (2026). </w:t>
      </w:r>
      <w:r>
        <w:rPr>
          <w:sz w:val="20"/>
          <w:szCs w:val="20"/>
        </w:rPr>
        <w:t xml:space="preserve">An ATP-gated molecular switch orchestrates human mRNA export. Nature. </w:t>
      </w:r>
      <w:hyperlink r:id="rId77" w:history="1">
        <w:r>
          <w:rPr>
            <w:color w:val="087B78"/>
            <w:sz w:val="20"/>
            <w:szCs w:val="20"/>
            <w:u w:val="single"/>
          </w:rPr>
          <w:t>10.1038/s41586-025-09832-z</w:t>
        </w:r>
      </w:hyperlink>
    </w:p>
    <w:p w14:paraId="5EF5241F" w14:textId="73C1E085" w:rsidR="000C345B" w:rsidRDefault="00EC309F">
      <w:pPr>
        <w:keepLines/>
        <w:spacing w:after="90" w:line="245" w:lineRule="auto"/>
      </w:pPr>
      <w:r>
        <w:rPr>
          <w:b/>
          <w:bCs/>
          <w:sz w:val="20"/>
          <w:szCs w:val="20"/>
        </w:rPr>
        <w:t xml:space="preserve">[8] Hsieh et al. (2022). </w:t>
      </w:r>
      <w:r>
        <w:rPr>
          <w:sz w:val="20"/>
          <w:szCs w:val="20"/>
        </w:rPr>
        <w:t xml:space="preserve">Enhancer–promoter interactions and transcription are largely maintained upon acute loss of CTCF, cohesin, WAPL or YY1. Nature Genetics. </w:t>
      </w:r>
      <w:hyperlink r:id="rId78" w:history="1">
        <w:r>
          <w:rPr>
            <w:color w:val="087B78"/>
            <w:sz w:val="20"/>
            <w:szCs w:val="20"/>
            <w:u w:val="single"/>
          </w:rPr>
          <w:t>10.1038/s41588-022-01223-8</w:t>
        </w:r>
      </w:hyperlink>
    </w:p>
    <w:p w14:paraId="7D779785" w14:textId="7AE0D5C1" w:rsidR="000C345B" w:rsidRDefault="00EC309F">
      <w:pPr>
        <w:keepLines/>
        <w:spacing w:after="90" w:line="245" w:lineRule="auto"/>
      </w:pPr>
      <w:r>
        <w:rPr>
          <w:b/>
          <w:bCs/>
          <w:sz w:val="20"/>
          <w:szCs w:val="20"/>
        </w:rPr>
        <w:t xml:space="preserve">[9] Bentley (2014). </w:t>
      </w:r>
      <w:r>
        <w:rPr>
          <w:sz w:val="20"/>
          <w:szCs w:val="20"/>
        </w:rPr>
        <w:t xml:space="preserve">Coupling mRNA processing with transcription in time and space. Nature Reviews Genetics. </w:t>
      </w:r>
      <w:hyperlink r:id="rId79" w:history="1">
        <w:r>
          <w:rPr>
            <w:color w:val="087B78"/>
            <w:sz w:val="20"/>
            <w:szCs w:val="20"/>
            <w:u w:val="single"/>
          </w:rPr>
          <w:t>10.1038/nrg3662</w:t>
        </w:r>
      </w:hyperlink>
    </w:p>
    <w:p w14:paraId="6FFCB67C" w14:textId="1443B843" w:rsidR="000C345B" w:rsidRDefault="00EC309F">
      <w:pPr>
        <w:keepLines/>
        <w:spacing w:after="90" w:line="245" w:lineRule="auto"/>
      </w:pPr>
      <w:r>
        <w:rPr>
          <w:b/>
          <w:bCs/>
          <w:sz w:val="20"/>
          <w:szCs w:val="20"/>
        </w:rPr>
        <w:t xml:space="preserve">[10] Cramer, Bushnell and Kornberg (2001). </w:t>
      </w:r>
      <w:r>
        <w:rPr>
          <w:sz w:val="20"/>
          <w:szCs w:val="20"/>
        </w:rPr>
        <w:t xml:space="preserve">Structural basis of transcription: RNA polymerase II at 2.8 angstrom resolution. Science. </w:t>
      </w:r>
      <w:hyperlink r:id="rId80" w:history="1">
        <w:r>
          <w:rPr>
            <w:color w:val="087B78"/>
            <w:sz w:val="20"/>
            <w:szCs w:val="20"/>
            <w:u w:val="single"/>
          </w:rPr>
          <w:t>10.1126/science.1059493</w:t>
        </w:r>
      </w:hyperlink>
    </w:p>
    <w:p w14:paraId="4CF1A5E9" w14:textId="05A80043" w:rsidR="000C345B" w:rsidRDefault="00EC309F">
      <w:pPr>
        <w:keepLines/>
        <w:spacing w:after="90" w:line="245" w:lineRule="auto"/>
      </w:pPr>
      <w:r>
        <w:rPr>
          <w:b/>
          <w:bCs/>
          <w:sz w:val="20"/>
          <w:szCs w:val="20"/>
        </w:rPr>
        <w:t xml:space="preserve">[11] Darzacq et al. (2007). </w:t>
      </w:r>
      <w:r>
        <w:rPr>
          <w:sz w:val="20"/>
          <w:szCs w:val="20"/>
        </w:rPr>
        <w:t xml:space="preserve">In vivo dynamics of RNA polymerase II transcription. Nature Structural &amp; Molecular Biology. </w:t>
      </w:r>
      <w:hyperlink r:id="rId81" w:history="1">
        <w:r>
          <w:rPr>
            <w:color w:val="087B78"/>
            <w:sz w:val="20"/>
            <w:szCs w:val="20"/>
            <w:u w:val="single"/>
          </w:rPr>
          <w:t>10.1038/nsmb1280</w:t>
        </w:r>
      </w:hyperlink>
    </w:p>
    <w:p w14:paraId="6D76C704" w14:textId="4A4279A9" w:rsidR="000C345B" w:rsidRDefault="00EC309F">
      <w:pPr>
        <w:keepLines/>
        <w:spacing w:after="90" w:line="245" w:lineRule="auto"/>
      </w:pPr>
      <w:r>
        <w:rPr>
          <w:b/>
          <w:bCs/>
          <w:sz w:val="20"/>
          <w:szCs w:val="20"/>
        </w:rPr>
        <w:t xml:space="preserve">[12] Kim et al. (2020). </w:t>
      </w:r>
      <w:r>
        <w:rPr>
          <w:sz w:val="20"/>
          <w:szCs w:val="20"/>
        </w:rPr>
        <w:t xml:space="preserve">Gene expression amplification by nuclear speckle association. Journal of Cell Biology. </w:t>
      </w:r>
      <w:hyperlink r:id="rId82" w:history="1">
        <w:r>
          <w:rPr>
            <w:color w:val="087B78"/>
            <w:sz w:val="20"/>
            <w:szCs w:val="20"/>
            <w:u w:val="single"/>
          </w:rPr>
          <w:t>10.1083/jcb.201904046</w:t>
        </w:r>
      </w:hyperlink>
    </w:p>
    <w:p w14:paraId="00BDC976" w14:textId="4A399434" w:rsidR="000C345B" w:rsidRDefault="00EC309F">
      <w:pPr>
        <w:keepLines/>
        <w:spacing w:after="90" w:line="245" w:lineRule="auto"/>
      </w:pPr>
      <w:r>
        <w:rPr>
          <w:b/>
          <w:bCs/>
          <w:sz w:val="20"/>
          <w:szCs w:val="20"/>
        </w:rPr>
        <w:t xml:space="preserve">[13] Suter et al. (2011). </w:t>
      </w:r>
      <w:r>
        <w:rPr>
          <w:sz w:val="20"/>
          <w:szCs w:val="20"/>
        </w:rPr>
        <w:t xml:space="preserve">Mammalian genes are transcribed with widely different bursting kinetics. Science. </w:t>
      </w:r>
      <w:hyperlink r:id="rId83" w:history="1">
        <w:r>
          <w:rPr>
            <w:color w:val="087B78"/>
            <w:sz w:val="20"/>
            <w:szCs w:val="20"/>
            <w:u w:val="single"/>
          </w:rPr>
          <w:t>10.1126/science.1198817</w:t>
        </w:r>
      </w:hyperlink>
    </w:p>
    <w:p w14:paraId="0BE661A7" w14:textId="36EFA5D0" w:rsidR="000C345B" w:rsidRDefault="00EC309F">
      <w:pPr>
        <w:keepLines/>
        <w:spacing w:after="90" w:line="245" w:lineRule="auto"/>
      </w:pPr>
      <w:r>
        <w:rPr>
          <w:b/>
          <w:bCs/>
          <w:sz w:val="20"/>
          <w:szCs w:val="20"/>
        </w:rPr>
        <w:t xml:space="preserve">[14] Yoon et al. (2025). </w:t>
      </w:r>
      <w:r>
        <w:rPr>
          <w:sz w:val="20"/>
          <w:szCs w:val="20"/>
        </w:rPr>
        <w:t xml:space="preserve">RBBP6 anchors pre-mRNA 3′ end processing to nuclear speckles for efficient gene expression. Molecular Cell. </w:t>
      </w:r>
      <w:hyperlink r:id="rId84" w:history="1">
        <w:r>
          <w:rPr>
            <w:color w:val="087B78"/>
            <w:sz w:val="20"/>
            <w:szCs w:val="20"/>
            <w:u w:val="single"/>
          </w:rPr>
          <w:t>10.1016/j.molcel.2024.12.016</w:t>
        </w:r>
      </w:hyperlink>
    </w:p>
    <w:p w14:paraId="203CF679" w14:textId="2DA65585" w:rsidR="000C345B" w:rsidRDefault="00EC309F">
      <w:pPr>
        <w:keepLines/>
        <w:spacing w:after="90" w:line="245" w:lineRule="auto"/>
      </w:pPr>
      <w:r>
        <w:rPr>
          <w:b/>
          <w:bCs/>
          <w:sz w:val="20"/>
          <w:szCs w:val="20"/>
        </w:rPr>
        <w:t xml:space="preserve">[15] Le Hir, Izaurralde, Maquat and Moore (2000). </w:t>
      </w:r>
      <w:r>
        <w:rPr>
          <w:sz w:val="20"/>
          <w:szCs w:val="20"/>
        </w:rPr>
        <w:t xml:space="preserve">The spliceosome deposits multiple proteins 20–24 nucleotides upstream of mRNA exon–exon junctions. The EMBO Journal. </w:t>
      </w:r>
      <w:hyperlink r:id="rId85" w:history="1">
        <w:r>
          <w:rPr>
            <w:color w:val="087B78"/>
            <w:sz w:val="20"/>
            <w:szCs w:val="20"/>
            <w:u w:val="single"/>
          </w:rPr>
          <w:t>10.1093/emboj/19.24.6860</w:t>
        </w:r>
      </w:hyperlink>
    </w:p>
    <w:p w14:paraId="5DC844C7" w14:textId="77777777" w:rsidR="000C345B" w:rsidRDefault="00EC309F">
      <w:pPr>
        <w:pStyle w:val="Heading1"/>
      </w:pPr>
      <w:bookmarkStart w:id="13" w:name="_Toc242668355"/>
      <w:r>
        <w:t>Evidence scope</w:t>
      </w:r>
      <w:bookmarkEnd w:id="13"/>
    </w:p>
    <w:p w14:paraId="67036D0E" w14:textId="77777777" w:rsidR="000C345B" w:rsidRDefault="00EC309F">
      <w:pPr>
        <w:keepLines/>
        <w:spacing w:after="160" w:line="270" w:lineRule="auto"/>
      </w:pPr>
      <w:r>
        <w:t>This scholarly synthesis integrates foundational studies and literature available by 12 October 2026. Source access ranges from primary abstracts to selected Results, figure captions and Methods, as specified for each reference. Experiments and models retain their organism, construct and perturbation context; raw data and supplementary material have not been comprehensively reanalysed.</w:t>
      </w:r>
    </w:p>
    <w:sectPr w:rsidR="000C345B">
      <w:headerReference w:type="default" r:id="rId86"/>
      <w:footerReference w:type="default" r:id="rId87"/>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1EA59" w14:textId="77777777" w:rsidR="00EC309F" w:rsidRDefault="00EC309F">
      <w:pPr>
        <w:spacing w:after="0" w:line="240" w:lineRule="auto"/>
      </w:pPr>
      <w:r>
        <w:separator/>
      </w:r>
    </w:p>
  </w:endnote>
  <w:endnote w:type="continuationSeparator" w:id="0">
    <w:p w14:paraId="3654ABA4" w14:textId="77777777" w:rsidR="00EC309F" w:rsidRDefault="00EC3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FA87D" w14:textId="77777777" w:rsidR="000C345B" w:rsidRDefault="00EC309F">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3E3A3A">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3E3A3A">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705C5" w14:textId="77777777" w:rsidR="00EC309F" w:rsidRDefault="00EC309F">
      <w:pPr>
        <w:spacing w:after="0" w:line="240" w:lineRule="auto"/>
      </w:pPr>
      <w:r>
        <w:separator/>
      </w:r>
    </w:p>
  </w:footnote>
  <w:footnote w:type="continuationSeparator" w:id="0">
    <w:p w14:paraId="609AADF4" w14:textId="77777777" w:rsidR="00EC309F" w:rsidRDefault="00EC30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3A20C" w14:textId="77777777" w:rsidR="000C345B" w:rsidRDefault="00EC309F">
    <w:pPr>
      <w:pBdr>
        <w:bottom w:val="single" w:sz="4" w:space="0" w:color="B8D1D0"/>
      </w:pBdr>
    </w:pPr>
    <w:r>
      <w:rPr>
        <w:color w:val="527077"/>
        <w:sz w:val="17"/>
        <w:szCs w:val="17"/>
      </w:rPr>
      <w:t>The Orchestration of Eukaryotic Gene Expression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415A14"/>
    <w:multiLevelType w:val="hybridMultilevel"/>
    <w:tmpl w:val="B87E37D2"/>
    <w:lvl w:ilvl="0" w:tplc="D84C5DCA">
      <w:start w:val="1"/>
      <w:numFmt w:val="bullet"/>
      <w:lvlText w:val="●"/>
      <w:lvlJc w:val="left"/>
      <w:pPr>
        <w:ind w:left="720" w:hanging="360"/>
      </w:pPr>
    </w:lvl>
    <w:lvl w:ilvl="1" w:tplc="A6549118">
      <w:start w:val="1"/>
      <w:numFmt w:val="bullet"/>
      <w:lvlText w:val="○"/>
      <w:lvlJc w:val="left"/>
      <w:pPr>
        <w:ind w:left="1440" w:hanging="360"/>
      </w:pPr>
    </w:lvl>
    <w:lvl w:ilvl="2" w:tplc="A87C474C">
      <w:start w:val="1"/>
      <w:numFmt w:val="bullet"/>
      <w:lvlText w:val="■"/>
      <w:lvlJc w:val="left"/>
      <w:pPr>
        <w:ind w:left="2160" w:hanging="360"/>
      </w:pPr>
    </w:lvl>
    <w:lvl w:ilvl="3" w:tplc="C36EFAF4">
      <w:start w:val="1"/>
      <w:numFmt w:val="bullet"/>
      <w:lvlText w:val="●"/>
      <w:lvlJc w:val="left"/>
      <w:pPr>
        <w:ind w:left="2880" w:hanging="360"/>
      </w:pPr>
    </w:lvl>
    <w:lvl w:ilvl="4" w:tplc="123A9354">
      <w:start w:val="1"/>
      <w:numFmt w:val="bullet"/>
      <w:lvlText w:val="○"/>
      <w:lvlJc w:val="left"/>
      <w:pPr>
        <w:ind w:left="3600" w:hanging="360"/>
      </w:pPr>
    </w:lvl>
    <w:lvl w:ilvl="5" w:tplc="762CEA88">
      <w:start w:val="1"/>
      <w:numFmt w:val="bullet"/>
      <w:lvlText w:val="■"/>
      <w:lvlJc w:val="left"/>
      <w:pPr>
        <w:ind w:left="4320" w:hanging="360"/>
      </w:pPr>
    </w:lvl>
    <w:lvl w:ilvl="6" w:tplc="25D02536">
      <w:start w:val="1"/>
      <w:numFmt w:val="bullet"/>
      <w:lvlText w:val="●"/>
      <w:lvlJc w:val="left"/>
      <w:pPr>
        <w:ind w:left="5040" w:hanging="360"/>
      </w:pPr>
    </w:lvl>
    <w:lvl w:ilvl="7" w:tplc="F6D617AE">
      <w:start w:val="1"/>
      <w:numFmt w:val="bullet"/>
      <w:lvlText w:val="●"/>
      <w:lvlJc w:val="left"/>
      <w:pPr>
        <w:ind w:left="5760" w:hanging="360"/>
      </w:pPr>
    </w:lvl>
    <w:lvl w:ilvl="8" w:tplc="E5B8666A">
      <w:start w:val="1"/>
      <w:numFmt w:val="bullet"/>
      <w:lvlText w:val="●"/>
      <w:lvlJc w:val="left"/>
      <w:pPr>
        <w:ind w:left="6480" w:hanging="360"/>
      </w:pPr>
    </w:lvl>
  </w:abstractNum>
  <w:abstractNum w:abstractNumId="1" w15:restartNumberingAfterBreak="0">
    <w:nsid w:val="79EB002F"/>
    <w:multiLevelType w:val="hybridMultilevel"/>
    <w:tmpl w:val="6FE886BE"/>
    <w:lvl w:ilvl="0" w:tplc="C6FAF38A">
      <w:start w:val="1"/>
      <w:numFmt w:val="bullet"/>
      <w:lvlText w:val="•"/>
      <w:lvlJc w:val="left"/>
      <w:pPr>
        <w:ind w:left="340" w:hanging="170"/>
      </w:pPr>
    </w:lvl>
    <w:lvl w:ilvl="1" w:tplc="9378F312">
      <w:numFmt w:val="decimal"/>
      <w:lvlText w:val=""/>
      <w:lvlJc w:val="left"/>
    </w:lvl>
    <w:lvl w:ilvl="2" w:tplc="973ECC44">
      <w:numFmt w:val="decimal"/>
      <w:lvlText w:val=""/>
      <w:lvlJc w:val="left"/>
    </w:lvl>
    <w:lvl w:ilvl="3" w:tplc="0B68D594">
      <w:numFmt w:val="decimal"/>
      <w:lvlText w:val=""/>
      <w:lvlJc w:val="left"/>
    </w:lvl>
    <w:lvl w:ilvl="4" w:tplc="0F36FE4E">
      <w:numFmt w:val="decimal"/>
      <w:lvlText w:val=""/>
      <w:lvlJc w:val="left"/>
    </w:lvl>
    <w:lvl w:ilvl="5" w:tplc="7B865E7A">
      <w:numFmt w:val="decimal"/>
      <w:lvlText w:val=""/>
      <w:lvlJc w:val="left"/>
    </w:lvl>
    <w:lvl w:ilvl="6" w:tplc="02385FE4">
      <w:numFmt w:val="decimal"/>
      <w:lvlText w:val=""/>
      <w:lvlJc w:val="left"/>
    </w:lvl>
    <w:lvl w:ilvl="7" w:tplc="1824819A">
      <w:numFmt w:val="decimal"/>
      <w:lvlText w:val=""/>
      <w:lvlJc w:val="left"/>
    </w:lvl>
    <w:lvl w:ilvl="8" w:tplc="802C78C2">
      <w:numFmt w:val="decimal"/>
      <w:lvlText w:val=""/>
      <w:lvlJc w:val="left"/>
    </w:lvl>
  </w:abstractNum>
  <w:num w:numId="1" w16cid:durableId="1627588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45B"/>
    <w:rsid w:val="000C345B"/>
    <w:rsid w:val="003E3A3A"/>
    <w:rsid w:val="00BD7842"/>
    <w:rsid w:val="00EC3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ECA8D9"/>
  <w15:docId w15:val="{910D50F1-1DEE-4140-9876-9BA3B266D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3E3A3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371/journal.pcbi.1008999" TargetMode="External"/><Relationship Id="rId21" Type="http://schemas.openxmlformats.org/officeDocument/2006/relationships/hyperlink" Target="https://doi.org/10.1038/385357a0" TargetMode="External"/><Relationship Id="rId42" Type="http://schemas.openxmlformats.org/officeDocument/2006/relationships/hyperlink" Target="https://doi.org/10.1038/s41586-025-09832-z" TargetMode="External"/><Relationship Id="rId47" Type="http://schemas.openxmlformats.org/officeDocument/2006/relationships/hyperlink" Target="https://doi.org/10.1371/journal.pcbi.1008999" TargetMode="External"/><Relationship Id="rId63" Type="http://schemas.openxmlformats.org/officeDocument/2006/relationships/hyperlink" Target="https://doi.org/10.1038/s41586-024-07429-6" TargetMode="External"/><Relationship Id="rId68" Type="http://schemas.openxmlformats.org/officeDocument/2006/relationships/hyperlink" Target="https://doi.org/10.1016/j.cell.2026.01.011" TargetMode="External"/><Relationship Id="rId84" Type="http://schemas.openxmlformats.org/officeDocument/2006/relationships/hyperlink" Target="https://doi.org/10.1016/j.molcel.2024.12.016" TargetMode="External"/><Relationship Id="rId89" Type="http://schemas.openxmlformats.org/officeDocument/2006/relationships/theme" Target="theme/theme1.xml"/><Relationship Id="rId16" Type="http://schemas.openxmlformats.org/officeDocument/2006/relationships/hyperlink" Target="https://doi.org/10.1371/journal.pcbi.1012059" TargetMode="External"/><Relationship Id="rId11" Type="http://schemas.openxmlformats.org/officeDocument/2006/relationships/hyperlink" Target="https://doi.org/10.1038/s41586-024-07429-6" TargetMode="External"/><Relationship Id="rId32" Type="http://schemas.openxmlformats.org/officeDocument/2006/relationships/hyperlink" Target="https://doi.org/10.1371/journal.pcbi.1008999" TargetMode="External"/><Relationship Id="rId37" Type="http://schemas.openxmlformats.org/officeDocument/2006/relationships/hyperlink" Target="https://doi.org/10.1016/j.cell.2026.01.011" TargetMode="External"/><Relationship Id="rId53" Type="http://schemas.openxmlformats.org/officeDocument/2006/relationships/hyperlink" Target="https://doi.org/10.1038/s41586-025-09832-z" TargetMode="External"/><Relationship Id="rId58" Type="http://schemas.openxmlformats.org/officeDocument/2006/relationships/hyperlink" Target="https://doi.org/10.1093/emboj/19.24.6860" TargetMode="External"/><Relationship Id="rId74" Type="http://schemas.openxmlformats.org/officeDocument/2006/relationships/hyperlink" Target="https://doi.org/10.1016/j.molcel.2024.06.008" TargetMode="External"/><Relationship Id="rId79" Type="http://schemas.openxmlformats.org/officeDocument/2006/relationships/hyperlink" Target="https://doi.org/10.1038/nrg3662" TargetMode="External"/><Relationship Id="rId5" Type="http://schemas.openxmlformats.org/officeDocument/2006/relationships/footnotes" Target="footnotes.xml"/><Relationship Id="rId14" Type="http://schemas.openxmlformats.org/officeDocument/2006/relationships/hyperlink" Target="https://doi.org/10.1038/s41588-022-01223-8" TargetMode="External"/><Relationship Id="rId22" Type="http://schemas.openxmlformats.org/officeDocument/2006/relationships/hyperlink" Target="https://doi.org/10.1126/science.1059493" TargetMode="External"/><Relationship Id="rId27" Type="http://schemas.openxmlformats.org/officeDocument/2006/relationships/hyperlink" Target="https://doi.org/10.1371/journal.pcbi.1008999" TargetMode="External"/><Relationship Id="rId30" Type="http://schemas.openxmlformats.org/officeDocument/2006/relationships/hyperlink" Target="https://doi.org/10.1126/science.1198817" TargetMode="External"/><Relationship Id="rId35" Type="http://schemas.openxmlformats.org/officeDocument/2006/relationships/hyperlink" Target="https://doi.org/10.1016/j.cell.2026.01.011" TargetMode="External"/><Relationship Id="rId43" Type="http://schemas.openxmlformats.org/officeDocument/2006/relationships/hyperlink" Target="https://doi.org/10.1371/journal.pcbi.1012059" TargetMode="External"/><Relationship Id="rId48" Type="http://schemas.openxmlformats.org/officeDocument/2006/relationships/hyperlink" Target="https://doi.org/10.1126/science.1198817" TargetMode="External"/><Relationship Id="rId56" Type="http://schemas.openxmlformats.org/officeDocument/2006/relationships/hyperlink" Target="https://doi.org/10.1371/journal.pcbi.1012059" TargetMode="External"/><Relationship Id="rId64" Type="http://schemas.openxmlformats.org/officeDocument/2006/relationships/hyperlink" Target="https://doi.org/10.1038/385357a0" TargetMode="External"/><Relationship Id="rId69" Type="http://schemas.openxmlformats.org/officeDocument/2006/relationships/hyperlink" Target="https://doi.org/10.1371/journal.pcbi.1008999" TargetMode="External"/><Relationship Id="rId77" Type="http://schemas.openxmlformats.org/officeDocument/2006/relationships/hyperlink" Target="https://doi.org/10.1038/s41586-025-09832-z" TargetMode="External"/><Relationship Id="rId8" Type="http://schemas.openxmlformats.org/officeDocument/2006/relationships/hyperlink" Target="https://doi.org/10.1371/journal.pcbi.1008999" TargetMode="External"/><Relationship Id="rId51" Type="http://schemas.openxmlformats.org/officeDocument/2006/relationships/hyperlink" Target="https://doi.org/10.1371/journal.pcbi.1012059" TargetMode="External"/><Relationship Id="rId72" Type="http://schemas.openxmlformats.org/officeDocument/2006/relationships/hyperlink" Target="https://doi.org/10.1371/journal.pcbi.1008999" TargetMode="External"/><Relationship Id="rId80" Type="http://schemas.openxmlformats.org/officeDocument/2006/relationships/hyperlink" Target="https://doi.org/10.1126/science.1059493" TargetMode="External"/><Relationship Id="rId85" Type="http://schemas.openxmlformats.org/officeDocument/2006/relationships/hyperlink" Target="https://doi.org/10.1093/emboj/19.24.6860" TargetMode="External"/><Relationship Id="rId3" Type="http://schemas.openxmlformats.org/officeDocument/2006/relationships/settings" Target="settings.xml"/><Relationship Id="rId12" Type="http://schemas.openxmlformats.org/officeDocument/2006/relationships/hyperlink" Target="https://doi.org/10.1016/j.cell.2026.01.011" TargetMode="External"/><Relationship Id="rId17" Type="http://schemas.openxmlformats.org/officeDocument/2006/relationships/hyperlink" Target="https://doi.org/10.1038/385357a0" TargetMode="External"/><Relationship Id="rId25" Type="http://schemas.openxmlformats.org/officeDocument/2006/relationships/hyperlink" Target="https://doi.org/10.1038/nsmb1280" TargetMode="External"/><Relationship Id="rId33" Type="http://schemas.openxmlformats.org/officeDocument/2006/relationships/hyperlink" Target="https://doi.org/10.1038/s41588-022-01223-8" TargetMode="External"/><Relationship Id="rId38" Type="http://schemas.openxmlformats.org/officeDocument/2006/relationships/hyperlink" Target="https://doi.org/10.1038/s41586-024-07429-6" TargetMode="External"/><Relationship Id="rId46" Type="http://schemas.openxmlformats.org/officeDocument/2006/relationships/hyperlink" Target="https://doi.org/10.1038/385357a0" TargetMode="External"/><Relationship Id="rId59" Type="http://schemas.openxmlformats.org/officeDocument/2006/relationships/hyperlink" Target="https://doi.org/10.1038/s41586-024-07429-6" TargetMode="External"/><Relationship Id="rId67" Type="http://schemas.openxmlformats.org/officeDocument/2006/relationships/hyperlink" Target="https://doi.org/10.1038/s41586-024-07429-6" TargetMode="External"/><Relationship Id="rId20" Type="http://schemas.openxmlformats.org/officeDocument/2006/relationships/hyperlink" Target="https://doi.org/10.1126/science.1059493" TargetMode="External"/><Relationship Id="rId41" Type="http://schemas.openxmlformats.org/officeDocument/2006/relationships/hyperlink" Target="https://doi.org/10.1038/385357a0" TargetMode="External"/><Relationship Id="rId54" Type="http://schemas.openxmlformats.org/officeDocument/2006/relationships/hyperlink" Target="https://doi.org/10.1083/jcb.201904046" TargetMode="External"/><Relationship Id="rId62" Type="http://schemas.openxmlformats.org/officeDocument/2006/relationships/hyperlink" Target="https://doi.org/10.1038/s41586-025-09832-z" TargetMode="External"/><Relationship Id="rId70" Type="http://schemas.openxmlformats.org/officeDocument/2006/relationships/hyperlink" Target="https://doi.org/10.1038/s41586-025-09832-z" TargetMode="External"/><Relationship Id="rId75" Type="http://schemas.openxmlformats.org/officeDocument/2006/relationships/hyperlink" Target="https://doi.org/10.1038/s41586-024-07429-6" TargetMode="External"/><Relationship Id="rId83" Type="http://schemas.openxmlformats.org/officeDocument/2006/relationships/hyperlink" Target="https://doi.org/10.1126/science.1198817"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8/nrg3662" TargetMode="External"/><Relationship Id="rId23" Type="http://schemas.openxmlformats.org/officeDocument/2006/relationships/hyperlink" Target="https://doi.org/10.1038/385357a0" TargetMode="External"/><Relationship Id="rId28" Type="http://schemas.openxmlformats.org/officeDocument/2006/relationships/hyperlink" Target="https://doi.org/10.1371/journal.pcbi.1008999" TargetMode="External"/><Relationship Id="rId36" Type="http://schemas.openxmlformats.org/officeDocument/2006/relationships/hyperlink" Target="https://doi.org/10.1038/s41586-024-07429-6" TargetMode="External"/><Relationship Id="rId49" Type="http://schemas.openxmlformats.org/officeDocument/2006/relationships/hyperlink" Target="https://doi.org/10.1038/s41588-022-01223-8" TargetMode="External"/><Relationship Id="rId57" Type="http://schemas.openxmlformats.org/officeDocument/2006/relationships/hyperlink" Target="https://doi.org/10.1016/j.molcel.2024.06.008" TargetMode="External"/><Relationship Id="rId10" Type="http://schemas.openxmlformats.org/officeDocument/2006/relationships/hyperlink" Target="https://doi.org/10.1016/j.molcel.2024.06.008" TargetMode="External"/><Relationship Id="rId31" Type="http://schemas.openxmlformats.org/officeDocument/2006/relationships/hyperlink" Target="https://doi.org/10.1126/science.1198817" TargetMode="External"/><Relationship Id="rId44" Type="http://schemas.openxmlformats.org/officeDocument/2006/relationships/hyperlink" Target="https://doi.org/10.1016/j.molcel.2024.06.008" TargetMode="External"/><Relationship Id="rId52" Type="http://schemas.openxmlformats.org/officeDocument/2006/relationships/hyperlink" Target="https://doi.org/10.1016/j.molcel.2024.06.008" TargetMode="External"/><Relationship Id="rId60" Type="http://schemas.openxmlformats.org/officeDocument/2006/relationships/hyperlink" Target="https://doi.org/10.1016/j.molcel.2024.06.008" TargetMode="External"/><Relationship Id="rId65" Type="http://schemas.openxmlformats.org/officeDocument/2006/relationships/hyperlink" Target="https://doi.org/10.1371/journal.pcbi.1012059" TargetMode="External"/><Relationship Id="rId73" Type="http://schemas.openxmlformats.org/officeDocument/2006/relationships/hyperlink" Target="https://doi.org/10.1371/journal.pcbi.1012059" TargetMode="External"/><Relationship Id="rId78" Type="http://schemas.openxmlformats.org/officeDocument/2006/relationships/hyperlink" Target="https://doi.org/10.1038/s41588-022-01223-8" TargetMode="External"/><Relationship Id="rId81" Type="http://schemas.openxmlformats.org/officeDocument/2006/relationships/hyperlink" Target="https://doi.org/10.1038/nsmb1280" TargetMode="External"/><Relationship Id="rId86"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371/journal.pcbi.1012059" TargetMode="External"/><Relationship Id="rId13" Type="http://schemas.openxmlformats.org/officeDocument/2006/relationships/hyperlink" Target="https://doi.org/10.1038/s41586-025-09832-z" TargetMode="External"/><Relationship Id="rId18" Type="http://schemas.openxmlformats.org/officeDocument/2006/relationships/hyperlink" Target="https://doi.org/10.1016/j.cell.2026.01.011" TargetMode="External"/><Relationship Id="rId39" Type="http://schemas.openxmlformats.org/officeDocument/2006/relationships/hyperlink" Target="https://doi.org/10.1016/j.molcel.2024.12.016" TargetMode="External"/><Relationship Id="rId34" Type="http://schemas.openxmlformats.org/officeDocument/2006/relationships/hyperlink" Target="https://doi.org/10.1038/s41588-022-01223-8" TargetMode="External"/><Relationship Id="rId50" Type="http://schemas.openxmlformats.org/officeDocument/2006/relationships/hyperlink" Target="https://doi.org/10.1038/s41586-024-07429-6" TargetMode="External"/><Relationship Id="rId55" Type="http://schemas.openxmlformats.org/officeDocument/2006/relationships/hyperlink" Target="https://doi.org/10.1371/journal.pcbi.1008999" TargetMode="External"/><Relationship Id="rId76" Type="http://schemas.openxmlformats.org/officeDocument/2006/relationships/hyperlink" Target="https://doi.org/10.1016/j.cell.2026.01.011" TargetMode="External"/><Relationship Id="rId7" Type="http://schemas.openxmlformats.org/officeDocument/2006/relationships/hyperlink" Target="https://doi.org/10.1038/385357a0" TargetMode="External"/><Relationship Id="rId71" Type="http://schemas.openxmlformats.org/officeDocument/2006/relationships/hyperlink" Target="https://doi.org/10.1038/385357a0" TargetMode="External"/><Relationship Id="rId2" Type="http://schemas.openxmlformats.org/officeDocument/2006/relationships/styles" Target="styles.xml"/><Relationship Id="rId29" Type="http://schemas.openxmlformats.org/officeDocument/2006/relationships/hyperlink" Target="https://doi.org/10.1083/jcb.201904046" TargetMode="External"/><Relationship Id="rId24" Type="http://schemas.openxmlformats.org/officeDocument/2006/relationships/hyperlink" Target="https://doi.org/10.1038/nrg3662" TargetMode="External"/><Relationship Id="rId40" Type="http://schemas.openxmlformats.org/officeDocument/2006/relationships/hyperlink" Target="https://doi.org/10.1016/j.molcel.2024.12.016" TargetMode="External"/><Relationship Id="rId45" Type="http://schemas.openxmlformats.org/officeDocument/2006/relationships/hyperlink" Target="https://doi.org/10.1126/science.1059493" TargetMode="External"/><Relationship Id="rId66" Type="http://schemas.openxmlformats.org/officeDocument/2006/relationships/hyperlink" Target="https://doi.org/10.1016/j.molcel.2024.06.008" TargetMode="External"/><Relationship Id="rId87" Type="http://schemas.openxmlformats.org/officeDocument/2006/relationships/footer" Target="footer1.xml"/><Relationship Id="rId61" Type="http://schemas.openxmlformats.org/officeDocument/2006/relationships/hyperlink" Target="https://doi.org/10.1093/emboj/19.24.6860" TargetMode="External"/><Relationship Id="rId82" Type="http://schemas.openxmlformats.org/officeDocument/2006/relationships/hyperlink" Target="https://doi.org/10.1083/jcb.201904046" TargetMode="External"/><Relationship Id="rId19" Type="http://schemas.openxmlformats.org/officeDocument/2006/relationships/hyperlink" Target="https://doi.org/10.1038/s41586-025-09832-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2829</Words>
  <Characters>17844</Characters>
  <Application>Microsoft Office Word</Application>
  <DocSecurity>0</DocSecurity>
  <Lines>292</Lines>
  <Paragraphs>95</Paragraphs>
  <ScaleCrop>false</ScaleCrop>
  <Company/>
  <LinksUpToDate>false</LinksUpToDate>
  <CharactersWithSpaces>20573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Orchestration of Eukaryotic Gene Expression</dc:title>
  <dc:subject>Molecular coupling, nuclear organization and the measured flow of RNA from synthesis to export</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2026-10-12T09:31:00Z</dcterms:modified>
</cp:coreProperties>
</file>