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E4801" w14:textId="77777777" w:rsidR="0033452F" w:rsidRDefault="00D66CB3">
      <w:pPr>
        <w:pStyle w:val="Title"/>
      </w:pPr>
      <w:r>
        <w:t>Histone modifications in neurodegeneration: disease associations, mechanisms and current evidence</w:t>
      </w:r>
    </w:p>
    <w:p w14:paraId="546D11B9" w14:textId="77777777" w:rsidR="0033452F" w:rsidRDefault="00D66CB3">
      <w:pPr>
        <w:pStyle w:val="Subtitle"/>
      </w:pPr>
      <w:r>
        <w:t>Alzheimer-related acetylation, polyglutamine models and mitochondrial Parkinson mechanisms, with cell-type and causal interpretation.</w:t>
      </w:r>
    </w:p>
    <w:p w14:paraId="774DCB5B" w14:textId="77777777" w:rsidR="0033452F" w:rsidRDefault="00D66CB3">
      <w:pPr>
        <w:spacing w:before="200" w:after="320"/>
      </w:pPr>
      <w:r>
        <w:rPr>
          <w:color w:val="087B78"/>
          <w:sz w:val="20"/>
          <w:szCs w:val="20"/>
        </w:rPr>
        <w:t>CellNucleus · Current research review · 12 October 2026</w:t>
      </w:r>
    </w:p>
    <w:p w14:paraId="7E7F6A80" w14:textId="77777777" w:rsidR="0033452F" w:rsidRDefault="00D66CB3">
      <w:pPr>
        <w:pStyle w:val="Heading1"/>
      </w:pPr>
      <w:bookmarkStart w:id="0" w:name="_Toc242668347"/>
      <w:r>
        <w:t>Abstract</w:t>
      </w:r>
      <w:bookmarkEnd w:id="0"/>
    </w:p>
    <w:p w14:paraId="7925A7DC" w14:textId="4A7EE7ED" w:rsidR="0033452F" w:rsidRDefault="00D66CB3">
      <w:r>
        <w:t>Histone modifications are implicated in neurodegeneration through human brain associations and experimentally perturbed cellular or animal models. The direction and interpretation of a change depend on the histone residue, genomic region, cell type and disease model. Alzheimer-related H3K9ac and H4K16ac studies, Huntington-related acetylation and methylation comparisons, and mitochondrial Parkinson models therefore should be synthesized as distinct evidence rather than one universal loss of histone acetylat</w:t>
      </w:r>
      <w:r>
        <w:t>ion.</w:t>
      </w:r>
      <w:hyperlink r:id="rId7" w:history="1">
        <w:r>
          <w:rPr>
            <w:color w:val="087B78"/>
            <w:sz w:val="18"/>
            <w:szCs w:val="18"/>
          </w:rPr>
          <w:t xml:space="preserve"> [4]</w:t>
        </w:r>
      </w:hyperlink>
      <w:hyperlink r:id="rId8" w:history="1">
        <w:r>
          <w:rPr>
            <w:color w:val="087B78"/>
            <w:sz w:val="18"/>
            <w:szCs w:val="18"/>
          </w:rPr>
          <w:t xml:space="preserve"> [5]</w:t>
        </w:r>
      </w:hyperlink>
      <w:hyperlink r:id="rId9" w:history="1">
        <w:r>
          <w:rPr>
            <w:color w:val="087B78"/>
            <w:sz w:val="18"/>
            <w:szCs w:val="18"/>
          </w:rPr>
          <w:t xml:space="preserve"> [9]</w:t>
        </w:r>
      </w:hyperlink>
      <w:hyperlink r:id="rId10" w:history="1">
        <w:r>
          <w:rPr>
            <w:color w:val="087B78"/>
            <w:sz w:val="18"/>
            <w:szCs w:val="18"/>
          </w:rPr>
          <w:t xml:space="preserve"> [10]</w:t>
        </w:r>
      </w:hyperlink>
      <w:hyperlink r:id="rId11" w:history="1">
        <w:r>
          <w:rPr>
            <w:color w:val="087B78"/>
            <w:sz w:val="18"/>
            <w:szCs w:val="18"/>
          </w:rPr>
          <w:t xml:space="preserve"> [11]</w:t>
        </w:r>
      </w:hyperlink>
    </w:p>
    <w:p w14:paraId="34A58A66" w14:textId="7E0D858E" w:rsidR="0033452F" w:rsidRDefault="00D66CB3">
      <w:r>
        <w:t>Recent contributions include reference-based cell-type inference for bulk brain acetylation and ACSS2 upregulation in preclinical tau and aging systems. These studies improve the resolution of mechanism and context, but they do not convert cross-sectional patient marks into causal trajectories or establish human treatment efficacy. A current account connects the actual chromatin measurement to an independent neuronal, molecular or behavioral outcome and retains the differences between models and human tissu</w:t>
      </w:r>
      <w:r>
        <w:t>e.</w:t>
      </w:r>
      <w:hyperlink r:id="rId12" w:history="1">
        <w:r>
          <w:rPr>
            <w:color w:val="087B78"/>
            <w:sz w:val="18"/>
            <w:szCs w:val="18"/>
          </w:rPr>
          <w:t xml:space="preserve"> [7]</w:t>
        </w:r>
      </w:hyperlink>
      <w:hyperlink r:id="rId13" w:history="1">
        <w:r>
          <w:rPr>
            <w:color w:val="087B78"/>
            <w:sz w:val="18"/>
            <w:szCs w:val="18"/>
          </w:rPr>
          <w:t xml:space="preserve"> [8]</w:t>
        </w:r>
      </w:hyperlink>
      <w:hyperlink r:id="rId14" w:history="1">
        <w:r>
          <w:rPr>
            <w:color w:val="087B78"/>
            <w:sz w:val="18"/>
            <w:szCs w:val="18"/>
          </w:rPr>
          <w:t xml:space="preserve"> [4]</w:t>
        </w:r>
      </w:hyperlink>
    </w:p>
    <w:p w14:paraId="4DBB3F0C" w14:textId="77777777" w:rsidR="0033452F" w:rsidRDefault="00D66CB3">
      <w:pPr>
        <w:pageBreakBefore/>
        <w:spacing w:before="330"/>
      </w:pPr>
      <w:r>
        <w:rPr>
          <w:b/>
          <w:bCs/>
          <w:color w:val="173B4C"/>
          <w:sz w:val="32"/>
          <w:szCs w:val="32"/>
        </w:rPr>
        <w:lastRenderedPageBreak/>
        <w:t>Contents</w:t>
      </w:r>
    </w:p>
    <w:sdt>
      <w:sdtPr>
        <w:alias w:val="Contents"/>
        <w:id w:val="-39051913"/>
      </w:sdtPr>
      <w:sdtEndPr/>
      <w:sdtContent>
        <w:p w14:paraId="3D744E56" w14:textId="30C66E5B" w:rsidR="00685036" w:rsidRDefault="00D66CB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668347" w:history="1">
            <w:r w:rsidR="00685036" w:rsidRPr="00134A9F">
              <w:rPr>
                <w:rStyle w:val="Hyperlink"/>
                <w:noProof/>
              </w:rPr>
              <w:t>Abstract</w:t>
            </w:r>
            <w:r w:rsidR="00685036">
              <w:rPr>
                <w:noProof/>
              </w:rPr>
              <w:tab/>
            </w:r>
            <w:r w:rsidR="00685036">
              <w:rPr>
                <w:noProof/>
              </w:rPr>
              <w:fldChar w:fldCharType="begin"/>
            </w:r>
            <w:r w:rsidR="00685036">
              <w:rPr>
                <w:noProof/>
              </w:rPr>
              <w:instrText xml:space="preserve"> PAGEREF _Toc242668347 \h </w:instrText>
            </w:r>
            <w:r w:rsidR="00685036">
              <w:rPr>
                <w:noProof/>
              </w:rPr>
            </w:r>
            <w:r w:rsidR="00685036">
              <w:rPr>
                <w:noProof/>
              </w:rPr>
              <w:fldChar w:fldCharType="separate"/>
            </w:r>
            <w:r w:rsidR="00685036">
              <w:rPr>
                <w:noProof/>
              </w:rPr>
              <w:t>1</w:t>
            </w:r>
            <w:r w:rsidR="00685036">
              <w:rPr>
                <w:noProof/>
              </w:rPr>
              <w:fldChar w:fldCharType="end"/>
            </w:r>
          </w:hyperlink>
        </w:p>
        <w:p w14:paraId="31EE0871" w14:textId="3B75BE8D" w:rsidR="00685036" w:rsidRDefault="006850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8" w:history="1">
            <w:r w:rsidRPr="00134A9F">
              <w:rPr>
                <w:rStyle w:val="Hyperlink"/>
                <w:noProof/>
              </w:rPr>
              <w:t>1. What a histone change can mean in a diseased brain</w:t>
            </w:r>
            <w:r>
              <w:rPr>
                <w:noProof/>
              </w:rPr>
              <w:tab/>
            </w:r>
            <w:r>
              <w:rPr>
                <w:noProof/>
              </w:rPr>
              <w:fldChar w:fldCharType="begin"/>
            </w:r>
            <w:r>
              <w:rPr>
                <w:noProof/>
              </w:rPr>
              <w:instrText xml:space="preserve"> PAGEREF _Toc242668348 \h </w:instrText>
            </w:r>
            <w:r>
              <w:rPr>
                <w:noProof/>
              </w:rPr>
            </w:r>
            <w:r>
              <w:rPr>
                <w:noProof/>
              </w:rPr>
              <w:fldChar w:fldCharType="separate"/>
            </w:r>
            <w:r>
              <w:rPr>
                <w:noProof/>
              </w:rPr>
              <w:t>2</w:t>
            </w:r>
            <w:r>
              <w:rPr>
                <w:noProof/>
              </w:rPr>
              <w:fldChar w:fldCharType="end"/>
            </w:r>
          </w:hyperlink>
        </w:p>
        <w:p w14:paraId="13C6B0AB" w14:textId="603C362A" w:rsidR="00685036" w:rsidRDefault="006850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9" w:history="1">
            <w:r w:rsidRPr="00134A9F">
              <w:rPr>
                <w:rStyle w:val="Hyperlink"/>
                <w:noProof/>
              </w:rPr>
              <w:t>2. Human Alzheimer-related H3K9 acetylation</w:t>
            </w:r>
            <w:r>
              <w:rPr>
                <w:noProof/>
              </w:rPr>
              <w:tab/>
            </w:r>
            <w:r>
              <w:rPr>
                <w:noProof/>
              </w:rPr>
              <w:fldChar w:fldCharType="begin"/>
            </w:r>
            <w:r>
              <w:rPr>
                <w:noProof/>
              </w:rPr>
              <w:instrText xml:space="preserve"> PAGEREF _Toc242668349 \h </w:instrText>
            </w:r>
            <w:r>
              <w:rPr>
                <w:noProof/>
              </w:rPr>
            </w:r>
            <w:r>
              <w:rPr>
                <w:noProof/>
              </w:rPr>
              <w:fldChar w:fldCharType="separate"/>
            </w:r>
            <w:r>
              <w:rPr>
                <w:noProof/>
              </w:rPr>
              <w:t>3</w:t>
            </w:r>
            <w:r>
              <w:rPr>
                <w:noProof/>
              </w:rPr>
              <w:fldChar w:fldCharType="end"/>
            </w:r>
          </w:hyperlink>
        </w:p>
        <w:p w14:paraId="48744CE3" w14:textId="17DDAE48" w:rsidR="00685036" w:rsidRDefault="006850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0" w:history="1">
            <w:r w:rsidRPr="00134A9F">
              <w:rPr>
                <w:rStyle w:val="Hyperlink"/>
                <w:noProof/>
              </w:rPr>
              <w:t>3. Aging and Alzheimer-related H4K16 acetylation</w:t>
            </w:r>
            <w:r>
              <w:rPr>
                <w:noProof/>
              </w:rPr>
              <w:tab/>
            </w:r>
            <w:r>
              <w:rPr>
                <w:noProof/>
              </w:rPr>
              <w:fldChar w:fldCharType="begin"/>
            </w:r>
            <w:r>
              <w:rPr>
                <w:noProof/>
              </w:rPr>
              <w:instrText xml:space="preserve"> PAGEREF _Toc242668350 \h </w:instrText>
            </w:r>
            <w:r>
              <w:rPr>
                <w:noProof/>
              </w:rPr>
            </w:r>
            <w:r>
              <w:rPr>
                <w:noProof/>
              </w:rPr>
              <w:fldChar w:fldCharType="separate"/>
            </w:r>
            <w:r>
              <w:rPr>
                <w:noProof/>
              </w:rPr>
              <w:t>3</w:t>
            </w:r>
            <w:r>
              <w:rPr>
                <w:noProof/>
              </w:rPr>
              <w:fldChar w:fldCharType="end"/>
            </w:r>
          </w:hyperlink>
        </w:p>
        <w:p w14:paraId="30B68638" w14:textId="26BF5689" w:rsidR="00685036" w:rsidRDefault="006850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1" w:history="1">
            <w:r w:rsidRPr="00134A9F">
              <w:rPr>
                <w:rStyle w:val="Hyperlink"/>
                <w:noProof/>
              </w:rPr>
              <w:t>4. Cell-type composition is a substantive interpretation problem</w:t>
            </w:r>
            <w:r>
              <w:rPr>
                <w:noProof/>
              </w:rPr>
              <w:tab/>
            </w:r>
            <w:r>
              <w:rPr>
                <w:noProof/>
              </w:rPr>
              <w:fldChar w:fldCharType="begin"/>
            </w:r>
            <w:r>
              <w:rPr>
                <w:noProof/>
              </w:rPr>
              <w:instrText xml:space="preserve"> PAGEREF _Toc242668351 \h </w:instrText>
            </w:r>
            <w:r>
              <w:rPr>
                <w:noProof/>
              </w:rPr>
            </w:r>
            <w:r>
              <w:rPr>
                <w:noProof/>
              </w:rPr>
              <w:fldChar w:fldCharType="separate"/>
            </w:r>
            <w:r>
              <w:rPr>
                <w:noProof/>
              </w:rPr>
              <w:t>4</w:t>
            </w:r>
            <w:r>
              <w:rPr>
                <w:noProof/>
              </w:rPr>
              <w:fldChar w:fldCharType="end"/>
            </w:r>
          </w:hyperlink>
        </w:p>
        <w:p w14:paraId="6547DF71" w14:textId="42FCE9EF" w:rsidR="00685036" w:rsidRDefault="006850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2" w:history="1">
            <w:r w:rsidRPr="00134A9F">
              <w:rPr>
                <w:rStyle w:val="Hyperlink"/>
                <w:noProof/>
              </w:rPr>
              <w:t>5. Polyglutamine models connect chromatin regulators to degeneration</w:t>
            </w:r>
            <w:r>
              <w:rPr>
                <w:noProof/>
              </w:rPr>
              <w:tab/>
            </w:r>
            <w:r>
              <w:rPr>
                <w:noProof/>
              </w:rPr>
              <w:fldChar w:fldCharType="begin"/>
            </w:r>
            <w:r>
              <w:rPr>
                <w:noProof/>
              </w:rPr>
              <w:instrText xml:space="preserve"> PAGEREF _Toc242668352 \h </w:instrText>
            </w:r>
            <w:r>
              <w:rPr>
                <w:noProof/>
              </w:rPr>
            </w:r>
            <w:r>
              <w:rPr>
                <w:noProof/>
              </w:rPr>
              <w:fldChar w:fldCharType="separate"/>
            </w:r>
            <w:r>
              <w:rPr>
                <w:noProof/>
              </w:rPr>
              <w:t>4</w:t>
            </w:r>
            <w:r>
              <w:rPr>
                <w:noProof/>
              </w:rPr>
              <w:fldChar w:fldCharType="end"/>
            </w:r>
          </w:hyperlink>
        </w:p>
        <w:p w14:paraId="1153EEBC" w14:textId="5E641A69" w:rsidR="00685036" w:rsidRDefault="006850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3" w:history="1">
            <w:r w:rsidRPr="00134A9F">
              <w:rPr>
                <w:rStyle w:val="Hyperlink"/>
                <w:noProof/>
              </w:rPr>
              <w:t>6. Mitochondrial Parkinson models show residue-specific hyperacetylation</w:t>
            </w:r>
            <w:r>
              <w:rPr>
                <w:noProof/>
              </w:rPr>
              <w:tab/>
            </w:r>
            <w:r>
              <w:rPr>
                <w:noProof/>
              </w:rPr>
              <w:fldChar w:fldCharType="begin"/>
            </w:r>
            <w:r>
              <w:rPr>
                <w:noProof/>
              </w:rPr>
              <w:instrText xml:space="preserve"> PAGEREF _Toc242668353 \h </w:instrText>
            </w:r>
            <w:r>
              <w:rPr>
                <w:noProof/>
              </w:rPr>
            </w:r>
            <w:r>
              <w:rPr>
                <w:noProof/>
              </w:rPr>
              <w:fldChar w:fldCharType="separate"/>
            </w:r>
            <w:r>
              <w:rPr>
                <w:noProof/>
              </w:rPr>
              <w:t>5</w:t>
            </w:r>
            <w:r>
              <w:rPr>
                <w:noProof/>
              </w:rPr>
              <w:fldChar w:fldCharType="end"/>
            </w:r>
          </w:hyperlink>
        </w:p>
        <w:p w14:paraId="5BFA5F5D" w14:textId="1E3D8C0C" w:rsidR="00685036" w:rsidRDefault="006850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4" w:history="1">
            <w:r w:rsidRPr="00134A9F">
              <w:rPr>
                <w:rStyle w:val="Hyperlink"/>
                <w:noProof/>
              </w:rPr>
              <w:t>7. A current metabolic intervention in tau and aging models</w:t>
            </w:r>
            <w:r>
              <w:rPr>
                <w:noProof/>
              </w:rPr>
              <w:tab/>
            </w:r>
            <w:r>
              <w:rPr>
                <w:noProof/>
              </w:rPr>
              <w:fldChar w:fldCharType="begin"/>
            </w:r>
            <w:r>
              <w:rPr>
                <w:noProof/>
              </w:rPr>
              <w:instrText xml:space="preserve"> PAGEREF _Toc242668354 \h </w:instrText>
            </w:r>
            <w:r>
              <w:rPr>
                <w:noProof/>
              </w:rPr>
            </w:r>
            <w:r>
              <w:rPr>
                <w:noProof/>
              </w:rPr>
              <w:fldChar w:fldCharType="separate"/>
            </w:r>
            <w:r>
              <w:rPr>
                <w:noProof/>
              </w:rPr>
              <w:t>5</w:t>
            </w:r>
            <w:r>
              <w:rPr>
                <w:noProof/>
              </w:rPr>
              <w:fldChar w:fldCharType="end"/>
            </w:r>
          </w:hyperlink>
        </w:p>
        <w:p w14:paraId="2F294E0D" w14:textId="3A4D2327" w:rsidR="00685036" w:rsidRDefault="006850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5" w:history="1">
            <w:r w:rsidRPr="00134A9F">
              <w:rPr>
                <w:rStyle w:val="Hyperlink"/>
                <w:noProof/>
              </w:rPr>
              <w:t>8. Measuring chemical state and neuronal consequence</w:t>
            </w:r>
            <w:r>
              <w:rPr>
                <w:noProof/>
              </w:rPr>
              <w:tab/>
            </w:r>
            <w:r>
              <w:rPr>
                <w:noProof/>
              </w:rPr>
              <w:fldChar w:fldCharType="begin"/>
            </w:r>
            <w:r>
              <w:rPr>
                <w:noProof/>
              </w:rPr>
              <w:instrText xml:space="preserve"> PAGEREF _Toc242668355 \h </w:instrText>
            </w:r>
            <w:r>
              <w:rPr>
                <w:noProof/>
              </w:rPr>
            </w:r>
            <w:r>
              <w:rPr>
                <w:noProof/>
              </w:rPr>
              <w:fldChar w:fldCharType="separate"/>
            </w:r>
            <w:r>
              <w:rPr>
                <w:noProof/>
              </w:rPr>
              <w:t>6</w:t>
            </w:r>
            <w:r>
              <w:rPr>
                <w:noProof/>
              </w:rPr>
              <w:fldChar w:fldCharType="end"/>
            </w:r>
          </w:hyperlink>
        </w:p>
        <w:p w14:paraId="5EA40557" w14:textId="0F772EB6" w:rsidR="00685036" w:rsidRDefault="006850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6" w:history="1">
            <w:r w:rsidRPr="00134A9F">
              <w:rPr>
                <w:rStyle w:val="Hyperlink"/>
                <w:noProof/>
              </w:rPr>
              <w:t>9. Evidence comparison for current interpretation</w:t>
            </w:r>
            <w:r>
              <w:rPr>
                <w:noProof/>
              </w:rPr>
              <w:tab/>
            </w:r>
            <w:r>
              <w:rPr>
                <w:noProof/>
              </w:rPr>
              <w:fldChar w:fldCharType="begin"/>
            </w:r>
            <w:r>
              <w:rPr>
                <w:noProof/>
              </w:rPr>
              <w:instrText xml:space="preserve"> PAGEREF _Toc242668356 \h </w:instrText>
            </w:r>
            <w:r>
              <w:rPr>
                <w:noProof/>
              </w:rPr>
            </w:r>
            <w:r>
              <w:rPr>
                <w:noProof/>
              </w:rPr>
              <w:fldChar w:fldCharType="separate"/>
            </w:r>
            <w:r>
              <w:rPr>
                <w:noProof/>
              </w:rPr>
              <w:t>7</w:t>
            </w:r>
            <w:r>
              <w:rPr>
                <w:noProof/>
              </w:rPr>
              <w:fldChar w:fldCharType="end"/>
            </w:r>
          </w:hyperlink>
        </w:p>
        <w:p w14:paraId="556DB26C" w14:textId="5A02F915" w:rsidR="00685036" w:rsidRDefault="006850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7" w:history="1">
            <w:r w:rsidRPr="00134A9F">
              <w:rPr>
                <w:rStyle w:val="Hyperlink"/>
                <w:noProof/>
              </w:rPr>
              <w:t>10. Synthesis and research priorities</w:t>
            </w:r>
            <w:r>
              <w:rPr>
                <w:noProof/>
              </w:rPr>
              <w:tab/>
            </w:r>
            <w:r>
              <w:rPr>
                <w:noProof/>
              </w:rPr>
              <w:fldChar w:fldCharType="begin"/>
            </w:r>
            <w:r>
              <w:rPr>
                <w:noProof/>
              </w:rPr>
              <w:instrText xml:space="preserve"> PAGEREF _Toc242668357 \h </w:instrText>
            </w:r>
            <w:r>
              <w:rPr>
                <w:noProof/>
              </w:rPr>
            </w:r>
            <w:r>
              <w:rPr>
                <w:noProof/>
              </w:rPr>
              <w:fldChar w:fldCharType="separate"/>
            </w:r>
            <w:r>
              <w:rPr>
                <w:noProof/>
              </w:rPr>
              <w:t>7</w:t>
            </w:r>
            <w:r>
              <w:rPr>
                <w:noProof/>
              </w:rPr>
              <w:fldChar w:fldCharType="end"/>
            </w:r>
          </w:hyperlink>
        </w:p>
        <w:p w14:paraId="6C62AE93" w14:textId="74A274E2" w:rsidR="00685036" w:rsidRDefault="006850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8" w:history="1">
            <w:r w:rsidRPr="00134A9F">
              <w:rPr>
                <w:rStyle w:val="Hyperlink"/>
                <w:noProof/>
              </w:rPr>
              <w:t>References</w:t>
            </w:r>
            <w:r>
              <w:rPr>
                <w:noProof/>
              </w:rPr>
              <w:tab/>
            </w:r>
            <w:r>
              <w:rPr>
                <w:noProof/>
              </w:rPr>
              <w:fldChar w:fldCharType="begin"/>
            </w:r>
            <w:r>
              <w:rPr>
                <w:noProof/>
              </w:rPr>
              <w:instrText xml:space="preserve"> PAGEREF _Toc242668358 \h </w:instrText>
            </w:r>
            <w:r>
              <w:rPr>
                <w:noProof/>
              </w:rPr>
            </w:r>
            <w:r>
              <w:rPr>
                <w:noProof/>
              </w:rPr>
              <w:fldChar w:fldCharType="separate"/>
            </w:r>
            <w:r>
              <w:rPr>
                <w:noProof/>
              </w:rPr>
              <w:t>8</w:t>
            </w:r>
            <w:r>
              <w:rPr>
                <w:noProof/>
              </w:rPr>
              <w:fldChar w:fldCharType="end"/>
            </w:r>
          </w:hyperlink>
        </w:p>
        <w:p w14:paraId="20D03956" w14:textId="7F3E7C56" w:rsidR="00685036" w:rsidRDefault="006850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9" w:history="1">
            <w:r w:rsidRPr="00134A9F">
              <w:rPr>
                <w:rStyle w:val="Hyperlink"/>
                <w:noProof/>
              </w:rPr>
              <w:t>Evidence scope</w:t>
            </w:r>
            <w:r>
              <w:rPr>
                <w:noProof/>
              </w:rPr>
              <w:tab/>
            </w:r>
            <w:r>
              <w:rPr>
                <w:noProof/>
              </w:rPr>
              <w:fldChar w:fldCharType="begin"/>
            </w:r>
            <w:r>
              <w:rPr>
                <w:noProof/>
              </w:rPr>
              <w:instrText xml:space="preserve"> PAGEREF _Toc242668359 \h </w:instrText>
            </w:r>
            <w:r>
              <w:rPr>
                <w:noProof/>
              </w:rPr>
            </w:r>
            <w:r>
              <w:rPr>
                <w:noProof/>
              </w:rPr>
              <w:fldChar w:fldCharType="separate"/>
            </w:r>
            <w:r>
              <w:rPr>
                <w:noProof/>
              </w:rPr>
              <w:t>8</w:t>
            </w:r>
            <w:r>
              <w:rPr>
                <w:noProof/>
              </w:rPr>
              <w:fldChar w:fldCharType="end"/>
            </w:r>
          </w:hyperlink>
        </w:p>
        <w:p w14:paraId="66217233" w14:textId="6F345C80" w:rsidR="0033452F" w:rsidRDefault="00D66CB3">
          <w:r>
            <w:fldChar w:fldCharType="end"/>
          </w:r>
        </w:p>
      </w:sdtContent>
    </w:sdt>
    <w:p w14:paraId="2C270C42" w14:textId="77777777" w:rsidR="0033452F" w:rsidRDefault="00D66CB3">
      <w:pPr>
        <w:pStyle w:val="Heading1"/>
      </w:pPr>
      <w:bookmarkStart w:id="1" w:name="_Toc242668348"/>
      <w:r>
        <w:t>1. What a histone change can mean in a diseased brain</w:t>
      </w:r>
      <w:bookmarkEnd w:id="1"/>
    </w:p>
    <w:p w14:paraId="710E11DF" w14:textId="13FCF5E1" w:rsidR="0033452F" w:rsidRDefault="00D66CB3">
      <w:r>
        <w:t>A histone modification is a chemical state of chromatin, measured at a specific level of resolution. Brain-tissue profiling can establish enrichment at genomic regions or global abundance, while a model intervention can test whether changing a regulator alters a phenotype. These questions are related but not identical. The strongest interpretation names the mark and specimen first, then distinguishes disease association, perturbation response and a proposed molecular link between them.</w:t>
      </w:r>
      <w:hyperlink r:id="rId15" w:history="1">
        <w:r>
          <w:rPr>
            <w:color w:val="087B78"/>
            <w:sz w:val="18"/>
            <w:szCs w:val="18"/>
          </w:rPr>
          <w:t xml:space="preserve"> [4]</w:t>
        </w:r>
      </w:hyperlink>
      <w:hyperlink r:id="rId16" w:history="1">
        <w:r>
          <w:rPr>
            <w:color w:val="087B78"/>
            <w:sz w:val="18"/>
            <w:szCs w:val="18"/>
          </w:rPr>
          <w:t xml:space="preserve"> [5]</w:t>
        </w:r>
      </w:hyperlink>
      <w:hyperlink r:id="rId17" w:history="1">
        <w:r>
          <w:rPr>
            <w:color w:val="087B78"/>
            <w:sz w:val="18"/>
            <w:szCs w:val="18"/>
          </w:rPr>
          <w:t xml:space="preserve"> [9]</w:t>
        </w:r>
      </w:hyperlink>
    </w:p>
    <w:p w14:paraId="43D0864E" w14:textId="28E2C748" w:rsidR="0033452F" w:rsidRDefault="00D66CB3">
      <w:r>
        <w:t>The residue matters. H4K16 acetylation directly alters array interactions in a defined biochemical system, H3K9ac marks genomic regions in the aging-brain study, and H3K27ac responds to mitochondrial perturbation in dopaminergic models. One acetylation result does not represent every histone lysine. Nor does a global increase or decrease identify the particular regulatory elements responsible for a neuronal phenotype. Chemical identity and genomic resolution must remain visible in the explanation.</w:t>
      </w:r>
      <w:hyperlink r:id="rId18" w:history="1">
        <w:r>
          <w:rPr>
            <w:color w:val="087B78"/>
            <w:sz w:val="18"/>
            <w:szCs w:val="18"/>
          </w:rPr>
          <w:t xml:space="preserve"> [1]</w:t>
        </w:r>
      </w:hyperlink>
      <w:hyperlink r:id="rId19" w:history="1">
        <w:r>
          <w:rPr>
            <w:color w:val="087B78"/>
            <w:sz w:val="18"/>
            <w:szCs w:val="18"/>
          </w:rPr>
          <w:t xml:space="preserve"> [4]</w:t>
        </w:r>
      </w:hyperlink>
      <w:hyperlink r:id="rId20" w:history="1">
        <w:r>
          <w:rPr>
            <w:color w:val="087B78"/>
            <w:sz w:val="18"/>
            <w:szCs w:val="18"/>
          </w:rPr>
          <w:t xml:space="preserve"> [11]</w:t>
        </w:r>
      </w:hyperlink>
    </w:p>
    <w:p w14:paraId="31BD4690" w14:textId="792450B1" w:rsidR="0033452F" w:rsidRDefault="00D66CB3">
      <w:r>
        <w:t>Disease models also isolate different components of a disorder. Huntingtin-exon-1 expression, mouse tau overexpression and chemically or genetically impaired mitochondria each supply controlled perturbations but do not reproduce the complete human condition. Agreement with a patient-tissue association strengthens relevance; disagreement can reveal model or cellular-context dependence. It should prompt a more specific mechanistic hypothesis rather than averaging the findings into an unsupported general direc</w:t>
      </w:r>
      <w:r>
        <w:t>tion.</w:t>
      </w:r>
      <w:hyperlink r:id="rId21" w:history="1">
        <w:r>
          <w:rPr>
            <w:color w:val="087B78"/>
            <w:sz w:val="18"/>
            <w:szCs w:val="18"/>
          </w:rPr>
          <w:t xml:space="preserve"> [9]</w:t>
        </w:r>
      </w:hyperlink>
      <w:hyperlink r:id="rId22" w:history="1">
        <w:r>
          <w:rPr>
            <w:color w:val="087B78"/>
            <w:sz w:val="18"/>
            <w:szCs w:val="18"/>
          </w:rPr>
          <w:t xml:space="preserve"> [8]</w:t>
        </w:r>
      </w:hyperlink>
      <w:hyperlink r:id="rId23" w:history="1">
        <w:r>
          <w:rPr>
            <w:color w:val="087B78"/>
            <w:sz w:val="18"/>
            <w:szCs w:val="18"/>
          </w:rPr>
          <w:t xml:space="preserve"> [11]</w:t>
        </w:r>
      </w:hyperlink>
      <w:hyperlink r:id="rId24" w:history="1">
        <w:r>
          <w:rPr>
            <w:color w:val="087B78"/>
            <w:sz w:val="18"/>
            <w:szCs w:val="18"/>
          </w:rPr>
          <w:t xml:space="preserve"> [4]</w:t>
        </w:r>
      </w:hyperlink>
    </w:p>
    <w:p w14:paraId="4548CF30" w14:textId="77777777" w:rsidR="0033452F" w:rsidRDefault="00D66CB3">
      <w:pPr>
        <w:pStyle w:val="Heading1"/>
      </w:pPr>
      <w:bookmarkStart w:id="2" w:name="_Toc242668349"/>
      <w:r>
        <w:lastRenderedPageBreak/>
        <w:t>2. Human Alzheimer-related H3K9 acetylation</w:t>
      </w:r>
      <w:bookmarkEnd w:id="2"/>
    </w:p>
    <w:p w14:paraId="15414C37" w14:textId="6F3B2F57" w:rsidR="0033452F" w:rsidRDefault="00D66CB3">
      <w:r>
        <w:t>Klein and colleagues profiled H3K9ac in postmortem dorsolateral prefrontal-cortex gray matter from 669 participants in the Religious Orders Study and Memory and Aging Project. Joint statistical comparisons associated substantially more regions with tau pathology than with amyloid burden. This large human dataset establishes disease-related acetylation patterns in a defined cortical specimen, while remaining a cross-sectional observation rather than a within-person sequence of cause and consequence.</w:t>
      </w:r>
      <w:hyperlink r:id="rId25" w:history="1">
        <w:r>
          <w:rPr>
            <w:color w:val="087B78"/>
            <w:sz w:val="18"/>
            <w:szCs w:val="18"/>
          </w:rPr>
          <w:t xml:space="preserve"> [4]</w:t>
        </w:r>
      </w:hyperlink>
    </w:p>
    <w:p w14:paraId="0515A36A" w14:textId="66844C8A" w:rsidR="0033452F" w:rsidRDefault="00D66CB3">
      <w:r>
        <w:t>Tau-associated changes were organized into broad genomic segments and related to compartment and lamina annotations. The reference compartment map came from fetal-brain Hi-C, and the lamina map from a fibrosarcoma cell line. Those annotations support comparison with genomic organizational context; they do not directly measure the architecture of each participant’s neurons. A claim that the patients themselves had a specific compartment shift would require patient-matched structural data.</w:t>
      </w:r>
      <w:hyperlink r:id="rId26" w:history="1">
        <w:r>
          <w:rPr>
            <w:color w:val="087B78"/>
            <w:sz w:val="18"/>
            <w:szCs w:val="18"/>
          </w:rPr>
          <w:t xml:space="preserve"> [4]</w:t>
        </w:r>
      </w:hyperlink>
    </w:p>
    <w:p w14:paraId="2A2ACD49" w14:textId="5417378F" w:rsidR="0033452F" w:rsidRDefault="00D66CB3">
      <w:r>
        <w:t>Expression comparisons provided partial concordance with the broad epigenomic patterns, including observations in isolated neurons, while individual-transcript effects showed limited concordance. The study also included model comparisons with directions that differed from human tissue. These details argue against a one-step interpretation in which every tau-associated H3K9ac change directly drives a matching transcript change. The dataset is most informative for regional association and for generating mecha</w:t>
      </w:r>
      <w:r>
        <w:t>nisms that can be tested independently.</w:t>
      </w:r>
      <w:hyperlink r:id="rId27" w:history="1">
        <w:r>
          <w:rPr>
            <w:color w:val="087B78"/>
            <w:sz w:val="18"/>
            <w:szCs w:val="18"/>
          </w:rPr>
          <w:t xml:space="preserve"> [4]</w:t>
        </w:r>
      </w:hyperlink>
    </w:p>
    <w:p w14:paraId="471230B4" w14:textId="77777777" w:rsidR="0033452F" w:rsidRDefault="00D66CB3">
      <w:pPr>
        <w:pStyle w:val="Heading1"/>
      </w:pPr>
      <w:bookmarkStart w:id="3" w:name="_Toc242668350"/>
      <w:r>
        <w:t>3. Aging and Alzheimer-related H4K16 acetylation</w:t>
      </w:r>
      <w:bookmarkEnd w:id="3"/>
    </w:p>
    <w:p w14:paraId="1FE3324C" w14:textId="43062E23" w:rsidR="0033452F" w:rsidRDefault="00D66CB3">
      <w:r>
        <w:t>Nativio and colleagues compared H4K16ac profiles in human lateral temporal-lobe samples from Alzheimer individuals and younger or elderly cognitively normal controls. The original abstract reports enrichment with normal aging and a distinct Alzheimer-related pattern that disrupts part of that trajectory. This is a residue- and tissue-specific observation. It does not establish one acetylation direction across all cortical regions or a longitudinal progression within any one participant.</w:t>
      </w:r>
      <w:hyperlink r:id="rId28" w:history="1">
        <w:r>
          <w:rPr>
            <w:color w:val="087B78"/>
            <w:sz w:val="18"/>
            <w:szCs w:val="18"/>
          </w:rPr>
          <w:t xml:space="preserve"> [5]</w:t>
        </w:r>
      </w:hyperlink>
    </w:p>
    <w:p w14:paraId="6A0D5D55" w14:textId="3FEBB2C0" w:rsidR="0033452F" w:rsidRDefault="00D66CB3">
      <w:r>
        <w:t>The biochemical H4K16 experiment provides a plausible physical route through which that residue can influence chromatin interactions, but the human profile does not directly reproduce the purified-array result. A disease-associated occupancy difference could reflect multiple molecular and cellular processes. Connecting the two requires measurement of the relevant structural or regulatory change in the human or matched model context, rather than using a known in-vitro effect as proof of a patient mechanism.</w:t>
      </w:r>
      <w:hyperlink r:id="rId29" w:history="1">
        <w:r>
          <w:rPr>
            <w:color w:val="087B78"/>
            <w:sz w:val="18"/>
            <w:szCs w:val="18"/>
          </w:rPr>
          <w:t xml:space="preserve"> [5]</w:t>
        </w:r>
      </w:hyperlink>
      <w:hyperlink r:id="rId30" w:history="1">
        <w:r>
          <w:rPr>
            <w:color w:val="087B78"/>
            <w:sz w:val="18"/>
            <w:szCs w:val="18"/>
          </w:rPr>
          <w:t xml:space="preserve"> [1]</w:t>
        </w:r>
      </w:hyperlink>
    </w:p>
    <w:p w14:paraId="1DC269E9" w14:textId="303589AC" w:rsidR="0033452F" w:rsidRDefault="00D66CB3">
      <w:r>
        <w:t>The linked publisher correction concerns an author’s given name, Alexandre Amlie-Wolf, and does not describe a change to the H4K16ac results or conclusions. Keeping the notice attached to the original study maintains bibliographic accuracy without treating the correction as a new experiment. Detailed specimen counts and covariate results beyond the inspected abstract are not used to extend the claim in this narrative.</w:t>
      </w:r>
      <w:hyperlink r:id="rId31" w:history="1">
        <w:r>
          <w:rPr>
            <w:color w:val="087B78"/>
            <w:sz w:val="18"/>
            <w:szCs w:val="18"/>
          </w:rPr>
          <w:t xml:space="preserve"> [5]</w:t>
        </w:r>
      </w:hyperlink>
      <w:hyperlink r:id="rId32" w:history="1">
        <w:r>
          <w:rPr>
            <w:color w:val="087B78"/>
            <w:sz w:val="18"/>
            <w:szCs w:val="18"/>
          </w:rPr>
          <w:t xml:space="preserve"> [6]</w:t>
        </w:r>
      </w:hyperlink>
    </w:p>
    <w:p w14:paraId="4665D5ED" w14:textId="77777777" w:rsidR="0033452F" w:rsidRDefault="00D66CB3">
      <w:pPr>
        <w:pStyle w:val="Heading1"/>
      </w:pPr>
      <w:bookmarkStart w:id="4" w:name="_Toc242668351"/>
      <w:r>
        <w:lastRenderedPageBreak/>
        <w:t>4. Cell-type composition is a substantive interpretation problem</w:t>
      </w:r>
      <w:bookmarkEnd w:id="4"/>
    </w:p>
    <w:p w14:paraId="4BCCCD79" w14:textId="47771C35" w:rsidR="0033452F" w:rsidRDefault="00D66CB3">
      <w:r>
        <w:t>Bulk brain material combines cells whose chromatin states can differ, so a disease-associated profile can contain both within-cell changes and changes in the cellular mixture. The CHAS study developed reference-based inference of cell-type-specific signatures from bulk histone-acetylation datasets. This adds a way to examine that mixture rather than assume every observed peak difference reflects the same neuronal population. Its inference remains tied to the reference information used by the model.</w:t>
      </w:r>
      <w:hyperlink r:id="rId33" w:history="1">
        <w:r>
          <w:rPr>
            <w:color w:val="087B78"/>
            <w:sz w:val="18"/>
            <w:szCs w:val="18"/>
          </w:rPr>
          <w:t xml:space="preserve"> [7]</w:t>
        </w:r>
      </w:hyperlink>
    </w:p>
    <w:p w14:paraId="0AF375C6" w14:textId="7A07CD55" w:rsidR="0033452F" w:rsidRDefault="00D66CB3">
      <w:r>
        <w:t>Reference-based deconvolution does not physically isolate cells or directly observe each cell’s modified nucleosomes. A missing or mismatched cell state in the reference can affect the inferred allocation. The method is therefore valuable as a complementary analysis, with its assumptions retained. Direct sorted-cell or single-cell experiments can answer related questions, while they introduce their own sampling and state-definition requirements; the CHAS result does not make these readouts equivalent.</w:t>
      </w:r>
      <w:hyperlink r:id="rId34" w:history="1">
        <w:r>
          <w:rPr>
            <w:color w:val="087B78"/>
            <w:sz w:val="18"/>
            <w:szCs w:val="18"/>
          </w:rPr>
          <w:t xml:space="preserve"> [7]</w:t>
        </w:r>
      </w:hyperlink>
    </w:p>
    <w:p w14:paraId="38F9E61A" w14:textId="2C198BFA" w:rsidR="0033452F" w:rsidRDefault="00D66CB3">
      <w:r>
        <w:t>This helps reconcile apparently different disease-associated directions. Two tissues or datasets may emphasize different regions, chemical marks and cellular components. The human Alzheimer studies and the mitochondrial Parkinson experiments consequently should be compared with their specimens intact. A mechanistic synthesis asks whether a specific cellular state and residue recur across measurements, rather than concluding that a mixed tissue is globally hyperacetylated or hypoacetylated in every biologica</w:t>
      </w:r>
      <w:r>
        <w:t>lly relevant sense.</w:t>
      </w:r>
      <w:hyperlink r:id="rId35" w:history="1">
        <w:r>
          <w:rPr>
            <w:color w:val="087B78"/>
            <w:sz w:val="18"/>
            <w:szCs w:val="18"/>
          </w:rPr>
          <w:t xml:space="preserve"> [7]</w:t>
        </w:r>
      </w:hyperlink>
      <w:hyperlink r:id="rId36" w:history="1">
        <w:r>
          <w:rPr>
            <w:color w:val="087B78"/>
            <w:sz w:val="18"/>
            <w:szCs w:val="18"/>
          </w:rPr>
          <w:t xml:space="preserve"> [4]</w:t>
        </w:r>
      </w:hyperlink>
      <w:hyperlink r:id="rId37" w:history="1">
        <w:r>
          <w:rPr>
            <w:color w:val="087B78"/>
            <w:sz w:val="18"/>
            <w:szCs w:val="18"/>
          </w:rPr>
          <w:t xml:space="preserve"> [5]</w:t>
        </w:r>
      </w:hyperlink>
      <w:hyperlink r:id="rId38" w:history="1">
        <w:r>
          <w:rPr>
            <w:color w:val="087B78"/>
            <w:sz w:val="18"/>
            <w:szCs w:val="18"/>
          </w:rPr>
          <w:t xml:space="preserve"> [11]</w:t>
        </w:r>
      </w:hyperlink>
    </w:p>
    <w:p w14:paraId="65FD3D9F" w14:textId="77777777" w:rsidR="0033452F" w:rsidRDefault="00D66CB3">
      <w:pPr>
        <w:pStyle w:val="Heading1"/>
      </w:pPr>
      <w:bookmarkStart w:id="5" w:name="_Toc242668352"/>
      <w:r>
        <w:t>5. Polyglutamine models connect chromatin regulators to degeneration</w:t>
      </w:r>
      <w:bookmarkEnd w:id="5"/>
    </w:p>
    <w:p w14:paraId="3F31F639" w14:textId="23314CA2" w:rsidR="0033452F" w:rsidRDefault="00D66CB3">
      <w:r>
        <w:t>Steffan and colleagues showed that huntingtin exon 1 interacted with acetyltransferase domains and inhibited acetyltransferase activity in cell-free comparisons. Expression in cultured cells reduced histone H3 and H4 acetylation, with reversal after HDAC-inhibitor treatment. In two fly polyglutamine models, HDAC inhibitors reduced degenerative phenotypes and lethality. The evidence spans molecular interactions, chromatin chemistry and a model-organism outcome, giving the chromatin hypothesis several experim</w:t>
      </w:r>
      <w:r>
        <w:t>entally distinct supports.</w:t>
      </w:r>
      <w:hyperlink r:id="rId39" w:history="1">
        <w:r>
          <w:rPr>
            <w:color w:val="087B78"/>
            <w:sz w:val="18"/>
            <w:szCs w:val="18"/>
          </w:rPr>
          <w:t xml:space="preserve"> [9]</w:t>
        </w:r>
      </w:hyperlink>
    </w:p>
    <w:p w14:paraId="7ABFAD0A" w14:textId="0C42128B" w:rsidR="0033452F" w:rsidRDefault="00D66CB3">
      <w:r>
        <w:t>The models nevertheless do not isolate one histone lysine as the unique cause of rescue. The intervention changes deacetylase-related activity in a system with several affected regulators and outputs. The biochemical interactions and fly phenotype motivate a mechanistic path from mutant protein to transcriptional dysregulation, but a complete allocation of the rescue would require further substrate- and regulator-specific comparisons. Human efficacy is a separate question from a successful model interventio</w:t>
      </w:r>
      <w:r>
        <w:t>n.</w:t>
      </w:r>
      <w:hyperlink r:id="rId40" w:history="1">
        <w:r>
          <w:rPr>
            <w:color w:val="087B78"/>
            <w:sz w:val="18"/>
            <w:szCs w:val="18"/>
          </w:rPr>
          <w:t xml:space="preserve"> [9]</w:t>
        </w:r>
      </w:hyperlink>
      <w:hyperlink r:id="rId41" w:history="1">
        <w:r>
          <w:rPr>
            <w:color w:val="087B78"/>
            <w:sz w:val="18"/>
            <w:szCs w:val="18"/>
          </w:rPr>
          <w:t xml:space="preserve"> [2]</w:t>
        </w:r>
      </w:hyperlink>
    </w:p>
    <w:p w14:paraId="265E4BA6" w14:textId="47773967" w:rsidR="0033452F" w:rsidRDefault="00D66CB3">
      <w:r>
        <w:t xml:space="preserve">Vashishtha and colleagues examined H3K4me3 at transcriptionally repressed promoters in mouse and human Huntington brain. Reducing the H3K4 demethylase SMCX/Jarid1c in primary neurons reversed selected neuronal-gene downregulation and was protective in neuronal and fly-model </w:t>
      </w:r>
      <w:r>
        <w:lastRenderedPageBreak/>
        <w:t>comparisons. This adds a methylation-centered mechanism to the acetylation literature. It also demonstrates why disease-related chromatin cannot be summarized only by total acetylation: residue-specific regulatory pathways can supply distinct causal tests.</w:t>
      </w:r>
      <w:hyperlink r:id="rId42" w:history="1">
        <w:r>
          <w:rPr>
            <w:color w:val="087B78"/>
            <w:sz w:val="18"/>
            <w:szCs w:val="18"/>
          </w:rPr>
          <w:t xml:space="preserve"> [10]</w:t>
        </w:r>
      </w:hyperlink>
    </w:p>
    <w:p w14:paraId="0A88F241" w14:textId="4F8DBF87" w:rsidR="0033452F" w:rsidRDefault="00D66CB3">
      <w:r>
        <w:t>Patient tissue and model perturbation contribute different strengths within that study. The human profile establishes disease-associated chromatin differences, while the regulator intervention tests a causal contribution in models. Retaining that distinction allows a careful translational hypothesis: a recurrent pathway may be relevant to human disease, but the effective manipulation and its physiological consequences must still be assessed in a human-relevant setting. The model protection is meaningful wit</w:t>
      </w:r>
      <w:r>
        <w:t>hout being described as a demonstrated patient treatment.</w:t>
      </w:r>
      <w:hyperlink r:id="rId43" w:history="1">
        <w:r>
          <w:rPr>
            <w:color w:val="087B78"/>
            <w:sz w:val="18"/>
            <w:szCs w:val="18"/>
          </w:rPr>
          <w:t xml:space="preserve"> [10]</w:t>
        </w:r>
      </w:hyperlink>
    </w:p>
    <w:p w14:paraId="42C25E03" w14:textId="77777777" w:rsidR="0033452F" w:rsidRDefault="00D66CB3">
      <w:pPr>
        <w:pStyle w:val="Heading1"/>
      </w:pPr>
      <w:bookmarkStart w:id="6" w:name="_Toc242668353"/>
      <w:r>
        <w:t>6. Mitochondrial Parkinson models show residue-specific hyperacetylation</w:t>
      </w:r>
      <w:bookmarkEnd w:id="6"/>
    </w:p>
    <w:p w14:paraId="359D6DFC" w14:textId="7DAF5CCE" w:rsidR="0033452F" w:rsidRDefault="00D66CB3">
      <w:r>
        <w:t xml:space="preserve">Huang and colleagues combined chemical and genetic mitochondrial perturbations in dopaminergic neuronal models and examined H3K27 acetylation. The study also included ex-vivo and MitoPark comparisons and reported increased H3K27ac in postmortem Parkinson brains. This links a controlled upstream perturbation to chromatin chemistry while adding disease-associated human observations. It supports a mitochondrial–chromatin connection in the tested contexts, not a claim that every Parkinson-associated epigenetic </w:t>
      </w:r>
      <w:r>
        <w:t>change has the same origin.</w:t>
      </w:r>
      <w:hyperlink r:id="rId44" w:history="1">
        <w:r>
          <w:rPr>
            <w:color w:val="087B78"/>
            <w:sz w:val="18"/>
            <w:szCs w:val="18"/>
          </w:rPr>
          <w:t xml:space="preserve"> [11]</w:t>
        </w:r>
      </w:hyperlink>
    </w:p>
    <w:p w14:paraId="73912EAA" w14:textId="432CF8FD" w:rsidR="0033452F" w:rsidRDefault="00D66CB3">
      <w:r>
        <w:t>The selected Results compared H3K27ac with H3K36ac and found a more pronounced H3K27 response in the examined perturbed cells. The sites are therefore not interchangeable indicators of a single global acetylation state. Integrated chromatin and transcription maps identified susceptible regulatory loci. Their interpretation is strongest when the specific residue and cellular mitochondrial manipulation remain attached to the result rather than being generalized to all neurons or all brain regions.</w:t>
      </w:r>
      <w:hyperlink r:id="rId45" w:history="1">
        <w:r>
          <w:rPr>
            <w:color w:val="087B78"/>
            <w:sz w:val="18"/>
            <w:szCs w:val="18"/>
          </w:rPr>
          <w:t xml:space="preserve"> [11]</w:t>
        </w:r>
      </w:hyperlink>
    </w:p>
    <w:p w14:paraId="23B832F6" w14:textId="00ADE550" w:rsidR="0033452F" w:rsidRDefault="00D66CB3">
      <w:r>
        <w:t>This direction differs from some hypoacetylation observations in polyglutamine and tau-related systems. The difference is biologically informative because it identifies state-specific regulation rather than refuting every role for histone acetylation. It also complicates nonspecific intervention logic: improving one model by increasing acetylation does not establish that the same direction would improve a different neuronal context. A regulator-level test should measure the relevant local marks and function</w:t>
      </w:r>
      <w:r>
        <w:t>al outcome together.</w:t>
      </w:r>
      <w:hyperlink r:id="rId46" w:history="1">
        <w:r>
          <w:rPr>
            <w:color w:val="087B78"/>
            <w:sz w:val="18"/>
            <w:szCs w:val="18"/>
          </w:rPr>
          <w:t xml:space="preserve"> [11]</w:t>
        </w:r>
      </w:hyperlink>
      <w:hyperlink r:id="rId47" w:history="1">
        <w:r>
          <w:rPr>
            <w:color w:val="087B78"/>
            <w:sz w:val="18"/>
            <w:szCs w:val="18"/>
          </w:rPr>
          <w:t xml:space="preserve"> [9]</w:t>
        </w:r>
      </w:hyperlink>
      <w:hyperlink r:id="rId48" w:history="1">
        <w:r>
          <w:rPr>
            <w:color w:val="087B78"/>
            <w:sz w:val="18"/>
            <w:szCs w:val="18"/>
          </w:rPr>
          <w:t xml:space="preserve"> [8]</w:t>
        </w:r>
      </w:hyperlink>
    </w:p>
    <w:p w14:paraId="6C87BCF0" w14:textId="77777777" w:rsidR="0033452F" w:rsidRDefault="00D66CB3">
      <w:pPr>
        <w:pStyle w:val="Heading1"/>
      </w:pPr>
      <w:bookmarkStart w:id="7" w:name="_Toc242668354"/>
      <w:r>
        <w:t>7. A current metabolic intervention in tau and aging models</w:t>
      </w:r>
      <w:bookmarkEnd w:id="7"/>
    </w:p>
    <w:p w14:paraId="2E683E85" w14:textId="612CAFD1" w:rsidR="0033452F" w:rsidRDefault="00D66CB3">
      <w:r>
        <w:t>The 2026 ACSS2 study tested increased expression of an acetyl-CoA-generating enzyme in primary hippocampal neurons and a P301S tau mouse model. In cultured neurons, ACSS2 upregulation maintained selected histone-acetylation signals and synaptic-gene expression over the tested period and opposed some tau-associated changes. This is a direct intervention rather than a disease correlation. The enzyme connects metabolic substrate availability to a measured chromatin and transcriptional response.</w:t>
      </w:r>
      <w:hyperlink r:id="rId49" w:history="1">
        <w:r>
          <w:rPr>
            <w:color w:val="087B78"/>
            <w:sz w:val="18"/>
            <w:szCs w:val="18"/>
          </w:rPr>
          <w:t xml:space="preserve"> [8]</w:t>
        </w:r>
      </w:hyperlink>
    </w:p>
    <w:p w14:paraId="70334D8E" w14:textId="6354A199" w:rsidR="0033452F" w:rsidRDefault="00D66CB3">
      <w:r>
        <w:lastRenderedPageBreak/>
        <w:t>The study further reported improved neuronal resilience, synaptic and long-term-potentiation outcomes and memory measures in its preclinical comparisons. The mouse design included early intervention before the later phenotype, making timing part of the result. This matters for translation: prevention or resilience enhancement in a model does not establish reversal of advanced human pathology. The work identifies an experimentally supported research target and a defined intervention window for further study.</w:t>
      </w:r>
      <w:hyperlink r:id="rId50" w:history="1">
        <w:r>
          <w:rPr>
            <w:color w:val="087B78"/>
            <w:sz w:val="18"/>
            <w:szCs w:val="18"/>
          </w:rPr>
          <w:t xml:space="preserve"> [8]</w:t>
        </w:r>
      </w:hyperlink>
    </w:p>
    <w:p w14:paraId="7B33273C" w14:textId="611A90B1" w:rsidR="0033452F" w:rsidRDefault="00D66CB3">
      <w:r>
        <w:t>In the cultured-neuron tau comparison, different gene clusters responded differently to ACSS2; some opposed tau-associated changes while others augmented an existing response. This detail discourages a claim that the intervention simply restored every transcript to one normal value. Current mechanistic interpretation should connect the protective outcomes to the measured pathways and chromatin changes, allowing compensatory and direct responses to remain distinguishable.</w:t>
      </w:r>
      <w:hyperlink r:id="rId51" w:history="1">
        <w:r>
          <w:rPr>
            <w:color w:val="087B78"/>
            <w:sz w:val="18"/>
            <w:szCs w:val="18"/>
          </w:rPr>
          <w:t xml:space="preserve"> [8]</w:t>
        </w:r>
      </w:hyperlink>
    </w:p>
    <w:p w14:paraId="7475234D" w14:textId="3E938287" w:rsidR="0033452F" w:rsidRDefault="00D66CB3">
      <w:r>
        <w:t>The result also complements the human tissue studies without duplicating them. ACSS2 manipulates a neuronal metabolic contributor in a controlled system, whereas patient H3K9ac or H4K16ac profiles sample an endpoint shaped by age, disease and cellular mixture. Comparing these layers can prioritize mechanisms, but it cannot substitute one for the other. A human therapeutic claim would require direct clinical evidence beyond the primary experiments reviewed here.</w:t>
      </w:r>
      <w:hyperlink r:id="rId52" w:history="1">
        <w:r>
          <w:rPr>
            <w:color w:val="087B78"/>
            <w:sz w:val="18"/>
            <w:szCs w:val="18"/>
          </w:rPr>
          <w:t xml:space="preserve"> [8]</w:t>
        </w:r>
      </w:hyperlink>
      <w:hyperlink r:id="rId53" w:history="1">
        <w:r>
          <w:rPr>
            <w:color w:val="087B78"/>
            <w:sz w:val="18"/>
            <w:szCs w:val="18"/>
          </w:rPr>
          <w:t xml:space="preserve"> [4]</w:t>
        </w:r>
      </w:hyperlink>
      <w:hyperlink r:id="rId54" w:history="1">
        <w:r>
          <w:rPr>
            <w:color w:val="087B78"/>
            <w:sz w:val="18"/>
            <w:szCs w:val="18"/>
          </w:rPr>
          <w:t xml:space="preserve"> [5]</w:t>
        </w:r>
      </w:hyperlink>
      <w:hyperlink r:id="rId55" w:history="1">
        <w:r>
          <w:rPr>
            <w:color w:val="087B78"/>
            <w:sz w:val="18"/>
            <w:szCs w:val="18"/>
          </w:rPr>
          <w:t xml:space="preserve"> [7]</w:t>
        </w:r>
      </w:hyperlink>
    </w:p>
    <w:p w14:paraId="4CD84093" w14:textId="77777777" w:rsidR="0033452F" w:rsidRDefault="00D66CB3">
      <w:pPr>
        <w:pStyle w:val="Heading1"/>
      </w:pPr>
      <w:bookmarkStart w:id="8" w:name="_Toc242668355"/>
      <w:r>
        <w:t>8. Measuring chemical state and neuronal consequence</w:t>
      </w:r>
      <w:bookmarkEnd w:id="8"/>
    </w:p>
    <w:p w14:paraId="1F322E22" w14:textId="34851DBD" w:rsidR="0033452F" w:rsidRDefault="00D66CB3">
      <w:r>
        <w:t>Chromatin profiling identifies where a chosen modification is enriched, while bulk histone measures estimate a population’s chemical abundance. Independent RNA and neuronal readouts are needed to connect either measurement to function. The H3K9ac, Parkinson and ACSS2 studies illustrate such combinations at different resolutions. Agreement among readouts supports a connected mechanism; imperfect concordance is a result to explain, not an invitation to equate marks and transcription.</w:t>
      </w:r>
      <w:hyperlink r:id="rId56" w:history="1">
        <w:r>
          <w:rPr>
            <w:color w:val="087B78"/>
            <w:sz w:val="18"/>
            <w:szCs w:val="18"/>
          </w:rPr>
          <w:t xml:space="preserve"> [4]</w:t>
        </w:r>
      </w:hyperlink>
      <w:hyperlink r:id="rId57" w:history="1">
        <w:r>
          <w:rPr>
            <w:color w:val="087B78"/>
            <w:sz w:val="18"/>
            <w:szCs w:val="18"/>
          </w:rPr>
          <w:t xml:space="preserve"> [11]</w:t>
        </w:r>
      </w:hyperlink>
      <w:hyperlink r:id="rId58" w:history="1">
        <w:r>
          <w:rPr>
            <w:color w:val="087B78"/>
            <w:sz w:val="18"/>
            <w:szCs w:val="18"/>
          </w:rPr>
          <w:t xml:space="preserve"> [8]</w:t>
        </w:r>
      </w:hyperlink>
    </w:p>
    <w:p w14:paraId="632082F3" w14:textId="3A8CCC8E" w:rsidR="0033452F" w:rsidRDefault="00D66CB3">
      <w:r>
        <w:t>Recognition reagents require validation. The histone-antibody assessment found that some reagents failed specificity tests or did not perform in ChIP even when they met other tests. Disease-associated differences are particularly vulnerable to overinterpretation if reagent behavior changes across samples or applications. The relevant lesson is application-specific evidence for the modification signal, with independent methods used when a decisive mechanistic interpretation rests on that signal.</w:t>
      </w:r>
      <w:hyperlink r:id="rId59" w:history="1">
        <w:r>
          <w:rPr>
            <w:color w:val="087B78"/>
            <w:sz w:val="18"/>
            <w:szCs w:val="18"/>
          </w:rPr>
          <w:t xml:space="preserve"> [3]</w:t>
        </w:r>
      </w:hyperlink>
    </w:p>
    <w:p w14:paraId="714C91BF" w14:textId="39A4A590" w:rsidR="0033452F" w:rsidRDefault="00D66CB3">
      <w:r>
        <w:t>The strongest design separates chemical response, molecular recruitment and functional rescue. A mark may change after a regulator intervention while another substrate or protein interaction contributes to the phenotype. The HDAC3 co-regulator experiment shows why retained protein and detectable catalysis can be different variables. For neuronal studies, the same logic motivates residue-specific or complementary perturbations before assigning a whole behavioral rescue to one histone pathway.</w:t>
      </w:r>
      <w:hyperlink r:id="rId60" w:history="1">
        <w:r>
          <w:rPr>
            <w:color w:val="087B78"/>
            <w:sz w:val="18"/>
            <w:szCs w:val="18"/>
          </w:rPr>
          <w:t xml:space="preserve"> [2]</w:t>
        </w:r>
      </w:hyperlink>
      <w:hyperlink r:id="rId61" w:history="1">
        <w:r>
          <w:rPr>
            <w:color w:val="087B78"/>
            <w:sz w:val="18"/>
            <w:szCs w:val="18"/>
          </w:rPr>
          <w:t xml:space="preserve"> [9]</w:t>
        </w:r>
      </w:hyperlink>
      <w:hyperlink r:id="rId62" w:history="1">
        <w:r>
          <w:rPr>
            <w:color w:val="087B78"/>
            <w:sz w:val="18"/>
            <w:szCs w:val="18"/>
          </w:rPr>
          <w:t xml:space="preserve"> [8]</w:t>
        </w:r>
      </w:hyperlink>
    </w:p>
    <w:p w14:paraId="218034B0" w14:textId="77777777" w:rsidR="0033452F" w:rsidRDefault="00D66CB3">
      <w:pPr>
        <w:pStyle w:val="Heading1"/>
      </w:pPr>
      <w:bookmarkStart w:id="9" w:name="_Toc242668356"/>
      <w:r>
        <w:lastRenderedPageBreak/>
        <w:t>9. Evidence comparison for current interpretation</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3452F" w14:paraId="5CD73844" w14:textId="77777777">
        <w:tblPrEx>
          <w:tblCellMar>
            <w:top w:w="0" w:type="dxa"/>
            <w:bottom w:w="0" w:type="dxa"/>
          </w:tblCellMar>
        </w:tblPrEx>
        <w:trPr>
          <w:cantSplit/>
          <w:tblHeader/>
        </w:trPr>
        <w:tc>
          <w:tcPr>
            <w:tcW w:w="3120" w:type="dxa"/>
            <w:shd w:val="clear" w:color="auto" w:fill="EAF3F3"/>
            <w:tcMar>
              <w:top w:w="105" w:type="dxa"/>
              <w:left w:w="125" w:type="dxa"/>
              <w:bottom w:w="105" w:type="dxa"/>
              <w:right w:w="125" w:type="dxa"/>
            </w:tcMar>
          </w:tcPr>
          <w:p w14:paraId="4E7217C8" w14:textId="77777777" w:rsidR="0033452F" w:rsidRDefault="00D66CB3">
            <w:pPr>
              <w:spacing w:after="50" w:line="255" w:lineRule="auto"/>
            </w:pPr>
            <w:r>
              <w:rPr>
                <w:b/>
                <w:bCs/>
                <w:color w:val="173B4C"/>
                <w:sz w:val="19"/>
                <w:szCs w:val="19"/>
              </w:rPr>
              <w:t>Study context</w:t>
            </w:r>
          </w:p>
        </w:tc>
        <w:tc>
          <w:tcPr>
            <w:tcW w:w="3120" w:type="dxa"/>
            <w:shd w:val="clear" w:color="auto" w:fill="EAF3F3"/>
            <w:tcMar>
              <w:top w:w="105" w:type="dxa"/>
              <w:left w:w="125" w:type="dxa"/>
              <w:bottom w:w="105" w:type="dxa"/>
              <w:right w:w="125" w:type="dxa"/>
            </w:tcMar>
          </w:tcPr>
          <w:p w14:paraId="0A073751" w14:textId="77777777" w:rsidR="0033452F" w:rsidRDefault="00D66CB3">
            <w:pPr>
              <w:spacing w:after="50" w:line="255" w:lineRule="auto"/>
            </w:pPr>
            <w:r>
              <w:rPr>
                <w:b/>
                <w:bCs/>
                <w:color w:val="173B4C"/>
                <w:sz w:val="19"/>
                <w:szCs w:val="19"/>
              </w:rPr>
              <w:t>Supported result</w:t>
            </w:r>
          </w:p>
        </w:tc>
        <w:tc>
          <w:tcPr>
            <w:tcW w:w="3120" w:type="dxa"/>
            <w:shd w:val="clear" w:color="auto" w:fill="EAF3F3"/>
            <w:tcMar>
              <w:top w:w="105" w:type="dxa"/>
              <w:left w:w="125" w:type="dxa"/>
              <w:bottom w:w="105" w:type="dxa"/>
              <w:right w:w="125" w:type="dxa"/>
            </w:tcMar>
          </w:tcPr>
          <w:p w14:paraId="51E1C1DE" w14:textId="77777777" w:rsidR="0033452F" w:rsidRDefault="00D66CB3">
            <w:pPr>
              <w:spacing w:after="50" w:line="255" w:lineRule="auto"/>
            </w:pPr>
            <w:r>
              <w:rPr>
                <w:b/>
                <w:bCs/>
                <w:color w:val="173B4C"/>
                <w:sz w:val="19"/>
                <w:szCs w:val="19"/>
              </w:rPr>
              <w:t>Causal boundary</w:t>
            </w:r>
          </w:p>
        </w:tc>
      </w:tr>
      <w:tr w:rsidR="0033452F" w14:paraId="4E16FDF5" w14:textId="77777777">
        <w:tblPrEx>
          <w:tblCellMar>
            <w:top w:w="0" w:type="dxa"/>
            <w:bottom w:w="0" w:type="dxa"/>
          </w:tblCellMar>
        </w:tblPrEx>
        <w:trPr>
          <w:cantSplit/>
        </w:trPr>
        <w:tc>
          <w:tcPr>
            <w:tcW w:w="3120" w:type="dxa"/>
            <w:tcMar>
              <w:top w:w="105" w:type="dxa"/>
              <w:left w:w="125" w:type="dxa"/>
              <w:bottom w:w="105" w:type="dxa"/>
              <w:right w:w="125" w:type="dxa"/>
            </w:tcMar>
          </w:tcPr>
          <w:p w14:paraId="479661A5" w14:textId="77777777" w:rsidR="0033452F" w:rsidRDefault="00D66CB3">
            <w:pPr>
              <w:spacing w:after="50" w:line="255" w:lineRule="auto"/>
            </w:pPr>
            <w:r>
              <w:rPr>
                <w:sz w:val="19"/>
                <w:szCs w:val="19"/>
              </w:rPr>
              <w:t>Human aging/Alzheimer DLPFC H3K9ac</w:t>
            </w:r>
          </w:p>
        </w:tc>
        <w:tc>
          <w:tcPr>
            <w:tcW w:w="3120" w:type="dxa"/>
            <w:tcMar>
              <w:top w:w="105" w:type="dxa"/>
              <w:left w:w="125" w:type="dxa"/>
              <w:bottom w:w="105" w:type="dxa"/>
              <w:right w:w="125" w:type="dxa"/>
            </w:tcMar>
          </w:tcPr>
          <w:p w14:paraId="6F2CC1B8" w14:textId="77777777" w:rsidR="0033452F" w:rsidRDefault="00D66CB3">
            <w:pPr>
              <w:spacing w:after="50" w:line="255" w:lineRule="auto"/>
            </w:pPr>
            <w:r>
              <w:rPr>
                <w:sz w:val="19"/>
                <w:szCs w:val="19"/>
              </w:rPr>
              <w:t>Tau-associated regional patterns in a large postmortem cohort.</w:t>
            </w:r>
          </w:p>
        </w:tc>
        <w:tc>
          <w:tcPr>
            <w:tcW w:w="3120" w:type="dxa"/>
            <w:tcMar>
              <w:top w:w="105" w:type="dxa"/>
              <w:left w:w="125" w:type="dxa"/>
              <w:bottom w:w="105" w:type="dxa"/>
              <w:right w:w="125" w:type="dxa"/>
            </w:tcMar>
          </w:tcPr>
          <w:p w14:paraId="23109453" w14:textId="7B1C6E13" w:rsidR="0033452F" w:rsidRDefault="00D66CB3">
            <w:pPr>
              <w:spacing w:after="50" w:line="255" w:lineRule="auto"/>
            </w:pPr>
            <w:r>
              <w:rPr>
                <w:sz w:val="19"/>
                <w:szCs w:val="19"/>
              </w:rPr>
              <w:t>Cross-sectional association; architecture annotations are external reference maps.</w:t>
            </w:r>
            <w:hyperlink r:id="rId63" w:history="1">
              <w:r>
                <w:rPr>
                  <w:color w:val="087B78"/>
                  <w:sz w:val="18"/>
                  <w:szCs w:val="18"/>
                </w:rPr>
                <w:t xml:space="preserve"> [4]</w:t>
              </w:r>
            </w:hyperlink>
          </w:p>
        </w:tc>
      </w:tr>
      <w:tr w:rsidR="0033452F" w14:paraId="2C13E41A" w14:textId="77777777">
        <w:tblPrEx>
          <w:tblCellMar>
            <w:top w:w="0" w:type="dxa"/>
            <w:bottom w:w="0" w:type="dxa"/>
          </w:tblCellMar>
        </w:tblPrEx>
        <w:trPr>
          <w:cantSplit/>
        </w:trPr>
        <w:tc>
          <w:tcPr>
            <w:tcW w:w="3120" w:type="dxa"/>
            <w:tcMar>
              <w:top w:w="105" w:type="dxa"/>
              <w:left w:w="125" w:type="dxa"/>
              <w:bottom w:w="105" w:type="dxa"/>
              <w:right w:w="125" w:type="dxa"/>
            </w:tcMar>
          </w:tcPr>
          <w:p w14:paraId="6319769F" w14:textId="77777777" w:rsidR="0033452F" w:rsidRDefault="00D66CB3">
            <w:pPr>
              <w:spacing w:after="50" w:line="255" w:lineRule="auto"/>
            </w:pPr>
            <w:r>
              <w:rPr>
                <w:sz w:val="19"/>
                <w:szCs w:val="19"/>
              </w:rPr>
              <w:t>Human temporal-lobe H4K16ac</w:t>
            </w:r>
          </w:p>
        </w:tc>
        <w:tc>
          <w:tcPr>
            <w:tcW w:w="3120" w:type="dxa"/>
            <w:tcMar>
              <w:top w:w="105" w:type="dxa"/>
              <w:left w:w="125" w:type="dxa"/>
              <w:bottom w:w="105" w:type="dxa"/>
              <w:right w:w="125" w:type="dxa"/>
            </w:tcMar>
          </w:tcPr>
          <w:p w14:paraId="62E88AB3" w14:textId="77777777" w:rsidR="0033452F" w:rsidRDefault="00D66CB3">
            <w:pPr>
              <w:spacing w:after="50" w:line="255" w:lineRule="auto"/>
            </w:pPr>
            <w:r>
              <w:rPr>
                <w:sz w:val="19"/>
                <w:szCs w:val="19"/>
              </w:rPr>
              <w:t>Different aging and Alzheimer-related acetylation landscapes.</w:t>
            </w:r>
          </w:p>
        </w:tc>
        <w:tc>
          <w:tcPr>
            <w:tcW w:w="3120" w:type="dxa"/>
            <w:tcMar>
              <w:top w:w="105" w:type="dxa"/>
              <w:left w:w="125" w:type="dxa"/>
              <w:bottom w:w="105" w:type="dxa"/>
              <w:right w:w="125" w:type="dxa"/>
            </w:tcMar>
          </w:tcPr>
          <w:p w14:paraId="0E1DE62C" w14:textId="0040EB33" w:rsidR="0033452F" w:rsidRDefault="00D66CB3">
            <w:pPr>
              <w:spacing w:after="50" w:line="255" w:lineRule="auto"/>
            </w:pPr>
            <w:r>
              <w:rPr>
                <w:sz w:val="19"/>
                <w:szCs w:val="19"/>
              </w:rPr>
              <w:t>Mark- and tissue-specific; no within-person trajectory inferred.</w:t>
            </w:r>
            <w:hyperlink r:id="rId64" w:history="1">
              <w:r>
                <w:rPr>
                  <w:color w:val="087B78"/>
                  <w:sz w:val="18"/>
                  <w:szCs w:val="18"/>
                </w:rPr>
                <w:t xml:space="preserve"> [5]</w:t>
              </w:r>
            </w:hyperlink>
          </w:p>
        </w:tc>
      </w:tr>
      <w:tr w:rsidR="0033452F" w14:paraId="3FFEC86E" w14:textId="77777777">
        <w:tblPrEx>
          <w:tblCellMar>
            <w:top w:w="0" w:type="dxa"/>
            <w:bottom w:w="0" w:type="dxa"/>
          </w:tblCellMar>
        </w:tblPrEx>
        <w:trPr>
          <w:cantSplit/>
        </w:trPr>
        <w:tc>
          <w:tcPr>
            <w:tcW w:w="3120" w:type="dxa"/>
            <w:tcMar>
              <w:top w:w="105" w:type="dxa"/>
              <w:left w:w="125" w:type="dxa"/>
              <w:bottom w:w="105" w:type="dxa"/>
              <w:right w:w="125" w:type="dxa"/>
            </w:tcMar>
          </w:tcPr>
          <w:p w14:paraId="1222832E" w14:textId="77777777" w:rsidR="0033452F" w:rsidRDefault="00D66CB3">
            <w:pPr>
              <w:spacing w:after="50" w:line="255" w:lineRule="auto"/>
            </w:pPr>
            <w:r>
              <w:rPr>
                <w:sz w:val="19"/>
                <w:szCs w:val="19"/>
              </w:rPr>
              <w:t>Bulk-brain deconvolution</w:t>
            </w:r>
          </w:p>
        </w:tc>
        <w:tc>
          <w:tcPr>
            <w:tcW w:w="3120" w:type="dxa"/>
            <w:tcMar>
              <w:top w:w="105" w:type="dxa"/>
              <w:left w:w="125" w:type="dxa"/>
              <w:bottom w:w="105" w:type="dxa"/>
              <w:right w:w="125" w:type="dxa"/>
            </w:tcMar>
          </w:tcPr>
          <w:p w14:paraId="510F24FF" w14:textId="77777777" w:rsidR="0033452F" w:rsidRDefault="00D66CB3">
            <w:pPr>
              <w:spacing w:after="50" w:line="255" w:lineRule="auto"/>
            </w:pPr>
            <w:r>
              <w:rPr>
                <w:sz w:val="19"/>
                <w:szCs w:val="19"/>
              </w:rPr>
              <w:t>Reference-based inference of cellular acetylation components.</w:t>
            </w:r>
          </w:p>
        </w:tc>
        <w:tc>
          <w:tcPr>
            <w:tcW w:w="3120" w:type="dxa"/>
            <w:tcMar>
              <w:top w:w="105" w:type="dxa"/>
              <w:left w:w="125" w:type="dxa"/>
              <w:bottom w:w="105" w:type="dxa"/>
              <w:right w:w="125" w:type="dxa"/>
            </w:tcMar>
          </w:tcPr>
          <w:p w14:paraId="4D0B27B2" w14:textId="6DB03F3F" w:rsidR="0033452F" w:rsidRDefault="00D66CB3">
            <w:pPr>
              <w:spacing w:after="50" w:line="255" w:lineRule="auto"/>
            </w:pPr>
            <w:r>
              <w:rPr>
                <w:sz w:val="19"/>
                <w:szCs w:val="19"/>
              </w:rPr>
              <w:t>Inference depends on reference and model; not direct isolated-cell data.</w:t>
            </w:r>
            <w:hyperlink r:id="rId65" w:history="1">
              <w:r>
                <w:rPr>
                  <w:color w:val="087B78"/>
                  <w:sz w:val="18"/>
                  <w:szCs w:val="18"/>
                </w:rPr>
                <w:t xml:space="preserve"> [7]</w:t>
              </w:r>
            </w:hyperlink>
          </w:p>
        </w:tc>
      </w:tr>
      <w:tr w:rsidR="0033452F" w14:paraId="4D8F8EED" w14:textId="77777777">
        <w:tblPrEx>
          <w:tblCellMar>
            <w:top w:w="0" w:type="dxa"/>
            <w:bottom w:w="0" w:type="dxa"/>
          </w:tblCellMar>
        </w:tblPrEx>
        <w:trPr>
          <w:cantSplit/>
        </w:trPr>
        <w:tc>
          <w:tcPr>
            <w:tcW w:w="3120" w:type="dxa"/>
            <w:tcMar>
              <w:top w:w="105" w:type="dxa"/>
              <w:left w:w="125" w:type="dxa"/>
              <w:bottom w:w="105" w:type="dxa"/>
              <w:right w:w="125" w:type="dxa"/>
            </w:tcMar>
          </w:tcPr>
          <w:p w14:paraId="2C5C0BF7" w14:textId="77777777" w:rsidR="0033452F" w:rsidRDefault="00D66CB3">
            <w:pPr>
              <w:spacing w:after="50" w:line="255" w:lineRule="auto"/>
            </w:pPr>
            <w:r>
              <w:rPr>
                <w:sz w:val="19"/>
                <w:szCs w:val="19"/>
              </w:rPr>
              <w:t>Polyglutamine neuronal/fly systems</w:t>
            </w:r>
          </w:p>
        </w:tc>
        <w:tc>
          <w:tcPr>
            <w:tcW w:w="3120" w:type="dxa"/>
            <w:tcMar>
              <w:top w:w="105" w:type="dxa"/>
              <w:left w:w="125" w:type="dxa"/>
              <w:bottom w:w="105" w:type="dxa"/>
              <w:right w:w="125" w:type="dxa"/>
            </w:tcMar>
          </w:tcPr>
          <w:p w14:paraId="6243BAB3" w14:textId="77777777" w:rsidR="0033452F" w:rsidRDefault="00D66CB3">
            <w:pPr>
              <w:spacing w:after="50" w:line="255" w:lineRule="auto"/>
            </w:pPr>
            <w:r>
              <w:rPr>
                <w:sz w:val="19"/>
                <w:szCs w:val="19"/>
              </w:rPr>
              <w:t>Regulator interactions and acetylation- or methylation-related phenotype rescue.</w:t>
            </w:r>
          </w:p>
        </w:tc>
        <w:tc>
          <w:tcPr>
            <w:tcW w:w="3120" w:type="dxa"/>
            <w:tcMar>
              <w:top w:w="105" w:type="dxa"/>
              <w:left w:w="125" w:type="dxa"/>
              <w:bottom w:w="105" w:type="dxa"/>
              <w:right w:w="125" w:type="dxa"/>
            </w:tcMar>
          </w:tcPr>
          <w:p w14:paraId="5B5E592A" w14:textId="68AE1453" w:rsidR="0033452F" w:rsidRDefault="00D66CB3">
            <w:pPr>
              <w:spacing w:after="50" w:line="255" w:lineRule="auto"/>
            </w:pPr>
            <w:r>
              <w:rPr>
                <w:sz w:val="19"/>
                <w:szCs w:val="19"/>
              </w:rPr>
              <w:t>Preclinical causal comparisons, not patient efficacy.</w:t>
            </w:r>
            <w:hyperlink r:id="rId66" w:history="1">
              <w:r>
                <w:rPr>
                  <w:color w:val="087B78"/>
                  <w:sz w:val="18"/>
                  <w:szCs w:val="18"/>
                </w:rPr>
                <w:t xml:space="preserve"> [9]</w:t>
              </w:r>
            </w:hyperlink>
            <w:hyperlink r:id="rId67" w:history="1">
              <w:r>
                <w:rPr>
                  <w:color w:val="087B78"/>
                  <w:sz w:val="18"/>
                  <w:szCs w:val="18"/>
                </w:rPr>
                <w:t xml:space="preserve"> [10]</w:t>
              </w:r>
            </w:hyperlink>
          </w:p>
        </w:tc>
      </w:tr>
      <w:tr w:rsidR="0033452F" w14:paraId="06E0ECD8" w14:textId="77777777">
        <w:tblPrEx>
          <w:tblCellMar>
            <w:top w:w="0" w:type="dxa"/>
            <w:bottom w:w="0" w:type="dxa"/>
          </w:tblCellMar>
        </w:tblPrEx>
        <w:trPr>
          <w:cantSplit/>
        </w:trPr>
        <w:tc>
          <w:tcPr>
            <w:tcW w:w="3120" w:type="dxa"/>
            <w:tcMar>
              <w:top w:w="105" w:type="dxa"/>
              <w:left w:w="125" w:type="dxa"/>
              <w:bottom w:w="105" w:type="dxa"/>
              <w:right w:w="125" w:type="dxa"/>
            </w:tcMar>
          </w:tcPr>
          <w:p w14:paraId="176AFECE" w14:textId="77777777" w:rsidR="0033452F" w:rsidRDefault="00D66CB3">
            <w:pPr>
              <w:spacing w:after="50" w:line="255" w:lineRule="auto"/>
            </w:pPr>
            <w:r>
              <w:rPr>
                <w:sz w:val="19"/>
                <w:szCs w:val="19"/>
              </w:rPr>
              <w:t>Mitochondrial dopaminergic models</w:t>
            </w:r>
          </w:p>
        </w:tc>
        <w:tc>
          <w:tcPr>
            <w:tcW w:w="3120" w:type="dxa"/>
            <w:tcMar>
              <w:top w:w="105" w:type="dxa"/>
              <w:left w:w="125" w:type="dxa"/>
              <w:bottom w:w="105" w:type="dxa"/>
              <w:right w:w="125" w:type="dxa"/>
            </w:tcMar>
          </w:tcPr>
          <w:p w14:paraId="7EBDDD1B" w14:textId="77777777" w:rsidR="0033452F" w:rsidRDefault="00D66CB3">
            <w:pPr>
              <w:spacing w:after="50" w:line="255" w:lineRule="auto"/>
            </w:pPr>
            <w:r>
              <w:rPr>
                <w:sz w:val="19"/>
                <w:szCs w:val="19"/>
              </w:rPr>
              <w:t>H3K27-specific response with patient-tissue association.</w:t>
            </w:r>
          </w:p>
        </w:tc>
        <w:tc>
          <w:tcPr>
            <w:tcW w:w="3120" w:type="dxa"/>
            <w:tcMar>
              <w:top w:w="105" w:type="dxa"/>
              <w:left w:w="125" w:type="dxa"/>
              <w:bottom w:w="105" w:type="dxa"/>
              <w:right w:w="125" w:type="dxa"/>
            </w:tcMar>
          </w:tcPr>
          <w:p w14:paraId="54D83E75" w14:textId="5BB1B57F" w:rsidR="0033452F" w:rsidRDefault="00D66CB3">
            <w:pPr>
              <w:spacing w:after="50" w:line="255" w:lineRule="auto"/>
            </w:pPr>
            <w:r>
              <w:rPr>
                <w:sz w:val="19"/>
                <w:szCs w:val="19"/>
              </w:rPr>
              <w:t>A selected mitochondrial disease mechanism, not all Parkinson biology.</w:t>
            </w:r>
            <w:hyperlink r:id="rId68" w:history="1">
              <w:r>
                <w:rPr>
                  <w:color w:val="087B78"/>
                  <w:sz w:val="18"/>
                  <w:szCs w:val="18"/>
                </w:rPr>
                <w:t xml:space="preserve"> [11]</w:t>
              </w:r>
            </w:hyperlink>
          </w:p>
        </w:tc>
      </w:tr>
      <w:tr w:rsidR="0033452F" w14:paraId="4022C08D" w14:textId="77777777">
        <w:tblPrEx>
          <w:tblCellMar>
            <w:top w:w="0" w:type="dxa"/>
            <w:bottom w:w="0" w:type="dxa"/>
          </w:tblCellMar>
        </w:tblPrEx>
        <w:trPr>
          <w:cantSplit/>
        </w:trPr>
        <w:tc>
          <w:tcPr>
            <w:tcW w:w="3120" w:type="dxa"/>
            <w:tcMar>
              <w:top w:w="105" w:type="dxa"/>
              <w:left w:w="125" w:type="dxa"/>
              <w:bottom w:w="105" w:type="dxa"/>
              <w:right w:w="125" w:type="dxa"/>
            </w:tcMar>
          </w:tcPr>
          <w:p w14:paraId="7DEAC1E1" w14:textId="77777777" w:rsidR="0033452F" w:rsidRDefault="00D66CB3">
            <w:pPr>
              <w:spacing w:after="50" w:line="255" w:lineRule="auto"/>
            </w:pPr>
            <w:r>
              <w:rPr>
                <w:sz w:val="19"/>
                <w:szCs w:val="19"/>
              </w:rPr>
              <w:t>ACSS2 neuronal/tau/aging intervention</w:t>
            </w:r>
          </w:p>
        </w:tc>
        <w:tc>
          <w:tcPr>
            <w:tcW w:w="3120" w:type="dxa"/>
            <w:tcMar>
              <w:top w:w="105" w:type="dxa"/>
              <w:left w:w="125" w:type="dxa"/>
              <w:bottom w:w="105" w:type="dxa"/>
              <w:right w:w="125" w:type="dxa"/>
            </w:tcMar>
          </w:tcPr>
          <w:p w14:paraId="321CC369" w14:textId="77777777" w:rsidR="0033452F" w:rsidRDefault="00D66CB3">
            <w:pPr>
              <w:spacing w:after="50" w:line="255" w:lineRule="auto"/>
            </w:pPr>
            <w:r>
              <w:rPr>
                <w:sz w:val="19"/>
                <w:szCs w:val="19"/>
              </w:rPr>
              <w:t>Chromatin, transcription and functional resilience outcomes.</w:t>
            </w:r>
          </w:p>
        </w:tc>
        <w:tc>
          <w:tcPr>
            <w:tcW w:w="3120" w:type="dxa"/>
            <w:tcMar>
              <w:top w:w="105" w:type="dxa"/>
              <w:left w:w="125" w:type="dxa"/>
              <w:bottom w:w="105" w:type="dxa"/>
              <w:right w:w="125" w:type="dxa"/>
            </w:tcMar>
          </w:tcPr>
          <w:p w14:paraId="14815190" w14:textId="6F158E51" w:rsidR="0033452F" w:rsidRDefault="00D66CB3">
            <w:pPr>
              <w:spacing w:after="50" w:line="255" w:lineRule="auto"/>
            </w:pPr>
            <w:r>
              <w:rPr>
                <w:sz w:val="19"/>
                <w:szCs w:val="19"/>
              </w:rPr>
              <w:t>Model and intervention timing bound translation.</w:t>
            </w:r>
            <w:hyperlink r:id="rId69" w:history="1">
              <w:r>
                <w:rPr>
                  <w:color w:val="087B78"/>
                  <w:sz w:val="18"/>
                  <w:szCs w:val="18"/>
                </w:rPr>
                <w:t xml:space="preserve"> [8]</w:t>
              </w:r>
            </w:hyperlink>
          </w:p>
        </w:tc>
      </w:tr>
    </w:tbl>
    <w:p w14:paraId="1041C6C1" w14:textId="77777777" w:rsidR="0033452F" w:rsidRDefault="0033452F">
      <w:pPr>
        <w:spacing w:after="170"/>
      </w:pPr>
    </w:p>
    <w:p w14:paraId="4672924F" w14:textId="77777777" w:rsidR="0033452F" w:rsidRDefault="00D66CB3">
      <w:pPr>
        <w:pStyle w:val="Heading1"/>
      </w:pPr>
      <w:bookmarkStart w:id="10" w:name="_Toc242668357"/>
      <w:r>
        <w:t>10. Synthesis and research priorities</w:t>
      </w:r>
      <w:bookmarkEnd w:id="10"/>
    </w:p>
    <w:p w14:paraId="3463C361" w14:textId="2DECC2C7" w:rsidR="0033452F" w:rsidRDefault="00D66CB3">
      <w:r>
        <w:t xml:space="preserve">The current evidence supports histone chemistry as one contributor to neuronal regulatory failure and resilience, with mechanisms differing across marks and systems. Human associations identify relevant landscapes; controlled interventions establish causal possibilities in models; reference-based analysis improves cellular interpretation. Their integration is stronger when distinctions in residue, tissue, time and intervention are retained. A universal acetylation direction or an autonomous disease histone </w:t>
      </w:r>
      <w:r>
        <w:t>code is not established by these studies.</w:t>
      </w:r>
      <w:hyperlink r:id="rId70" w:history="1">
        <w:r>
          <w:rPr>
            <w:color w:val="087B78"/>
            <w:sz w:val="18"/>
            <w:szCs w:val="18"/>
          </w:rPr>
          <w:t xml:space="preserve"> [4]</w:t>
        </w:r>
      </w:hyperlink>
      <w:hyperlink r:id="rId71" w:history="1">
        <w:r>
          <w:rPr>
            <w:color w:val="087B78"/>
            <w:sz w:val="18"/>
            <w:szCs w:val="18"/>
          </w:rPr>
          <w:t xml:space="preserve"> [5]</w:t>
        </w:r>
      </w:hyperlink>
      <w:hyperlink r:id="rId72" w:history="1">
        <w:r>
          <w:rPr>
            <w:color w:val="087B78"/>
            <w:sz w:val="18"/>
            <w:szCs w:val="18"/>
          </w:rPr>
          <w:t xml:space="preserve"> [7]</w:t>
        </w:r>
      </w:hyperlink>
      <w:hyperlink r:id="rId73" w:history="1">
        <w:r>
          <w:rPr>
            <w:color w:val="087B78"/>
            <w:sz w:val="18"/>
            <w:szCs w:val="18"/>
          </w:rPr>
          <w:t xml:space="preserve"> [11]</w:t>
        </w:r>
      </w:hyperlink>
      <w:hyperlink r:id="rId74" w:history="1">
        <w:r>
          <w:rPr>
            <w:color w:val="087B78"/>
            <w:sz w:val="18"/>
            <w:szCs w:val="18"/>
          </w:rPr>
          <w:t xml:space="preserve"> [8]</w:t>
        </w:r>
      </w:hyperlink>
    </w:p>
    <w:p w14:paraId="724B428B" w14:textId="195B3F07" w:rsidR="0033452F" w:rsidRDefault="00D66CB3">
      <w:r>
        <w:t>The next useful tests are matched cell-type and region-specific measurements combined with perturbations that separate histone from other regulator functions. Such designs can examine whether a disease-associated genomic change precedes a functional defect, whether restoring it changes the defect, and whether the effect survives an independently defined assay. The reviewed primary studies motivate these questions while preserving the difference between experimentally supported targets and demonstrated human</w:t>
      </w:r>
      <w:r>
        <w:t xml:space="preserve"> interventions.</w:t>
      </w:r>
      <w:hyperlink r:id="rId75" w:history="1">
        <w:r>
          <w:rPr>
            <w:color w:val="087B78"/>
            <w:sz w:val="18"/>
            <w:szCs w:val="18"/>
          </w:rPr>
          <w:t xml:space="preserve"> [10]</w:t>
        </w:r>
      </w:hyperlink>
      <w:hyperlink r:id="rId76" w:history="1">
        <w:r>
          <w:rPr>
            <w:color w:val="087B78"/>
            <w:sz w:val="18"/>
            <w:szCs w:val="18"/>
          </w:rPr>
          <w:t xml:space="preserve"> [2]</w:t>
        </w:r>
      </w:hyperlink>
      <w:hyperlink r:id="rId77" w:history="1">
        <w:r>
          <w:rPr>
            <w:color w:val="087B78"/>
            <w:sz w:val="18"/>
            <w:szCs w:val="18"/>
          </w:rPr>
          <w:t xml:space="preserve"> [7]</w:t>
        </w:r>
      </w:hyperlink>
      <w:hyperlink r:id="rId78" w:history="1">
        <w:r>
          <w:rPr>
            <w:color w:val="087B78"/>
            <w:sz w:val="18"/>
            <w:szCs w:val="18"/>
          </w:rPr>
          <w:t xml:space="preserve"> [8]</w:t>
        </w:r>
      </w:hyperlink>
    </w:p>
    <w:p w14:paraId="4C44B453" w14:textId="77777777" w:rsidR="0033452F" w:rsidRDefault="00D66CB3">
      <w:pPr>
        <w:pStyle w:val="Heading1"/>
      </w:pPr>
      <w:bookmarkStart w:id="11" w:name="_Toc242668358"/>
      <w:r>
        <w:lastRenderedPageBreak/>
        <w:t>References</w:t>
      </w:r>
      <w:bookmarkEnd w:id="11"/>
    </w:p>
    <w:p w14:paraId="02C6A84D" w14:textId="43B06616" w:rsidR="0033452F" w:rsidRDefault="00D66CB3">
      <w:pPr>
        <w:keepLines/>
        <w:spacing w:after="90" w:line="245" w:lineRule="auto"/>
      </w:pPr>
      <w:r>
        <w:rPr>
          <w:b/>
          <w:bCs/>
          <w:sz w:val="20"/>
          <w:szCs w:val="20"/>
        </w:rPr>
        <w:t xml:space="preserve">[1] Shogren-Knaak M, Ishii H, Sun JM, Pazin MJ, Davie JR, Peterson CL (2006). </w:t>
      </w:r>
      <w:r>
        <w:rPr>
          <w:sz w:val="20"/>
          <w:szCs w:val="20"/>
        </w:rPr>
        <w:t xml:space="preserve">Histone H4-K16 Acetylation Controls Chromatin Structure and Protein Interactions. Science 311:844–847. </w:t>
      </w:r>
      <w:hyperlink r:id="rId79" w:history="1">
        <w:r>
          <w:rPr>
            <w:color w:val="087B78"/>
            <w:sz w:val="20"/>
            <w:szCs w:val="20"/>
            <w:u w:val="single"/>
          </w:rPr>
          <w:t>10.1126/science.1124000</w:t>
        </w:r>
      </w:hyperlink>
    </w:p>
    <w:p w14:paraId="1A3344C7" w14:textId="52B7A8A2" w:rsidR="0033452F" w:rsidRDefault="00D66CB3">
      <w:pPr>
        <w:keepLines/>
        <w:spacing w:after="90" w:line="245" w:lineRule="auto"/>
      </w:pPr>
      <w:r>
        <w:rPr>
          <w:b/>
          <w:bCs/>
          <w:sz w:val="20"/>
          <w:szCs w:val="20"/>
        </w:rPr>
        <w:t xml:space="preserve">[2] You SH, Lim HW, Sun Z, Broache M, Won KJ, Lazar MA (2013). </w:t>
      </w:r>
      <w:r>
        <w:rPr>
          <w:sz w:val="20"/>
          <w:szCs w:val="20"/>
        </w:rPr>
        <w:t xml:space="preserve">Nuclear receptor co-repressors are required for the histone-deacetylase activity of HDAC3 in vivo. Nature Structural &amp; Molecular Biology 20:182–187. </w:t>
      </w:r>
      <w:hyperlink r:id="rId80" w:history="1">
        <w:r>
          <w:rPr>
            <w:color w:val="087B78"/>
            <w:sz w:val="20"/>
            <w:szCs w:val="20"/>
            <w:u w:val="single"/>
          </w:rPr>
          <w:t>10.1038/nsmb.2476</w:t>
        </w:r>
      </w:hyperlink>
    </w:p>
    <w:p w14:paraId="3BE23F9E" w14:textId="5CDB11BF" w:rsidR="0033452F" w:rsidRDefault="00D66CB3">
      <w:pPr>
        <w:keepLines/>
        <w:spacing w:after="90" w:line="245" w:lineRule="auto"/>
      </w:pPr>
      <w:r>
        <w:rPr>
          <w:b/>
          <w:bCs/>
          <w:sz w:val="20"/>
          <w:szCs w:val="20"/>
        </w:rPr>
        <w:t xml:space="preserve">[3] Egelhofer TA, Minoda A, Klugman S, et al. (2011). </w:t>
      </w:r>
      <w:r>
        <w:rPr>
          <w:sz w:val="20"/>
          <w:szCs w:val="20"/>
        </w:rPr>
        <w:t xml:space="preserve">An assessment of histone-modification antibody quality. Nature Structural &amp; Molecular Biology 18:91–93; online 5 December 2010. </w:t>
      </w:r>
      <w:hyperlink r:id="rId81" w:history="1">
        <w:r>
          <w:rPr>
            <w:color w:val="087B78"/>
            <w:sz w:val="20"/>
            <w:szCs w:val="20"/>
            <w:u w:val="single"/>
          </w:rPr>
          <w:t>10.1038/nsmb.1972</w:t>
        </w:r>
      </w:hyperlink>
    </w:p>
    <w:p w14:paraId="71AF5927" w14:textId="74A6C55C" w:rsidR="0033452F" w:rsidRDefault="00D66CB3">
      <w:pPr>
        <w:keepLines/>
        <w:spacing w:after="90" w:line="245" w:lineRule="auto"/>
      </w:pPr>
      <w:r>
        <w:rPr>
          <w:b/>
          <w:bCs/>
          <w:sz w:val="20"/>
          <w:szCs w:val="20"/>
        </w:rPr>
        <w:t xml:space="preserve">[4] Klein HU, McCabe C, Gjoneska E, et al. (2019). </w:t>
      </w:r>
      <w:r>
        <w:rPr>
          <w:sz w:val="20"/>
          <w:szCs w:val="20"/>
        </w:rPr>
        <w:t xml:space="preserve">Epigenome-wide study uncovers large-scale changes in histone acetylation driven by tau pathology in aging and Alzheimer’s human brains. Nature Neuroscience 22:37–46. </w:t>
      </w:r>
      <w:hyperlink r:id="rId82" w:history="1">
        <w:r>
          <w:rPr>
            <w:color w:val="087B78"/>
            <w:sz w:val="20"/>
            <w:szCs w:val="20"/>
            <w:u w:val="single"/>
          </w:rPr>
          <w:t>10.1038/s41593-018-0291-1</w:t>
        </w:r>
      </w:hyperlink>
    </w:p>
    <w:p w14:paraId="6EFC1551" w14:textId="1C6B5CA7" w:rsidR="0033452F" w:rsidRDefault="00D66CB3">
      <w:pPr>
        <w:keepLines/>
        <w:spacing w:after="90" w:line="245" w:lineRule="auto"/>
      </w:pPr>
      <w:r>
        <w:rPr>
          <w:b/>
          <w:bCs/>
          <w:sz w:val="20"/>
          <w:szCs w:val="20"/>
        </w:rPr>
        <w:t xml:space="preserve">[5] Nativio R, Donahue G, Berson A, et al. (2018). </w:t>
      </w:r>
      <w:r>
        <w:rPr>
          <w:sz w:val="20"/>
          <w:szCs w:val="20"/>
        </w:rPr>
        <w:t xml:space="preserve">Dysregulation of the epigenetic landscape of normal aging in Alzheimer’s disease. Nature Neuroscience 21:497–505. </w:t>
      </w:r>
      <w:hyperlink r:id="rId83" w:history="1">
        <w:r>
          <w:rPr>
            <w:color w:val="087B78"/>
            <w:sz w:val="20"/>
            <w:szCs w:val="20"/>
            <w:u w:val="single"/>
          </w:rPr>
          <w:t>10.1038/s41593-018-0101-9</w:t>
        </w:r>
      </w:hyperlink>
    </w:p>
    <w:p w14:paraId="57CAB0D9" w14:textId="4CD5DA5B" w:rsidR="0033452F" w:rsidRDefault="00D66CB3">
      <w:pPr>
        <w:keepLines/>
        <w:spacing w:after="90" w:line="245" w:lineRule="auto"/>
      </w:pPr>
      <w:r>
        <w:rPr>
          <w:b/>
          <w:bCs/>
          <w:sz w:val="20"/>
          <w:szCs w:val="20"/>
        </w:rPr>
        <w:t xml:space="preserve">[6] Nativio R, Donahue G, Berson A, et al. (2018). </w:t>
      </w:r>
      <w:r>
        <w:rPr>
          <w:sz w:val="20"/>
          <w:szCs w:val="20"/>
        </w:rPr>
        <w:t xml:space="preserve">Publisher Correction: Dysregulation of the epigenetic landscape of normal aging in Alzheimer’s disease. Nature Neuroscience. </w:t>
      </w:r>
      <w:hyperlink r:id="rId84" w:history="1">
        <w:r>
          <w:rPr>
            <w:color w:val="087B78"/>
            <w:sz w:val="20"/>
            <w:szCs w:val="20"/>
            <w:u w:val="single"/>
          </w:rPr>
          <w:t>10.1038/s41593-018-0124-2</w:t>
        </w:r>
      </w:hyperlink>
    </w:p>
    <w:p w14:paraId="15EF4861" w14:textId="40E1FEC4" w:rsidR="0033452F" w:rsidRDefault="00D66CB3">
      <w:pPr>
        <w:keepLines/>
        <w:spacing w:after="90" w:line="245" w:lineRule="auto"/>
      </w:pPr>
      <w:r>
        <w:rPr>
          <w:b/>
          <w:bCs/>
          <w:sz w:val="20"/>
          <w:szCs w:val="20"/>
        </w:rPr>
        <w:t xml:space="preserve">[7] Murphy KB, Ye Y, Tsalenchuk M, Nott A, Marzi SJ (2025). </w:t>
      </w:r>
      <w:r>
        <w:rPr>
          <w:sz w:val="20"/>
          <w:szCs w:val="20"/>
        </w:rPr>
        <w:t xml:space="preserve">CHAS infers cell type-specific signatures in bulk brain histone acetylation studies of neurological and psychiatric disorders. Cell Reports Methods 5:101032. </w:t>
      </w:r>
      <w:hyperlink r:id="rId85" w:history="1">
        <w:r>
          <w:rPr>
            <w:color w:val="087B78"/>
            <w:sz w:val="20"/>
            <w:szCs w:val="20"/>
            <w:u w:val="single"/>
          </w:rPr>
          <w:t>10.1016/j.crmeth.2025.101032</w:t>
        </w:r>
      </w:hyperlink>
    </w:p>
    <w:p w14:paraId="17B87906" w14:textId="09F6F8FE" w:rsidR="0033452F" w:rsidRDefault="00D66CB3">
      <w:pPr>
        <w:keepLines/>
        <w:spacing w:after="90" w:line="245" w:lineRule="auto"/>
      </w:pPr>
      <w:r>
        <w:rPr>
          <w:b/>
          <w:bCs/>
          <w:sz w:val="20"/>
          <w:szCs w:val="20"/>
        </w:rPr>
        <w:t xml:space="preserve">[8] Pourshafie N, Alexander DC, Xu H, et al. (2026). </w:t>
      </w:r>
      <w:r>
        <w:rPr>
          <w:sz w:val="20"/>
          <w:szCs w:val="20"/>
        </w:rPr>
        <w:t xml:space="preserve">ACSS2 upregulation enhances neuronal resilience to aging and tau-associated neurodegeneration. PNAS 123:e2503834122. </w:t>
      </w:r>
      <w:hyperlink r:id="rId86" w:history="1">
        <w:r>
          <w:rPr>
            <w:color w:val="087B78"/>
            <w:sz w:val="20"/>
            <w:szCs w:val="20"/>
            <w:u w:val="single"/>
          </w:rPr>
          <w:t>10.1073/pnas.2503834122</w:t>
        </w:r>
      </w:hyperlink>
    </w:p>
    <w:p w14:paraId="1B078F1C" w14:textId="33346174" w:rsidR="0033452F" w:rsidRDefault="00D66CB3">
      <w:pPr>
        <w:keepLines/>
        <w:spacing w:after="90" w:line="245" w:lineRule="auto"/>
      </w:pPr>
      <w:r>
        <w:rPr>
          <w:b/>
          <w:bCs/>
          <w:sz w:val="20"/>
          <w:szCs w:val="20"/>
        </w:rPr>
        <w:t xml:space="preserve">[9] Steffan JS, Bodai L, Pallos J, et al. (2001). </w:t>
      </w:r>
      <w:r>
        <w:rPr>
          <w:sz w:val="20"/>
          <w:szCs w:val="20"/>
        </w:rPr>
        <w:t xml:space="preserve">Histone deacetylase inhibitors arrest polyglutamine-dependent neurodegeneration in Drosophila. Nature 413:739–743. </w:t>
      </w:r>
      <w:hyperlink r:id="rId87" w:history="1">
        <w:r>
          <w:rPr>
            <w:color w:val="087B78"/>
            <w:sz w:val="20"/>
            <w:szCs w:val="20"/>
            <w:u w:val="single"/>
          </w:rPr>
          <w:t>10.1038/35099568</w:t>
        </w:r>
      </w:hyperlink>
    </w:p>
    <w:p w14:paraId="0C09D3EE" w14:textId="2D740BF9" w:rsidR="0033452F" w:rsidRDefault="00D66CB3">
      <w:pPr>
        <w:keepLines/>
        <w:spacing w:after="90" w:line="245" w:lineRule="auto"/>
      </w:pPr>
      <w:r>
        <w:rPr>
          <w:b/>
          <w:bCs/>
          <w:sz w:val="20"/>
          <w:szCs w:val="20"/>
        </w:rPr>
        <w:t xml:space="preserve">[10] Vashishtha M, Ng CW, Yildirim F, et al. (2013). </w:t>
      </w:r>
      <w:r>
        <w:rPr>
          <w:sz w:val="20"/>
          <w:szCs w:val="20"/>
        </w:rPr>
        <w:t xml:space="preserve">Targeting H3K4 trimethylation in Huntington disease. PNAS 110:E3027–E3036. </w:t>
      </w:r>
      <w:hyperlink r:id="rId88" w:history="1">
        <w:r>
          <w:rPr>
            <w:color w:val="087B78"/>
            <w:sz w:val="20"/>
            <w:szCs w:val="20"/>
            <w:u w:val="single"/>
          </w:rPr>
          <w:t>10.1073/pnas.1311323110</w:t>
        </w:r>
      </w:hyperlink>
    </w:p>
    <w:p w14:paraId="7014121F" w14:textId="7EC0A62D" w:rsidR="0033452F" w:rsidRDefault="00D66CB3">
      <w:pPr>
        <w:keepLines/>
        <w:spacing w:after="90" w:line="245" w:lineRule="auto"/>
      </w:pPr>
      <w:r>
        <w:rPr>
          <w:b/>
          <w:bCs/>
          <w:sz w:val="20"/>
          <w:szCs w:val="20"/>
        </w:rPr>
        <w:t xml:space="preserve">[11] Huang M, Lou D, Charli A, et al. (2021). </w:t>
      </w:r>
      <w:r>
        <w:rPr>
          <w:sz w:val="20"/>
          <w:szCs w:val="20"/>
        </w:rPr>
        <w:t xml:space="preserve">Mitochondrial dysfunction–induced H3K27 hyperacetylation perturbs enhancers in Parkinson’s disease. JCI Insight 6:e138088. </w:t>
      </w:r>
      <w:hyperlink r:id="rId89" w:history="1">
        <w:r>
          <w:rPr>
            <w:color w:val="087B78"/>
            <w:sz w:val="20"/>
            <w:szCs w:val="20"/>
            <w:u w:val="single"/>
          </w:rPr>
          <w:t>10.1172/jci.insight.138088</w:t>
        </w:r>
      </w:hyperlink>
    </w:p>
    <w:p w14:paraId="4D082619" w14:textId="77777777" w:rsidR="0033452F" w:rsidRDefault="00D66CB3">
      <w:pPr>
        <w:pStyle w:val="Heading1"/>
      </w:pPr>
      <w:bookmarkStart w:id="12" w:name="_Toc242668359"/>
      <w:r>
        <w:t>Evidence scope</w:t>
      </w:r>
      <w:bookmarkEnd w:id="12"/>
    </w:p>
    <w:p w14:paraId="4CAA6A38" w14:textId="77777777" w:rsidR="0033452F" w:rsidRDefault="00D66CB3">
      <w:pPr>
        <w:keepLines/>
        <w:spacing w:after="160" w:line="270" w:lineRule="auto"/>
      </w:pPr>
      <w:r>
        <w:t>This narrative integrates foundational and recent primary studies available by 12 October 2026. Source access ranges from original abstracts to selected Results, figure captions and Methods, as specified for each reference. It is a scholarly synthesis of the measured systems; it does not independently reproduce their experiments, analyze their raw data or establish exhaustive literature coverage.</w:t>
      </w:r>
    </w:p>
    <w:sectPr w:rsidR="0033452F">
      <w:headerReference w:type="default" r:id="rId90"/>
      <w:footerReference w:type="default" r:id="rId91"/>
      <w:pgSz w:w="12240" w:h="15840"/>
      <w:pgMar w:top="1250" w:right="1440" w:bottom="1250" w:left="1440" w:header="650" w:footer="6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5317A" w14:textId="77777777" w:rsidR="00D66CB3" w:rsidRDefault="00D66CB3">
      <w:pPr>
        <w:spacing w:after="0" w:line="240" w:lineRule="auto"/>
      </w:pPr>
      <w:r>
        <w:separator/>
      </w:r>
    </w:p>
  </w:endnote>
  <w:endnote w:type="continuationSeparator" w:id="0">
    <w:p w14:paraId="2FD1D946" w14:textId="77777777" w:rsidR="00D66CB3" w:rsidRDefault="00D66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B191C" w14:textId="77777777" w:rsidR="0033452F" w:rsidRDefault="00D66CB3">
    <w:pPr>
      <w:jc w:val="right"/>
    </w:pPr>
    <w:r>
      <w:rPr>
        <w:color w:val="527077"/>
        <w:sz w:val="17"/>
        <w:szCs w:val="17"/>
      </w:rPr>
      <w:t xml:space="preserve">CellNucleus · Page </w:t>
    </w:r>
    <w:r>
      <w:rPr>
        <w:color w:val="527077"/>
        <w:sz w:val="17"/>
        <w:szCs w:val="17"/>
      </w:rPr>
      <w:fldChar w:fldCharType="begin"/>
    </w:r>
    <w:r>
      <w:rPr>
        <w:color w:val="527077"/>
        <w:sz w:val="17"/>
        <w:szCs w:val="17"/>
      </w:rPr>
      <w:instrText>PAGE</w:instrText>
    </w:r>
    <w:r>
      <w:rPr>
        <w:color w:val="527077"/>
        <w:sz w:val="17"/>
        <w:szCs w:val="17"/>
      </w:rPr>
      <w:fldChar w:fldCharType="separate"/>
    </w:r>
    <w:r w:rsidR="00685036">
      <w:rPr>
        <w:noProof/>
        <w:color w:val="527077"/>
        <w:sz w:val="17"/>
        <w:szCs w:val="17"/>
      </w:rPr>
      <w:t>1</w:t>
    </w:r>
    <w:r>
      <w:rPr>
        <w:color w:val="527077"/>
        <w:sz w:val="17"/>
        <w:szCs w:val="17"/>
      </w:rPr>
      <w:fldChar w:fldCharType="end"/>
    </w:r>
    <w:r>
      <w:rPr>
        <w:color w:val="527077"/>
        <w:sz w:val="17"/>
        <w:szCs w:val="17"/>
      </w:rPr>
      <w:t xml:space="preserve"> of </w:t>
    </w:r>
    <w:r>
      <w:rPr>
        <w:color w:val="527077"/>
        <w:sz w:val="17"/>
        <w:szCs w:val="17"/>
      </w:rPr>
      <w:fldChar w:fldCharType="begin"/>
    </w:r>
    <w:r>
      <w:rPr>
        <w:color w:val="527077"/>
        <w:sz w:val="17"/>
        <w:szCs w:val="17"/>
      </w:rPr>
      <w:instrText>NUMPAGES</w:instrText>
    </w:r>
    <w:r>
      <w:rPr>
        <w:color w:val="527077"/>
        <w:sz w:val="17"/>
        <w:szCs w:val="17"/>
      </w:rPr>
      <w:fldChar w:fldCharType="separate"/>
    </w:r>
    <w:r w:rsidR="00685036">
      <w:rPr>
        <w:noProof/>
        <w:color w:val="527077"/>
        <w:sz w:val="17"/>
        <w:szCs w:val="17"/>
      </w:rPr>
      <w:t>2</w:t>
    </w:r>
    <w:r>
      <w:rPr>
        <w:color w:val="5270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C7E3B" w14:textId="77777777" w:rsidR="00D66CB3" w:rsidRDefault="00D66CB3">
      <w:pPr>
        <w:spacing w:after="0" w:line="240" w:lineRule="auto"/>
      </w:pPr>
      <w:r>
        <w:separator/>
      </w:r>
    </w:p>
  </w:footnote>
  <w:footnote w:type="continuationSeparator" w:id="0">
    <w:p w14:paraId="0807161E" w14:textId="77777777" w:rsidR="00D66CB3" w:rsidRDefault="00D66C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14E2" w14:textId="77777777" w:rsidR="0033452F" w:rsidRDefault="00D66CB3">
    <w:pPr>
      <w:pBdr>
        <w:bottom w:val="single" w:sz="4" w:space="0" w:color="B8D1D0"/>
      </w:pBdr>
    </w:pPr>
    <w:r>
      <w:rPr>
        <w:color w:val="527077"/>
        <w:sz w:val="17"/>
        <w:szCs w:val="17"/>
      </w:rPr>
      <w:t>Histone modifications in neurodegeneration: disease associations, mec…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E00B0"/>
    <w:multiLevelType w:val="hybridMultilevel"/>
    <w:tmpl w:val="15F82AB8"/>
    <w:lvl w:ilvl="0" w:tplc="3932B250">
      <w:start w:val="1"/>
      <w:numFmt w:val="bullet"/>
      <w:lvlText w:val="•"/>
      <w:lvlJc w:val="left"/>
      <w:pPr>
        <w:ind w:left="340" w:hanging="170"/>
      </w:pPr>
    </w:lvl>
    <w:lvl w:ilvl="1" w:tplc="2B049DF2">
      <w:numFmt w:val="decimal"/>
      <w:lvlText w:val=""/>
      <w:lvlJc w:val="left"/>
    </w:lvl>
    <w:lvl w:ilvl="2" w:tplc="DE5C08E6">
      <w:numFmt w:val="decimal"/>
      <w:lvlText w:val=""/>
      <w:lvlJc w:val="left"/>
    </w:lvl>
    <w:lvl w:ilvl="3" w:tplc="D244FAC0">
      <w:numFmt w:val="decimal"/>
      <w:lvlText w:val=""/>
      <w:lvlJc w:val="left"/>
    </w:lvl>
    <w:lvl w:ilvl="4" w:tplc="2834953C">
      <w:numFmt w:val="decimal"/>
      <w:lvlText w:val=""/>
      <w:lvlJc w:val="left"/>
    </w:lvl>
    <w:lvl w:ilvl="5" w:tplc="C4464554">
      <w:numFmt w:val="decimal"/>
      <w:lvlText w:val=""/>
      <w:lvlJc w:val="left"/>
    </w:lvl>
    <w:lvl w:ilvl="6" w:tplc="3120166A">
      <w:numFmt w:val="decimal"/>
      <w:lvlText w:val=""/>
      <w:lvlJc w:val="left"/>
    </w:lvl>
    <w:lvl w:ilvl="7" w:tplc="605AB6EC">
      <w:numFmt w:val="decimal"/>
      <w:lvlText w:val=""/>
      <w:lvlJc w:val="left"/>
    </w:lvl>
    <w:lvl w:ilvl="8" w:tplc="FEF49CA2">
      <w:numFmt w:val="decimal"/>
      <w:lvlText w:val=""/>
      <w:lvlJc w:val="left"/>
    </w:lvl>
  </w:abstractNum>
  <w:abstractNum w:abstractNumId="1" w15:restartNumberingAfterBreak="0">
    <w:nsid w:val="7BD605CC"/>
    <w:multiLevelType w:val="hybridMultilevel"/>
    <w:tmpl w:val="E01AC8CA"/>
    <w:lvl w:ilvl="0" w:tplc="70828E96">
      <w:start w:val="1"/>
      <w:numFmt w:val="bullet"/>
      <w:lvlText w:val="●"/>
      <w:lvlJc w:val="left"/>
      <w:pPr>
        <w:ind w:left="720" w:hanging="360"/>
      </w:pPr>
    </w:lvl>
    <w:lvl w:ilvl="1" w:tplc="BA306884">
      <w:start w:val="1"/>
      <w:numFmt w:val="bullet"/>
      <w:lvlText w:val="○"/>
      <w:lvlJc w:val="left"/>
      <w:pPr>
        <w:ind w:left="1440" w:hanging="360"/>
      </w:pPr>
    </w:lvl>
    <w:lvl w:ilvl="2" w:tplc="EF72A814">
      <w:start w:val="1"/>
      <w:numFmt w:val="bullet"/>
      <w:lvlText w:val="■"/>
      <w:lvlJc w:val="left"/>
      <w:pPr>
        <w:ind w:left="2160" w:hanging="360"/>
      </w:pPr>
    </w:lvl>
    <w:lvl w:ilvl="3" w:tplc="990CD8B4">
      <w:start w:val="1"/>
      <w:numFmt w:val="bullet"/>
      <w:lvlText w:val="●"/>
      <w:lvlJc w:val="left"/>
      <w:pPr>
        <w:ind w:left="2880" w:hanging="360"/>
      </w:pPr>
    </w:lvl>
    <w:lvl w:ilvl="4" w:tplc="FB1E3610">
      <w:start w:val="1"/>
      <w:numFmt w:val="bullet"/>
      <w:lvlText w:val="○"/>
      <w:lvlJc w:val="left"/>
      <w:pPr>
        <w:ind w:left="3600" w:hanging="360"/>
      </w:pPr>
    </w:lvl>
    <w:lvl w:ilvl="5" w:tplc="83CEECD8">
      <w:start w:val="1"/>
      <w:numFmt w:val="bullet"/>
      <w:lvlText w:val="■"/>
      <w:lvlJc w:val="left"/>
      <w:pPr>
        <w:ind w:left="4320" w:hanging="360"/>
      </w:pPr>
    </w:lvl>
    <w:lvl w:ilvl="6" w:tplc="989AE5A4">
      <w:start w:val="1"/>
      <w:numFmt w:val="bullet"/>
      <w:lvlText w:val="●"/>
      <w:lvlJc w:val="left"/>
      <w:pPr>
        <w:ind w:left="5040" w:hanging="360"/>
      </w:pPr>
    </w:lvl>
    <w:lvl w:ilvl="7" w:tplc="7CC649F0">
      <w:start w:val="1"/>
      <w:numFmt w:val="bullet"/>
      <w:lvlText w:val="●"/>
      <w:lvlJc w:val="left"/>
      <w:pPr>
        <w:ind w:left="5760" w:hanging="360"/>
      </w:pPr>
    </w:lvl>
    <w:lvl w:ilvl="8" w:tplc="D0BC5796">
      <w:start w:val="1"/>
      <w:numFmt w:val="bullet"/>
      <w:lvlText w:val="●"/>
      <w:lvlJc w:val="left"/>
      <w:pPr>
        <w:ind w:left="6480" w:hanging="360"/>
      </w:pPr>
    </w:lvl>
  </w:abstractNum>
  <w:num w:numId="1" w16cid:durableId="15650211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52F"/>
    <w:rsid w:val="0033452F"/>
    <w:rsid w:val="00685036"/>
    <w:rsid w:val="00D66CB3"/>
    <w:rsid w:val="00FA4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87E7E3"/>
  <w15:docId w15:val="{00E955CA-CD1D-4DBF-AA69-38CB9BB4E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43F48"/>
        <w:sz w:val="22"/>
        <w:szCs w:val="22"/>
        <w:lang w:val="en-US" w:eastAsia="en-US" w:bidi="ar-SA"/>
      </w:rPr>
    </w:rPrDefault>
    <w:pPrDefault>
      <w:pPr>
        <w:spacing w:after="150" w:line="28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30"/>
      <w:outlineLvl w:val="0"/>
    </w:pPr>
    <w:rPr>
      <w:b/>
      <w:bCs/>
      <w:color w:val="173B4C"/>
      <w:sz w:val="32"/>
      <w:szCs w:val="32"/>
    </w:rPr>
  </w:style>
  <w:style w:type="paragraph" w:styleId="Heading2">
    <w:name w:val="heading 2"/>
    <w:uiPriority w:val="9"/>
    <w:semiHidden/>
    <w:unhideWhenUsed/>
    <w:qFormat/>
    <w:pPr>
      <w:keepNext/>
      <w:spacing w:before="240" w:after="120"/>
      <w:outlineLvl w:val="1"/>
    </w:pPr>
    <w:rPr>
      <w:b/>
      <w:bCs/>
      <w:color w:val="087B7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Subtitle"/>
    <w:uiPriority w:val="10"/>
    <w:qFormat/>
    <w:pPr>
      <w:spacing w:after="240"/>
    </w:pPr>
    <w:rPr>
      <w:b/>
      <w:bCs/>
      <w:color w:val="173B4C"/>
      <w:sz w:val="54"/>
      <w:szCs w:val="5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180"/>
    </w:pPr>
    <w:rPr>
      <w:color w:val="527077"/>
      <w:sz w:val="25"/>
      <w:szCs w:val="25"/>
    </w:rPr>
  </w:style>
  <w:style w:type="paragraph" w:styleId="TOC1">
    <w:name w:val="toc 1"/>
    <w:basedOn w:val="Normal"/>
    <w:next w:val="Normal"/>
    <w:autoRedefine/>
    <w:uiPriority w:val="39"/>
    <w:unhideWhenUsed/>
    <w:rsid w:val="0068503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38/s41593-018-0291-1" TargetMode="External"/><Relationship Id="rId21" Type="http://schemas.openxmlformats.org/officeDocument/2006/relationships/hyperlink" Target="https://doi.org/10.1038/35099568" TargetMode="External"/><Relationship Id="rId42" Type="http://schemas.openxmlformats.org/officeDocument/2006/relationships/hyperlink" Target="https://doi.org/10.1073/pnas.1311323110" TargetMode="External"/><Relationship Id="rId47" Type="http://schemas.openxmlformats.org/officeDocument/2006/relationships/hyperlink" Target="https://doi.org/10.1038/35099568" TargetMode="External"/><Relationship Id="rId63" Type="http://schemas.openxmlformats.org/officeDocument/2006/relationships/hyperlink" Target="https://doi.org/10.1038/s41593-018-0291-1" TargetMode="External"/><Relationship Id="rId68" Type="http://schemas.openxmlformats.org/officeDocument/2006/relationships/hyperlink" Target="https://doi.org/10.1172/jci.insight.138088" TargetMode="External"/><Relationship Id="rId84" Type="http://schemas.openxmlformats.org/officeDocument/2006/relationships/hyperlink" Target="https://doi.org/10.1038/s41593-018-0124-2" TargetMode="External"/><Relationship Id="rId89" Type="http://schemas.openxmlformats.org/officeDocument/2006/relationships/hyperlink" Target="https://doi.org/10.1172/jci.insight.138088" TargetMode="External"/><Relationship Id="rId16" Type="http://schemas.openxmlformats.org/officeDocument/2006/relationships/hyperlink" Target="https://doi.org/10.1038/s41593-018-0101-9" TargetMode="External"/><Relationship Id="rId11" Type="http://schemas.openxmlformats.org/officeDocument/2006/relationships/hyperlink" Target="https://doi.org/10.1172/jci.insight.138088" TargetMode="External"/><Relationship Id="rId32" Type="http://schemas.openxmlformats.org/officeDocument/2006/relationships/hyperlink" Target="https://doi.org/10.1038/s41593-018-0124-2" TargetMode="External"/><Relationship Id="rId37" Type="http://schemas.openxmlformats.org/officeDocument/2006/relationships/hyperlink" Target="https://doi.org/10.1038/s41593-018-0101-9" TargetMode="External"/><Relationship Id="rId53" Type="http://schemas.openxmlformats.org/officeDocument/2006/relationships/hyperlink" Target="https://doi.org/10.1038/s41593-018-0291-1" TargetMode="External"/><Relationship Id="rId58" Type="http://schemas.openxmlformats.org/officeDocument/2006/relationships/hyperlink" Target="https://doi.org/10.1073/pnas.2503834122" TargetMode="External"/><Relationship Id="rId74" Type="http://schemas.openxmlformats.org/officeDocument/2006/relationships/hyperlink" Target="https://doi.org/10.1073/pnas.2503834122" TargetMode="External"/><Relationship Id="rId79" Type="http://schemas.openxmlformats.org/officeDocument/2006/relationships/hyperlink" Target="https://doi.org/10.1126/science.1124000" TargetMode="External"/><Relationship Id="rId5" Type="http://schemas.openxmlformats.org/officeDocument/2006/relationships/footnotes" Target="footnotes.xml"/><Relationship Id="rId90" Type="http://schemas.openxmlformats.org/officeDocument/2006/relationships/header" Target="header1.xml"/><Relationship Id="rId22" Type="http://schemas.openxmlformats.org/officeDocument/2006/relationships/hyperlink" Target="https://doi.org/10.1073/pnas.2503834122" TargetMode="External"/><Relationship Id="rId27" Type="http://schemas.openxmlformats.org/officeDocument/2006/relationships/hyperlink" Target="https://doi.org/10.1038/s41593-018-0291-1" TargetMode="External"/><Relationship Id="rId43" Type="http://schemas.openxmlformats.org/officeDocument/2006/relationships/hyperlink" Target="https://doi.org/10.1073/pnas.1311323110" TargetMode="External"/><Relationship Id="rId48" Type="http://schemas.openxmlformats.org/officeDocument/2006/relationships/hyperlink" Target="https://doi.org/10.1073/pnas.2503834122" TargetMode="External"/><Relationship Id="rId64" Type="http://schemas.openxmlformats.org/officeDocument/2006/relationships/hyperlink" Target="https://doi.org/10.1038/s41593-018-0101-9" TargetMode="External"/><Relationship Id="rId69" Type="http://schemas.openxmlformats.org/officeDocument/2006/relationships/hyperlink" Target="https://doi.org/10.1073/pnas.2503834122" TargetMode="External"/><Relationship Id="rId8" Type="http://schemas.openxmlformats.org/officeDocument/2006/relationships/hyperlink" Target="https://doi.org/10.1038/s41593-018-0101-9" TargetMode="External"/><Relationship Id="rId51" Type="http://schemas.openxmlformats.org/officeDocument/2006/relationships/hyperlink" Target="https://doi.org/10.1073/pnas.2503834122" TargetMode="External"/><Relationship Id="rId72" Type="http://schemas.openxmlformats.org/officeDocument/2006/relationships/hyperlink" Target="https://doi.org/10.1016/j.crmeth.2025.101032" TargetMode="External"/><Relationship Id="rId80" Type="http://schemas.openxmlformats.org/officeDocument/2006/relationships/hyperlink" Target="https://doi.org/10.1038/nsmb.2476" TargetMode="External"/><Relationship Id="rId85" Type="http://schemas.openxmlformats.org/officeDocument/2006/relationships/hyperlink" Target="https://doi.org/10.1016/j.crmeth.2025.101032"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doi.org/10.1016/j.crmeth.2025.101032" TargetMode="External"/><Relationship Id="rId17" Type="http://schemas.openxmlformats.org/officeDocument/2006/relationships/hyperlink" Target="https://doi.org/10.1038/35099568" TargetMode="External"/><Relationship Id="rId25" Type="http://schemas.openxmlformats.org/officeDocument/2006/relationships/hyperlink" Target="https://doi.org/10.1038/s41593-018-0291-1" TargetMode="External"/><Relationship Id="rId33" Type="http://schemas.openxmlformats.org/officeDocument/2006/relationships/hyperlink" Target="https://doi.org/10.1016/j.crmeth.2025.101032" TargetMode="External"/><Relationship Id="rId38" Type="http://schemas.openxmlformats.org/officeDocument/2006/relationships/hyperlink" Target="https://doi.org/10.1172/jci.insight.138088" TargetMode="External"/><Relationship Id="rId46" Type="http://schemas.openxmlformats.org/officeDocument/2006/relationships/hyperlink" Target="https://doi.org/10.1172/jci.insight.138088" TargetMode="External"/><Relationship Id="rId59" Type="http://schemas.openxmlformats.org/officeDocument/2006/relationships/hyperlink" Target="https://doi.org/10.1038/nsmb.1972" TargetMode="External"/><Relationship Id="rId67" Type="http://schemas.openxmlformats.org/officeDocument/2006/relationships/hyperlink" Target="https://doi.org/10.1073/pnas.1311323110" TargetMode="External"/><Relationship Id="rId20" Type="http://schemas.openxmlformats.org/officeDocument/2006/relationships/hyperlink" Target="https://doi.org/10.1172/jci.insight.138088" TargetMode="External"/><Relationship Id="rId41" Type="http://schemas.openxmlformats.org/officeDocument/2006/relationships/hyperlink" Target="https://doi.org/10.1038/nsmb.2476" TargetMode="External"/><Relationship Id="rId54" Type="http://schemas.openxmlformats.org/officeDocument/2006/relationships/hyperlink" Target="https://doi.org/10.1038/s41593-018-0101-9" TargetMode="External"/><Relationship Id="rId62" Type="http://schemas.openxmlformats.org/officeDocument/2006/relationships/hyperlink" Target="https://doi.org/10.1073/pnas.2503834122" TargetMode="External"/><Relationship Id="rId70" Type="http://schemas.openxmlformats.org/officeDocument/2006/relationships/hyperlink" Target="https://doi.org/10.1038/s41593-018-0291-1" TargetMode="External"/><Relationship Id="rId75" Type="http://schemas.openxmlformats.org/officeDocument/2006/relationships/hyperlink" Target="https://doi.org/10.1073/pnas.1311323110" TargetMode="External"/><Relationship Id="rId83" Type="http://schemas.openxmlformats.org/officeDocument/2006/relationships/hyperlink" Target="https://doi.org/10.1038/s41593-018-0101-9" TargetMode="External"/><Relationship Id="rId88" Type="http://schemas.openxmlformats.org/officeDocument/2006/relationships/hyperlink" Target="https://doi.org/10.1073/pnas.1311323110" TargetMode="External"/><Relationship Id="rId9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38/s41593-018-0291-1" TargetMode="External"/><Relationship Id="rId23" Type="http://schemas.openxmlformats.org/officeDocument/2006/relationships/hyperlink" Target="https://doi.org/10.1172/jci.insight.138088" TargetMode="External"/><Relationship Id="rId28" Type="http://schemas.openxmlformats.org/officeDocument/2006/relationships/hyperlink" Target="https://doi.org/10.1038/s41593-018-0101-9" TargetMode="External"/><Relationship Id="rId36" Type="http://schemas.openxmlformats.org/officeDocument/2006/relationships/hyperlink" Target="https://doi.org/10.1038/s41593-018-0291-1" TargetMode="External"/><Relationship Id="rId49" Type="http://schemas.openxmlformats.org/officeDocument/2006/relationships/hyperlink" Target="https://doi.org/10.1073/pnas.2503834122" TargetMode="External"/><Relationship Id="rId57" Type="http://schemas.openxmlformats.org/officeDocument/2006/relationships/hyperlink" Target="https://doi.org/10.1172/jci.insight.138088" TargetMode="External"/><Relationship Id="rId10" Type="http://schemas.openxmlformats.org/officeDocument/2006/relationships/hyperlink" Target="https://doi.org/10.1073/pnas.1311323110" TargetMode="External"/><Relationship Id="rId31" Type="http://schemas.openxmlformats.org/officeDocument/2006/relationships/hyperlink" Target="https://doi.org/10.1038/s41593-018-0101-9" TargetMode="External"/><Relationship Id="rId44" Type="http://schemas.openxmlformats.org/officeDocument/2006/relationships/hyperlink" Target="https://doi.org/10.1172/jci.insight.138088" TargetMode="External"/><Relationship Id="rId52" Type="http://schemas.openxmlformats.org/officeDocument/2006/relationships/hyperlink" Target="https://doi.org/10.1073/pnas.2503834122" TargetMode="External"/><Relationship Id="rId60" Type="http://schemas.openxmlformats.org/officeDocument/2006/relationships/hyperlink" Target="https://doi.org/10.1038/nsmb.2476" TargetMode="External"/><Relationship Id="rId65" Type="http://schemas.openxmlformats.org/officeDocument/2006/relationships/hyperlink" Target="https://doi.org/10.1016/j.crmeth.2025.101032" TargetMode="External"/><Relationship Id="rId73" Type="http://schemas.openxmlformats.org/officeDocument/2006/relationships/hyperlink" Target="https://doi.org/10.1172/jci.insight.138088" TargetMode="External"/><Relationship Id="rId78" Type="http://schemas.openxmlformats.org/officeDocument/2006/relationships/hyperlink" Target="https://doi.org/10.1073/pnas.2503834122" TargetMode="External"/><Relationship Id="rId81" Type="http://schemas.openxmlformats.org/officeDocument/2006/relationships/hyperlink" Target="https://doi.org/10.1038/nsmb.1972" TargetMode="External"/><Relationship Id="rId86" Type="http://schemas.openxmlformats.org/officeDocument/2006/relationships/hyperlink" Target="https://doi.org/10.1073/pnas.2503834122" TargetMode="External"/><Relationship Id="rId4" Type="http://schemas.openxmlformats.org/officeDocument/2006/relationships/webSettings" Target="webSettings.xml"/><Relationship Id="rId9" Type="http://schemas.openxmlformats.org/officeDocument/2006/relationships/hyperlink" Target="https://doi.org/10.1038/35099568" TargetMode="External"/><Relationship Id="rId13" Type="http://schemas.openxmlformats.org/officeDocument/2006/relationships/hyperlink" Target="https://doi.org/10.1073/pnas.2503834122" TargetMode="External"/><Relationship Id="rId18" Type="http://schemas.openxmlformats.org/officeDocument/2006/relationships/hyperlink" Target="https://doi.org/10.1126/science.1124000" TargetMode="External"/><Relationship Id="rId39" Type="http://schemas.openxmlformats.org/officeDocument/2006/relationships/hyperlink" Target="https://doi.org/10.1038/35099568" TargetMode="External"/><Relationship Id="rId34" Type="http://schemas.openxmlformats.org/officeDocument/2006/relationships/hyperlink" Target="https://doi.org/10.1016/j.crmeth.2025.101032" TargetMode="External"/><Relationship Id="rId50" Type="http://schemas.openxmlformats.org/officeDocument/2006/relationships/hyperlink" Target="https://doi.org/10.1073/pnas.2503834122" TargetMode="External"/><Relationship Id="rId55" Type="http://schemas.openxmlformats.org/officeDocument/2006/relationships/hyperlink" Target="https://doi.org/10.1016/j.crmeth.2025.101032" TargetMode="External"/><Relationship Id="rId76" Type="http://schemas.openxmlformats.org/officeDocument/2006/relationships/hyperlink" Target="https://doi.org/10.1038/nsmb.2476" TargetMode="External"/><Relationship Id="rId7" Type="http://schemas.openxmlformats.org/officeDocument/2006/relationships/hyperlink" Target="https://doi.org/10.1038/s41593-018-0291-1" TargetMode="External"/><Relationship Id="rId71" Type="http://schemas.openxmlformats.org/officeDocument/2006/relationships/hyperlink" Target="https://doi.org/10.1038/s41593-018-0101-9"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doi.org/10.1038/s41593-018-0101-9" TargetMode="External"/><Relationship Id="rId24" Type="http://schemas.openxmlformats.org/officeDocument/2006/relationships/hyperlink" Target="https://doi.org/10.1038/s41593-018-0291-1" TargetMode="External"/><Relationship Id="rId40" Type="http://schemas.openxmlformats.org/officeDocument/2006/relationships/hyperlink" Target="https://doi.org/10.1038/35099568" TargetMode="External"/><Relationship Id="rId45" Type="http://schemas.openxmlformats.org/officeDocument/2006/relationships/hyperlink" Target="https://doi.org/10.1172/jci.insight.138088" TargetMode="External"/><Relationship Id="rId66" Type="http://schemas.openxmlformats.org/officeDocument/2006/relationships/hyperlink" Target="https://doi.org/10.1038/35099568" TargetMode="External"/><Relationship Id="rId87" Type="http://schemas.openxmlformats.org/officeDocument/2006/relationships/hyperlink" Target="https://doi.org/10.1038/35099568" TargetMode="External"/><Relationship Id="rId61" Type="http://schemas.openxmlformats.org/officeDocument/2006/relationships/hyperlink" Target="https://doi.org/10.1038/35099568" TargetMode="External"/><Relationship Id="rId82" Type="http://schemas.openxmlformats.org/officeDocument/2006/relationships/hyperlink" Target="https://doi.org/10.1038/s41593-018-0291-1" TargetMode="External"/><Relationship Id="rId19" Type="http://schemas.openxmlformats.org/officeDocument/2006/relationships/hyperlink" Target="https://doi.org/10.1038/s41593-018-0291-1" TargetMode="External"/><Relationship Id="rId14" Type="http://schemas.openxmlformats.org/officeDocument/2006/relationships/hyperlink" Target="https://doi.org/10.1038/s41593-018-0291-1" TargetMode="External"/><Relationship Id="rId30" Type="http://schemas.openxmlformats.org/officeDocument/2006/relationships/hyperlink" Target="https://doi.org/10.1126/science.1124000" TargetMode="External"/><Relationship Id="rId35" Type="http://schemas.openxmlformats.org/officeDocument/2006/relationships/hyperlink" Target="https://doi.org/10.1016/j.crmeth.2025.101032" TargetMode="External"/><Relationship Id="rId56" Type="http://schemas.openxmlformats.org/officeDocument/2006/relationships/hyperlink" Target="https://doi.org/10.1038/s41593-018-0291-1" TargetMode="External"/><Relationship Id="rId77" Type="http://schemas.openxmlformats.org/officeDocument/2006/relationships/hyperlink" Target="https://doi.org/10.1016/j.crmeth.2025.1010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2747</Words>
  <Characters>18043</Characters>
  <Application>Microsoft Office Word</Application>
  <DocSecurity>0</DocSecurity>
  <Lines>289</Lines>
  <Paragraphs>93</Paragraphs>
  <ScaleCrop>false</ScaleCrop>
  <Company/>
  <LinksUpToDate>false</LinksUpToDate>
  <CharactersWithSpaces>20688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Histone modifications in neurodegeneration: disease associations, mechanisms and current evidence</dc:title>
  <dc:subject>Alzheimer-related acetylation, polyglutamine models and mitochondrial Parkinson mechanisms, with cell-type and causal interpretation.</dc:subject>
  <dc:creator>CellNucleus</dc:creator>
  <dc:description>Current source-based review with a matching webpage edition.</dc:description>
  <cp:lastModifiedBy>Michael Hendzel</cp:lastModifiedBy>
  <cp:revision>2</cp:revision>
  <dcterms:created xsi:type="dcterms:W3CDTF">2026-10-12T09:31:00Z</dcterms:created>
  <dcterms:modified xsi:type="dcterms:W3CDTF">2026-10-12T09:31:00Z</dcterms:modified>
</cp:coreProperties>
</file>