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C7764" w14:textId="77777777" w:rsidR="00DC0EB4" w:rsidRDefault="00BA697F">
      <w:pPr>
        <w:pStyle w:val="Title"/>
      </w:pPr>
      <w:r>
        <w:t>Nuclear Pore Complexes: Architecture, Selective Transport and Plasticity</w:t>
      </w:r>
    </w:p>
    <w:p w14:paraId="022D19DD" w14:textId="77777777" w:rsidR="00DC0EB4" w:rsidRDefault="00BA697F">
      <w:pPr>
        <w:pStyle w:val="Subtitle"/>
      </w:pPr>
      <w:r>
        <w:t>Integrated primary evidence from structural scaffolds to current barrier dynamics</w:t>
      </w:r>
    </w:p>
    <w:p w14:paraId="1745E14B" w14:textId="77777777" w:rsidR="00DC0EB4" w:rsidRDefault="00BA697F">
      <w:pPr>
        <w:spacing w:before="200" w:after="320"/>
      </w:pPr>
      <w:r>
        <w:rPr>
          <w:color w:val="087B78"/>
          <w:sz w:val="20"/>
          <w:szCs w:val="20"/>
        </w:rPr>
        <w:t>CellNucleus · Current research review · 12 October 2026</w:t>
      </w:r>
    </w:p>
    <w:p w14:paraId="6EE0C1F4" w14:textId="77777777" w:rsidR="00DC0EB4" w:rsidRDefault="00BA697F">
      <w:pPr>
        <w:pStyle w:val="Heading1"/>
      </w:pPr>
      <w:bookmarkStart w:id="0" w:name="_Toc242668376"/>
      <w:r>
        <w:t>Abstract</w:t>
      </w:r>
      <w:bookmarkEnd w:id="0"/>
    </w:p>
    <w:p w14:paraId="3F7D97F7" w14:textId="37DD5C2E" w:rsidR="00DC0EB4" w:rsidRDefault="00BA697F">
      <w:r>
        <w:t>Nuclear pore complexes connect the nucleoplasm and cytoplasm through a molecularly organized channel embedded in the nuclear envelope. Structured scaffold and linker components coexist with dynamic FG-repeat domains and transport factors that determine selective exchange. Primary experiments distinguish architecture, passive passage, receptor-mediated transport, RNA-export remodeling and pressure-driven flow. Current work also demonstrates pore plasticity and context-dependent barrier organization, making a</w:t>
      </w:r>
      <w:r>
        <w:t xml:space="preserve"> single diameter or molecular-mass cutoff an inadequate description of all NPC function.</w:t>
      </w:r>
      <w:hyperlink r:id="rId7" w:history="1">
        <w:r>
          <w:rPr>
            <w:color w:val="087B78"/>
            <w:sz w:val="18"/>
            <w:szCs w:val="18"/>
          </w:rPr>
          <w:t xml:space="preserve"> [1]</w:t>
        </w:r>
      </w:hyperlink>
      <w:hyperlink r:id="rId8" w:history="1">
        <w:r>
          <w:rPr>
            <w:color w:val="087B78"/>
            <w:sz w:val="18"/>
            <w:szCs w:val="18"/>
          </w:rPr>
          <w:t xml:space="preserve"> [2]</w:t>
        </w:r>
      </w:hyperlink>
      <w:hyperlink r:id="rId9" w:history="1">
        <w:r>
          <w:rPr>
            <w:color w:val="087B78"/>
            <w:sz w:val="18"/>
            <w:szCs w:val="18"/>
          </w:rPr>
          <w:t xml:space="preserve"> [3]</w:t>
        </w:r>
      </w:hyperlink>
      <w:hyperlink r:id="rId10" w:history="1">
        <w:r>
          <w:rPr>
            <w:color w:val="087B78"/>
            <w:sz w:val="18"/>
            <w:szCs w:val="18"/>
          </w:rPr>
          <w:t xml:space="preserve"> [4]</w:t>
        </w:r>
      </w:hyperlink>
      <w:hyperlink r:id="rId11" w:history="1">
        <w:r>
          <w:rPr>
            <w:color w:val="087B78"/>
            <w:sz w:val="18"/>
            <w:szCs w:val="18"/>
          </w:rPr>
          <w:t xml:space="preserve"> [5]</w:t>
        </w:r>
      </w:hyperlink>
      <w:hyperlink r:id="rId12" w:history="1">
        <w:r>
          <w:rPr>
            <w:color w:val="087B78"/>
            <w:sz w:val="18"/>
            <w:szCs w:val="18"/>
          </w:rPr>
          <w:t xml:space="preserve"> [6]</w:t>
        </w:r>
      </w:hyperlink>
      <w:hyperlink r:id="rId13" w:history="1">
        <w:r>
          <w:rPr>
            <w:color w:val="087B78"/>
            <w:sz w:val="18"/>
            <w:szCs w:val="18"/>
          </w:rPr>
          <w:t xml:space="preserve"> [7]</w:t>
        </w:r>
      </w:hyperlink>
      <w:hyperlink r:id="rId14" w:history="1">
        <w:r>
          <w:rPr>
            <w:color w:val="087B78"/>
            <w:sz w:val="18"/>
            <w:szCs w:val="18"/>
          </w:rPr>
          <w:t xml:space="preserve"> [8]</w:t>
        </w:r>
      </w:hyperlink>
    </w:p>
    <w:p w14:paraId="503BAEFA" w14:textId="601E98B4" w:rsidR="00DC0EB4" w:rsidRDefault="00BA697F">
      <w:r>
        <w:t>This review develops those distinctions and integrates recent 2024–2025 experiments with foundational structural and transport studies. It keeps native pores separate from reconstituted FG assemblies, structural images separate from exchange measurements, and specific disease models separate from universal clinical mechanisms. The NPC emerges as a dynamic interface whose geometry, interactions and pathway chemistry jointly support transport.</w:t>
      </w:r>
      <w:hyperlink r:id="rId15" w:history="1">
        <w:r>
          <w:rPr>
            <w:color w:val="087B78"/>
            <w:sz w:val="18"/>
            <w:szCs w:val="18"/>
          </w:rPr>
          <w:t xml:space="preserve"> [9]</w:t>
        </w:r>
      </w:hyperlink>
      <w:hyperlink r:id="rId16" w:history="1">
        <w:r>
          <w:rPr>
            <w:color w:val="087B78"/>
            <w:sz w:val="18"/>
            <w:szCs w:val="18"/>
          </w:rPr>
          <w:t xml:space="preserve"> [10]</w:t>
        </w:r>
      </w:hyperlink>
      <w:hyperlink r:id="rId17" w:history="1">
        <w:r>
          <w:rPr>
            <w:color w:val="087B78"/>
            <w:sz w:val="18"/>
            <w:szCs w:val="18"/>
          </w:rPr>
          <w:t xml:space="preserve"> [8]</w:t>
        </w:r>
      </w:hyperlink>
      <w:hyperlink r:id="rId18" w:history="1">
        <w:r>
          <w:rPr>
            <w:color w:val="087B78"/>
            <w:sz w:val="18"/>
            <w:szCs w:val="18"/>
          </w:rPr>
          <w:t xml:space="preserve"> [11]</w:t>
        </w:r>
      </w:hyperlink>
      <w:hyperlink r:id="rId19" w:history="1">
        <w:r>
          <w:rPr>
            <w:color w:val="087B78"/>
            <w:sz w:val="18"/>
            <w:szCs w:val="18"/>
          </w:rPr>
          <w:t xml:space="preserve"> [12]</w:t>
        </w:r>
      </w:hyperlink>
    </w:p>
    <w:p w14:paraId="1CB49B44" w14:textId="77777777" w:rsidR="00DC0EB4" w:rsidRDefault="00BA697F">
      <w:pPr>
        <w:pageBreakBefore/>
        <w:spacing w:before="330"/>
      </w:pPr>
      <w:r>
        <w:rPr>
          <w:b/>
          <w:bCs/>
          <w:color w:val="173B4C"/>
          <w:sz w:val="32"/>
          <w:szCs w:val="32"/>
        </w:rPr>
        <w:lastRenderedPageBreak/>
        <w:t>Contents</w:t>
      </w:r>
    </w:p>
    <w:sdt>
      <w:sdtPr>
        <w:alias w:val="Contents"/>
        <w:id w:val="-399134730"/>
      </w:sdtPr>
      <w:sdtEndPr/>
      <w:sdtContent>
        <w:p w14:paraId="444F22A7" w14:textId="6FB72A02" w:rsidR="003566AC" w:rsidRDefault="00BA697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76" w:history="1">
            <w:r w:rsidR="003566AC" w:rsidRPr="00054192">
              <w:rPr>
                <w:rStyle w:val="Hyperlink"/>
                <w:noProof/>
              </w:rPr>
              <w:t>Abstract</w:t>
            </w:r>
            <w:r w:rsidR="003566AC">
              <w:rPr>
                <w:noProof/>
              </w:rPr>
              <w:tab/>
            </w:r>
            <w:r w:rsidR="003566AC">
              <w:rPr>
                <w:noProof/>
              </w:rPr>
              <w:fldChar w:fldCharType="begin"/>
            </w:r>
            <w:r w:rsidR="003566AC">
              <w:rPr>
                <w:noProof/>
              </w:rPr>
              <w:instrText xml:space="preserve"> PAGEREF _Toc242668376 \h </w:instrText>
            </w:r>
            <w:r w:rsidR="003566AC">
              <w:rPr>
                <w:noProof/>
              </w:rPr>
            </w:r>
            <w:r w:rsidR="003566AC">
              <w:rPr>
                <w:noProof/>
              </w:rPr>
              <w:fldChar w:fldCharType="separate"/>
            </w:r>
            <w:r w:rsidR="003566AC">
              <w:rPr>
                <w:noProof/>
              </w:rPr>
              <w:t>1</w:t>
            </w:r>
            <w:r w:rsidR="003566AC">
              <w:rPr>
                <w:noProof/>
              </w:rPr>
              <w:fldChar w:fldCharType="end"/>
            </w:r>
          </w:hyperlink>
        </w:p>
        <w:p w14:paraId="2AF12CA6" w14:textId="2ADAC35A" w:rsidR="003566AC" w:rsidRDefault="003566A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7" w:history="1">
            <w:r w:rsidRPr="00054192">
              <w:rPr>
                <w:rStyle w:val="Hyperlink"/>
                <w:noProof/>
              </w:rPr>
              <w:t>1. Scaffold architecture provides the channel framework</w:t>
            </w:r>
            <w:r>
              <w:rPr>
                <w:noProof/>
              </w:rPr>
              <w:tab/>
            </w:r>
            <w:r>
              <w:rPr>
                <w:noProof/>
              </w:rPr>
              <w:fldChar w:fldCharType="begin"/>
            </w:r>
            <w:r>
              <w:rPr>
                <w:noProof/>
              </w:rPr>
              <w:instrText xml:space="preserve"> PAGEREF _Toc242668377 \h </w:instrText>
            </w:r>
            <w:r>
              <w:rPr>
                <w:noProof/>
              </w:rPr>
            </w:r>
            <w:r>
              <w:rPr>
                <w:noProof/>
              </w:rPr>
              <w:fldChar w:fldCharType="separate"/>
            </w:r>
            <w:r>
              <w:rPr>
                <w:noProof/>
              </w:rPr>
              <w:t>2</w:t>
            </w:r>
            <w:r>
              <w:rPr>
                <w:noProof/>
              </w:rPr>
              <w:fldChar w:fldCharType="end"/>
            </w:r>
          </w:hyperlink>
        </w:p>
        <w:p w14:paraId="014A96D4" w14:textId="01225318" w:rsidR="003566AC" w:rsidRDefault="003566A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8" w:history="1">
            <w:r w:rsidRPr="00054192">
              <w:rPr>
                <w:rStyle w:val="Hyperlink"/>
                <w:noProof/>
              </w:rPr>
              <w:t>2. Pore composition and geometry are context dependent</w:t>
            </w:r>
            <w:r>
              <w:rPr>
                <w:noProof/>
              </w:rPr>
              <w:tab/>
            </w:r>
            <w:r>
              <w:rPr>
                <w:noProof/>
              </w:rPr>
              <w:fldChar w:fldCharType="begin"/>
            </w:r>
            <w:r>
              <w:rPr>
                <w:noProof/>
              </w:rPr>
              <w:instrText xml:space="preserve"> PAGEREF _Toc242668378 \h </w:instrText>
            </w:r>
            <w:r>
              <w:rPr>
                <w:noProof/>
              </w:rPr>
            </w:r>
            <w:r>
              <w:rPr>
                <w:noProof/>
              </w:rPr>
              <w:fldChar w:fldCharType="separate"/>
            </w:r>
            <w:r>
              <w:rPr>
                <w:noProof/>
              </w:rPr>
              <w:t>3</w:t>
            </w:r>
            <w:r>
              <w:rPr>
                <w:noProof/>
              </w:rPr>
              <w:fldChar w:fldCharType="end"/>
            </w:r>
          </w:hyperlink>
        </w:p>
        <w:p w14:paraId="2588F12C" w14:textId="00C79644" w:rsidR="003566AC" w:rsidRDefault="003566A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9" w:history="1">
            <w:r w:rsidRPr="00054192">
              <w:rPr>
                <w:rStyle w:val="Hyperlink"/>
                <w:noProof/>
              </w:rPr>
              <w:t>3. FG domains and transport factors create a dynamic barrier</w:t>
            </w:r>
            <w:r>
              <w:rPr>
                <w:noProof/>
              </w:rPr>
              <w:tab/>
            </w:r>
            <w:r>
              <w:rPr>
                <w:noProof/>
              </w:rPr>
              <w:fldChar w:fldCharType="begin"/>
            </w:r>
            <w:r>
              <w:rPr>
                <w:noProof/>
              </w:rPr>
              <w:instrText xml:space="preserve"> PAGEREF _Toc242668379 \h </w:instrText>
            </w:r>
            <w:r>
              <w:rPr>
                <w:noProof/>
              </w:rPr>
            </w:r>
            <w:r>
              <w:rPr>
                <w:noProof/>
              </w:rPr>
              <w:fldChar w:fldCharType="separate"/>
            </w:r>
            <w:r>
              <w:rPr>
                <w:noProof/>
              </w:rPr>
              <w:t>3</w:t>
            </w:r>
            <w:r>
              <w:rPr>
                <w:noProof/>
              </w:rPr>
              <w:fldChar w:fldCharType="end"/>
            </w:r>
          </w:hyperlink>
        </w:p>
        <w:p w14:paraId="1198FAA2" w14:textId="3AEFA674" w:rsidR="003566AC" w:rsidRDefault="003566A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0" w:history="1">
            <w:r w:rsidRPr="00054192">
              <w:rPr>
                <w:rStyle w:val="Hyperlink"/>
                <w:noProof/>
              </w:rPr>
              <w:t>4. Passive exchange is graded for the examined cargoes</w:t>
            </w:r>
            <w:r>
              <w:rPr>
                <w:noProof/>
              </w:rPr>
              <w:tab/>
            </w:r>
            <w:r>
              <w:rPr>
                <w:noProof/>
              </w:rPr>
              <w:fldChar w:fldCharType="begin"/>
            </w:r>
            <w:r>
              <w:rPr>
                <w:noProof/>
              </w:rPr>
              <w:instrText xml:space="preserve"> PAGEREF _Toc242668380 \h </w:instrText>
            </w:r>
            <w:r>
              <w:rPr>
                <w:noProof/>
              </w:rPr>
            </w:r>
            <w:r>
              <w:rPr>
                <w:noProof/>
              </w:rPr>
              <w:fldChar w:fldCharType="separate"/>
            </w:r>
            <w:r>
              <w:rPr>
                <w:noProof/>
              </w:rPr>
              <w:t>4</w:t>
            </w:r>
            <w:r>
              <w:rPr>
                <w:noProof/>
              </w:rPr>
              <w:fldChar w:fldCharType="end"/>
            </w:r>
          </w:hyperlink>
        </w:p>
        <w:p w14:paraId="34D3C912" w14:textId="0116F54D" w:rsidR="003566AC" w:rsidRDefault="003566A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1" w:history="1">
            <w:r w:rsidRPr="00054192">
              <w:rPr>
                <w:rStyle w:val="Hyperlink"/>
                <w:noProof/>
              </w:rPr>
              <w:t>5. Receptor-mediated transport has directional chemistry</w:t>
            </w:r>
            <w:r>
              <w:rPr>
                <w:noProof/>
              </w:rPr>
              <w:tab/>
            </w:r>
            <w:r>
              <w:rPr>
                <w:noProof/>
              </w:rPr>
              <w:fldChar w:fldCharType="begin"/>
            </w:r>
            <w:r>
              <w:rPr>
                <w:noProof/>
              </w:rPr>
              <w:instrText xml:space="preserve"> PAGEREF _Toc242668381 \h </w:instrText>
            </w:r>
            <w:r>
              <w:rPr>
                <w:noProof/>
              </w:rPr>
            </w:r>
            <w:r>
              <w:rPr>
                <w:noProof/>
              </w:rPr>
              <w:fldChar w:fldCharType="separate"/>
            </w:r>
            <w:r>
              <w:rPr>
                <w:noProof/>
              </w:rPr>
              <w:t>5</w:t>
            </w:r>
            <w:r>
              <w:rPr>
                <w:noProof/>
              </w:rPr>
              <w:fldChar w:fldCharType="end"/>
            </w:r>
          </w:hyperlink>
        </w:p>
        <w:p w14:paraId="3BD579D0" w14:textId="23382698" w:rsidR="003566AC" w:rsidRDefault="003566A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2" w:history="1">
            <w:r w:rsidRPr="00054192">
              <w:rPr>
                <w:rStyle w:val="Hyperlink"/>
                <w:noProof/>
              </w:rPr>
              <w:t>6. Cargo interaction can matter as much as size</w:t>
            </w:r>
            <w:r>
              <w:rPr>
                <w:noProof/>
              </w:rPr>
              <w:tab/>
            </w:r>
            <w:r>
              <w:rPr>
                <w:noProof/>
              </w:rPr>
              <w:fldChar w:fldCharType="begin"/>
            </w:r>
            <w:r>
              <w:rPr>
                <w:noProof/>
              </w:rPr>
              <w:instrText xml:space="preserve"> PAGEREF _Toc242668382 \h </w:instrText>
            </w:r>
            <w:r>
              <w:rPr>
                <w:noProof/>
              </w:rPr>
            </w:r>
            <w:r>
              <w:rPr>
                <w:noProof/>
              </w:rPr>
              <w:fldChar w:fldCharType="separate"/>
            </w:r>
            <w:r>
              <w:rPr>
                <w:noProof/>
              </w:rPr>
              <w:t>5</w:t>
            </w:r>
            <w:r>
              <w:rPr>
                <w:noProof/>
              </w:rPr>
              <w:fldChar w:fldCharType="end"/>
            </w:r>
          </w:hyperlink>
        </w:p>
        <w:p w14:paraId="07AF0096" w14:textId="315BBA0D" w:rsidR="003566AC" w:rsidRDefault="003566A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3" w:history="1">
            <w:r w:rsidRPr="00054192">
              <w:rPr>
                <w:rStyle w:val="Hyperlink"/>
                <w:noProof/>
              </w:rPr>
              <w:t>7. Assembly must coordinate membrane topology and function</w:t>
            </w:r>
            <w:r>
              <w:rPr>
                <w:noProof/>
              </w:rPr>
              <w:tab/>
            </w:r>
            <w:r>
              <w:rPr>
                <w:noProof/>
              </w:rPr>
              <w:fldChar w:fldCharType="begin"/>
            </w:r>
            <w:r>
              <w:rPr>
                <w:noProof/>
              </w:rPr>
              <w:instrText xml:space="preserve"> PAGEREF _Toc242668383 \h </w:instrText>
            </w:r>
            <w:r>
              <w:rPr>
                <w:noProof/>
              </w:rPr>
            </w:r>
            <w:r>
              <w:rPr>
                <w:noProof/>
              </w:rPr>
              <w:fldChar w:fldCharType="separate"/>
            </w:r>
            <w:r>
              <w:rPr>
                <w:noProof/>
              </w:rPr>
              <w:t>5</w:t>
            </w:r>
            <w:r>
              <w:rPr>
                <w:noProof/>
              </w:rPr>
              <w:fldChar w:fldCharType="end"/>
            </w:r>
          </w:hyperlink>
        </w:p>
        <w:p w14:paraId="5FB63862" w14:textId="5FE27A56" w:rsidR="003566AC" w:rsidRDefault="003566A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4" w:history="1">
            <w:r w:rsidRPr="00054192">
              <w:rPr>
                <w:rStyle w:val="Hyperlink"/>
                <w:noProof/>
              </w:rPr>
              <w:t>8. Current studies link NPCs to deformation and fluid flow</w:t>
            </w:r>
            <w:r>
              <w:rPr>
                <w:noProof/>
              </w:rPr>
              <w:tab/>
            </w:r>
            <w:r>
              <w:rPr>
                <w:noProof/>
              </w:rPr>
              <w:fldChar w:fldCharType="begin"/>
            </w:r>
            <w:r>
              <w:rPr>
                <w:noProof/>
              </w:rPr>
              <w:instrText xml:space="preserve"> PAGEREF _Toc242668384 \h </w:instrText>
            </w:r>
            <w:r>
              <w:rPr>
                <w:noProof/>
              </w:rPr>
            </w:r>
            <w:r>
              <w:rPr>
                <w:noProof/>
              </w:rPr>
              <w:fldChar w:fldCharType="separate"/>
            </w:r>
            <w:r>
              <w:rPr>
                <w:noProof/>
              </w:rPr>
              <w:t>6</w:t>
            </w:r>
            <w:r>
              <w:rPr>
                <w:noProof/>
              </w:rPr>
              <w:fldChar w:fldCharType="end"/>
            </w:r>
          </w:hyperlink>
        </w:p>
        <w:p w14:paraId="6C9DE2C9" w14:textId="4D99CDE8" w:rsidR="003566AC" w:rsidRDefault="003566A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5" w:history="1">
            <w:r w:rsidRPr="00054192">
              <w:rPr>
                <w:rStyle w:val="Hyperlink"/>
                <w:noProof/>
              </w:rPr>
              <w:t>9. Pore maintenance and disease evidence require specific models</w:t>
            </w:r>
            <w:r>
              <w:rPr>
                <w:noProof/>
              </w:rPr>
              <w:tab/>
            </w:r>
            <w:r>
              <w:rPr>
                <w:noProof/>
              </w:rPr>
              <w:fldChar w:fldCharType="begin"/>
            </w:r>
            <w:r>
              <w:rPr>
                <w:noProof/>
              </w:rPr>
              <w:instrText xml:space="preserve"> PAGEREF _Toc242668385 \h </w:instrText>
            </w:r>
            <w:r>
              <w:rPr>
                <w:noProof/>
              </w:rPr>
            </w:r>
            <w:r>
              <w:rPr>
                <w:noProof/>
              </w:rPr>
              <w:fldChar w:fldCharType="separate"/>
            </w:r>
            <w:r>
              <w:rPr>
                <w:noProof/>
              </w:rPr>
              <w:t>6</w:t>
            </w:r>
            <w:r>
              <w:rPr>
                <w:noProof/>
              </w:rPr>
              <w:fldChar w:fldCharType="end"/>
            </w:r>
          </w:hyperlink>
        </w:p>
        <w:p w14:paraId="00123B66" w14:textId="78E73DB3" w:rsidR="003566AC" w:rsidRDefault="003566A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6" w:history="1">
            <w:r w:rsidRPr="00054192">
              <w:rPr>
                <w:rStyle w:val="Hyperlink"/>
                <w:noProof/>
              </w:rPr>
              <w:t>10. An integrated contemporary model</w:t>
            </w:r>
            <w:r>
              <w:rPr>
                <w:noProof/>
              </w:rPr>
              <w:tab/>
            </w:r>
            <w:r>
              <w:rPr>
                <w:noProof/>
              </w:rPr>
              <w:fldChar w:fldCharType="begin"/>
            </w:r>
            <w:r>
              <w:rPr>
                <w:noProof/>
              </w:rPr>
              <w:instrText xml:space="preserve"> PAGEREF _Toc242668386 \h </w:instrText>
            </w:r>
            <w:r>
              <w:rPr>
                <w:noProof/>
              </w:rPr>
            </w:r>
            <w:r>
              <w:rPr>
                <w:noProof/>
              </w:rPr>
              <w:fldChar w:fldCharType="separate"/>
            </w:r>
            <w:r>
              <w:rPr>
                <w:noProof/>
              </w:rPr>
              <w:t>7</w:t>
            </w:r>
            <w:r>
              <w:rPr>
                <w:noProof/>
              </w:rPr>
              <w:fldChar w:fldCharType="end"/>
            </w:r>
          </w:hyperlink>
        </w:p>
        <w:p w14:paraId="567D6DA1" w14:textId="091B64E8" w:rsidR="003566AC" w:rsidRDefault="003566A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7" w:history="1">
            <w:r w:rsidRPr="00054192">
              <w:rPr>
                <w:rStyle w:val="Hyperlink"/>
                <w:noProof/>
              </w:rPr>
              <w:t>References</w:t>
            </w:r>
            <w:r>
              <w:rPr>
                <w:noProof/>
              </w:rPr>
              <w:tab/>
            </w:r>
            <w:r>
              <w:rPr>
                <w:noProof/>
              </w:rPr>
              <w:fldChar w:fldCharType="begin"/>
            </w:r>
            <w:r>
              <w:rPr>
                <w:noProof/>
              </w:rPr>
              <w:instrText xml:space="preserve"> PAGEREF _Toc242668387 \h </w:instrText>
            </w:r>
            <w:r>
              <w:rPr>
                <w:noProof/>
              </w:rPr>
            </w:r>
            <w:r>
              <w:rPr>
                <w:noProof/>
              </w:rPr>
              <w:fldChar w:fldCharType="separate"/>
            </w:r>
            <w:r>
              <w:rPr>
                <w:noProof/>
              </w:rPr>
              <w:t>7</w:t>
            </w:r>
            <w:r>
              <w:rPr>
                <w:noProof/>
              </w:rPr>
              <w:fldChar w:fldCharType="end"/>
            </w:r>
          </w:hyperlink>
        </w:p>
        <w:p w14:paraId="24E38E76" w14:textId="046A2C01" w:rsidR="003566AC" w:rsidRDefault="003566A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8" w:history="1">
            <w:r w:rsidRPr="00054192">
              <w:rPr>
                <w:rStyle w:val="Hyperlink"/>
                <w:noProof/>
              </w:rPr>
              <w:t>Evidence scope</w:t>
            </w:r>
            <w:r>
              <w:rPr>
                <w:noProof/>
              </w:rPr>
              <w:tab/>
            </w:r>
            <w:r>
              <w:rPr>
                <w:noProof/>
              </w:rPr>
              <w:fldChar w:fldCharType="begin"/>
            </w:r>
            <w:r>
              <w:rPr>
                <w:noProof/>
              </w:rPr>
              <w:instrText xml:space="preserve"> PAGEREF _Toc242668388 \h </w:instrText>
            </w:r>
            <w:r>
              <w:rPr>
                <w:noProof/>
              </w:rPr>
            </w:r>
            <w:r>
              <w:rPr>
                <w:noProof/>
              </w:rPr>
              <w:fldChar w:fldCharType="separate"/>
            </w:r>
            <w:r>
              <w:rPr>
                <w:noProof/>
              </w:rPr>
              <w:t>8</w:t>
            </w:r>
            <w:r>
              <w:rPr>
                <w:noProof/>
              </w:rPr>
              <w:fldChar w:fldCharType="end"/>
            </w:r>
          </w:hyperlink>
        </w:p>
        <w:p w14:paraId="61B7CC7F" w14:textId="48DD053B" w:rsidR="00DC0EB4" w:rsidRDefault="00BA697F">
          <w:r>
            <w:fldChar w:fldCharType="end"/>
          </w:r>
        </w:p>
      </w:sdtContent>
    </w:sdt>
    <w:p w14:paraId="632D0CA9" w14:textId="77777777" w:rsidR="00DC0EB4" w:rsidRDefault="00BA697F">
      <w:pPr>
        <w:pStyle w:val="Heading1"/>
      </w:pPr>
      <w:bookmarkStart w:id="1" w:name="_Toc242668377"/>
      <w:r>
        <w:t>1. Scaffold architecture provides the channel framework</w:t>
      </w:r>
      <w:bookmarkEnd w:id="1"/>
    </w:p>
    <w:p w14:paraId="524B9825" w14:textId="6284A6BF" w:rsidR="00DC0EB4" w:rsidRDefault="00BA697F">
      <w:r>
        <w:t>Structural work resolves the NPC as a composite assembly rather than a simple hole in the envelope. The cytoplasmic-face and linker-scaffold studies integrate structural information to identify how peripheral assemblies and connecting elements organize the pore. Different methods and species contribute to these models, so a composite architecture should not be described as one atomic image of an actively transporting human NPC. Its value is to identify component interfaces and constraints that can be tested</w:t>
      </w:r>
      <w:r>
        <w:t xml:space="preserve"> through molecular perturbation and exchange assays.</w:t>
      </w:r>
      <w:hyperlink r:id="rId20" w:history="1">
        <w:r>
          <w:rPr>
            <w:color w:val="087B78"/>
            <w:sz w:val="18"/>
            <w:szCs w:val="18"/>
          </w:rPr>
          <w:t xml:space="preserve"> [2]</w:t>
        </w:r>
      </w:hyperlink>
      <w:hyperlink r:id="rId21" w:history="1">
        <w:r>
          <w:rPr>
            <w:color w:val="087B78"/>
            <w:sz w:val="18"/>
            <w:szCs w:val="18"/>
          </w:rPr>
          <w:t xml:space="preserve"> [1]</w:t>
        </w:r>
      </w:hyperlink>
    </w:p>
    <w:p w14:paraId="39189ABC" w14:textId="6E2971B9" w:rsidR="00DC0EB4" w:rsidRDefault="00BA697F">
      <w:r>
        <w:t xml:space="preserve">Eibauer and colleagues examined NPC structure and gating in Xenopus oocytes, providing a distinct preparation-specific view of scaffold and channel organization. Comparison with newer models can reveal conserved organization and conformational flexibility, while differences in specimen and geometry remain important. A structural channel width does not by itself specify a passive-permeability coefficient or the transit time of a receptor-bound cargo. The dynamic barrier and cargo interactions occupy part of </w:t>
      </w:r>
      <w:r>
        <w:t>the same channel, so transport requires a functional account in addition to the scaffold dimensions.</w:t>
      </w:r>
      <w:hyperlink r:id="rId22" w:history="1">
        <w:r>
          <w:rPr>
            <w:color w:val="087B78"/>
            <w:sz w:val="18"/>
            <w:szCs w:val="18"/>
          </w:rPr>
          <w:t xml:space="preserve"> [9]</w:t>
        </w:r>
      </w:hyperlink>
      <w:hyperlink r:id="rId23" w:history="1">
        <w:r>
          <w:rPr>
            <w:color w:val="087B78"/>
            <w:sz w:val="18"/>
            <w:szCs w:val="18"/>
          </w:rPr>
          <w:t xml:space="preserve"> [3]</w:t>
        </w:r>
      </w:hyperlink>
      <w:hyperlink r:id="rId24" w:history="1">
        <w:r>
          <w:rPr>
            <w:color w:val="087B78"/>
            <w:sz w:val="18"/>
            <w:szCs w:val="18"/>
          </w:rPr>
          <w:t xml:space="preserve"> [8]</w:t>
        </w:r>
      </w:hyperlink>
    </w:p>
    <w:p w14:paraId="7FF4E939" w14:textId="77777777" w:rsidR="00DC0EB4" w:rsidRDefault="00BA697F">
      <w:pPr>
        <w:pStyle w:val="Heading1"/>
      </w:pPr>
      <w:bookmarkStart w:id="2" w:name="_Toc242668378"/>
      <w:r>
        <w:lastRenderedPageBreak/>
        <w:t>2. Pore composition and geometry are context dependent</w:t>
      </w:r>
      <w:bookmarkEnd w:id="2"/>
    </w:p>
    <w:p w14:paraId="71A4221F" w14:textId="6718A123" w:rsidR="00DC0EB4" w:rsidRDefault="00BA697F">
      <w:r>
        <w:t>Ori and colleagues examined cell-type-specific NPC stoichiometry using calibrated molecular-counting approaches. Their results caution against assuming invariant pore composition across human cell lines. The number and arrangement of structural copies can be assessed with suitable calibration, but they should not be converted into a universal count of identical machines in every nucleus. Composition can influence which molecular interactions are available, and its functional significance must be tested with</w:t>
      </w:r>
      <w:r>
        <w:t xml:space="preserve"> corresponding transport or regulatory measurements.</w:t>
      </w:r>
      <w:hyperlink r:id="rId25" w:history="1">
        <w:r>
          <w:rPr>
            <w:color w:val="087B78"/>
            <w:sz w:val="18"/>
            <w:szCs w:val="18"/>
          </w:rPr>
          <w:t xml:space="preserve"> [11]</w:t>
        </w:r>
      </w:hyperlink>
    </w:p>
    <w:p w14:paraId="40BDE730" w14:textId="61165325" w:rsidR="00DC0EB4" w:rsidRDefault="00BA697F">
      <w:r>
        <w:t>Morgan and colleagues used pan-expansion microscopy to examine NPC diameter distributions and surface-specific patterns in fixed cells. Hyperosmotic challenge and LINC perturbation affected aspects of those patterns, while a patient-derived neuronal comparison revealed a particular localization difference. These observations support environmental and cell-context plasticity. They do not alone establish a universal disease mechanism or quantify the functional consequence of each diameter. A distribution is i</w:t>
      </w:r>
      <w:r>
        <w:t>nformative because it preserves variation among pores rather than concealing it behind a single representative dimension.</w:t>
      </w:r>
      <w:hyperlink r:id="rId26" w:history="1">
        <w:r>
          <w:rPr>
            <w:color w:val="087B78"/>
            <w:sz w:val="18"/>
            <w:szCs w:val="18"/>
          </w:rPr>
          <w:t xml:space="preserve"> [7]</w:t>
        </w:r>
      </w:hyperlink>
    </w:p>
    <w:p w14:paraId="505AF3E1" w14:textId="77777777" w:rsidR="00DC0EB4" w:rsidRDefault="00BA697F">
      <w:pPr>
        <w:pStyle w:val="Heading1"/>
      </w:pPr>
      <w:bookmarkStart w:id="3" w:name="_Toc242668379"/>
      <w:r>
        <w:t>3. FG domains and transport factors create a dynamic barrier</w:t>
      </w:r>
      <w:bookmarkEnd w:id="3"/>
    </w:p>
    <w:p w14:paraId="4C4AD79A" w14:textId="4F085286" w:rsidR="00DC0EB4" w:rsidRDefault="00BA697F">
      <w:r>
        <w:t>FG-repeat nucleoporins provide interaction sites within the channel, but their collective organization depends on the native architectural context and the molecules present. Kozai and colleagues used high-speed AFM on isolated yeast NPCs with complementary approaches and described transport-factor-dependent organization of the barrier, including a mobile central cluster. Altering FG-domain content affected dynamics and transport. The study supports a dynamic barrier whose behavior depends on local occupancy</w:t>
      </w:r>
      <w:r>
        <w:t xml:space="preserve"> and anchoring, rather than a permanently open cylinder or a static mass of interchangeable polymer.</w:t>
      </w:r>
      <w:hyperlink r:id="rId27" w:history="1">
        <w:r>
          <w:rPr>
            <w:color w:val="087B78"/>
            <w:sz w:val="18"/>
            <w:szCs w:val="18"/>
          </w:rPr>
          <w:t xml:space="preserve"> [8]</w:t>
        </w:r>
      </w:hyperlink>
    </w:p>
    <w:p w14:paraId="6E3E191E" w14:textId="64B36AD3" w:rsidR="00DC0EB4" w:rsidRDefault="00BA697F">
      <w:r>
        <w:t>Reconstituted systems can dissect specific interactions but need not reproduce all native behavior. In the same study, DNA-origami nanopores with appropriately tethered FG domains and transport factors reproduced particular NPC-like features, whereas tested FG hydrogels behaved differently. This does not invalidate every hydrogel experiment; it identifies the property being modeled and the conditions needed for comparison. A native channel, a tethered mimic and a bulk FG assembly answer different mechanisti</w:t>
      </w:r>
      <w:r>
        <w:t>c questions. Agreement on selective partitioning alone does not prove that their nanoscopic dynamics or geometry are identical.</w:t>
      </w:r>
      <w:hyperlink r:id="rId28" w:history="1">
        <w:r>
          <w:rPr>
            <w:color w:val="087B78"/>
            <w:sz w:val="18"/>
            <w:szCs w:val="18"/>
          </w:rPr>
          <w:t xml:space="preserve"> [8]</w:t>
        </w:r>
      </w:hyperlink>
      <w:hyperlink r:id="rId29" w:history="1">
        <w:r>
          <w:rPr>
            <w:color w:val="087B78"/>
            <w:sz w:val="18"/>
            <w:szCs w:val="18"/>
          </w:rPr>
          <w:t xml:space="preserve"> [10]</w:t>
        </w:r>
      </w:hyperlink>
    </w:p>
    <w:p w14:paraId="5F567C7F" w14:textId="36C5A387" w:rsidR="00DC0EB4" w:rsidRDefault="00BA697F">
      <w:r>
        <w:t>A dynamic barrier can maintain selectivity without being structurally frozen. The high-speed-AFM work shows that molecular fluctuations and a mobile central organization can coexist with functional restriction. Thus, permeability should be viewed as an outcome of cargo encounters with a changing interaction environment, rather than requiring a permanently fixed aperture. Conversely, movement within the barrier does not prove unrestricted leakage. Functional passage and nanoscopic motion are different measur</w:t>
      </w:r>
      <w:r>
        <w:t>ements that can be connected by changing defined barrier components and examining both readouts under the same condition.</w:t>
      </w:r>
      <w:hyperlink r:id="rId30" w:history="1">
        <w:r>
          <w:rPr>
            <w:color w:val="087B78"/>
            <w:sz w:val="18"/>
            <w:szCs w:val="18"/>
          </w:rPr>
          <w:t xml:space="preserve"> [8]</w:t>
        </w:r>
      </w:hyperlink>
      <w:hyperlink r:id="rId31" w:history="1">
        <w:r>
          <w:rPr>
            <w:color w:val="087B78"/>
            <w:sz w:val="18"/>
            <w:szCs w:val="18"/>
          </w:rPr>
          <w:t xml:space="preserve"> [3]</w:t>
        </w:r>
      </w:hyperlink>
    </w:p>
    <w:p w14:paraId="13F303DC" w14:textId="71EB21E9" w:rsidR="00DC0EB4" w:rsidRDefault="00BA697F">
      <w:r>
        <w:lastRenderedPageBreak/>
        <w:t>Cargo retention after entry further complicates the relation between the pore and nuclear concentration. A transport assay that follows nuclear accumulation must account for how much cargo remains available for exchange. Import and export kinetics can be affected by the cargo’s binding or receptor state, while concentration ratios can also shift with accessible volume. The Ran experiments supply a route-specific molecular framework, and the YAP study illustrates how measuring import and export separately st</w:t>
      </w:r>
      <w:r>
        <w:t>rengthens a mechanoregulation claim. A concentration endpoint becomes mechanistic when the relevant fluxes and available populations are resolved.</w:t>
      </w:r>
      <w:hyperlink r:id="rId32" w:history="1">
        <w:r>
          <w:rPr>
            <w:color w:val="087B78"/>
            <w:sz w:val="18"/>
            <w:szCs w:val="18"/>
          </w:rPr>
          <w:t xml:space="preserve"> [4]</w:t>
        </w:r>
      </w:hyperlink>
      <w:hyperlink r:id="rId33" w:history="1">
        <w:r>
          <w:rPr>
            <w:color w:val="087B78"/>
            <w:sz w:val="18"/>
            <w:szCs w:val="18"/>
          </w:rPr>
          <w:t xml:space="preserve"> [17]</w:t>
        </w:r>
      </w:hyperlink>
      <w:hyperlink r:id="rId34" w:history="1">
        <w:r>
          <w:rPr>
            <w:color w:val="087B78"/>
            <w:sz w:val="18"/>
            <w:szCs w:val="18"/>
          </w:rPr>
          <w:t xml:space="preserve"> [3]</w:t>
        </w:r>
      </w:hyperlink>
    </w:p>
    <w:p w14:paraId="6CE7BBBA" w14:textId="6CBEA6B7" w:rsidR="00DC0EB4" w:rsidRDefault="00BA697F">
      <w:r>
        <w:t>Structural plasticity creates a similar need for joint measurements. Pan-expansion microscopy maps pore populations in different conditions, but the consequence of a given geometry may depend on the FG-domain and transport-factor state. A dilated channel with an altered barrier need not behave like a larger empty cylinder. Experiments relating diameter distributions to native barrier dynamics and defined-cargo exchange can determine which change matters for selectivity. This makes molecular occupancy an ess</w:t>
      </w:r>
      <w:r>
        <w:t>ential part of the geometry–function question, especially when comparing cell types with different pore composition.</w:t>
      </w:r>
      <w:hyperlink r:id="rId35" w:history="1">
        <w:r>
          <w:rPr>
            <w:color w:val="087B78"/>
            <w:sz w:val="18"/>
            <w:szCs w:val="18"/>
          </w:rPr>
          <w:t xml:space="preserve"> [7]</w:t>
        </w:r>
      </w:hyperlink>
      <w:hyperlink r:id="rId36" w:history="1">
        <w:r>
          <w:rPr>
            <w:color w:val="087B78"/>
            <w:sz w:val="18"/>
            <w:szCs w:val="18"/>
          </w:rPr>
          <w:t xml:space="preserve"> [8]</w:t>
        </w:r>
      </w:hyperlink>
      <w:hyperlink r:id="rId37" w:history="1">
        <w:r>
          <w:rPr>
            <w:color w:val="087B78"/>
            <w:sz w:val="18"/>
            <w:szCs w:val="18"/>
          </w:rPr>
          <w:t xml:space="preserve"> [11]</w:t>
        </w:r>
      </w:hyperlink>
    </w:p>
    <w:p w14:paraId="1119C03D" w14:textId="67431642" w:rsidR="00DC0EB4" w:rsidRDefault="00BA697F">
      <w:r>
        <w:t xml:space="preserve">These developments also clarify what a successful pore mimic should reproduce. A model can be valuable for isolating one interface without matching every native component. Its validation should state whether it reproduces selective partitioning, cargo passage, scaffold geometry or barrier dynamics. The comparison of tethered DNA-origami pores and FG hydrogels demonstrates that agreement in one property does not ensure agreement in all the others. Used with that scope, reconstitution can identify mechanisms </w:t>
      </w:r>
      <w:r>
        <w:t>and then direct the next test in an intact cellular pore.</w:t>
      </w:r>
      <w:hyperlink r:id="rId38" w:history="1">
        <w:r>
          <w:rPr>
            <w:color w:val="087B78"/>
            <w:sz w:val="18"/>
            <w:szCs w:val="18"/>
          </w:rPr>
          <w:t xml:space="preserve"> [8]</w:t>
        </w:r>
      </w:hyperlink>
      <w:hyperlink r:id="rId39" w:history="1">
        <w:r>
          <w:rPr>
            <w:color w:val="087B78"/>
            <w:sz w:val="18"/>
            <w:szCs w:val="18"/>
          </w:rPr>
          <w:t xml:space="preserve"> [10]</w:t>
        </w:r>
      </w:hyperlink>
    </w:p>
    <w:p w14:paraId="23F0ACC5" w14:textId="77777777" w:rsidR="00DC0EB4" w:rsidRDefault="00BA697F">
      <w:pPr>
        <w:pStyle w:val="Heading1"/>
      </w:pPr>
      <w:bookmarkStart w:id="4" w:name="_Toc242668380"/>
      <w:r>
        <w:t>4. Passive exchange is graded for the examined cargoes</w:t>
      </w:r>
      <w:bookmarkEnd w:id="4"/>
    </w:p>
    <w:p w14:paraId="6320B56A" w14:textId="38A76359" w:rsidR="00DC0EB4" w:rsidRDefault="00BA697F">
      <w:r>
        <w:t>Timney and colleagues measured passive exchange of defined reporters in living yeast and found a size-dependent continuum rather than a sharp universal cutoff. Mohr and colleagues characterized barrier behavior in a different experimental preparation. These studies show that reporting only molecular mass omits cargo shape, interaction chemistry and assay context. A larger reporter may exchange slowly rather than be absolutely excluded, and a particular time window can make a slow process appear absent. Pass</w:t>
      </w:r>
      <w:r>
        <w:t>ive permeability should therefore be discussed as an experimentally measured exchange behavior, not a categorical rule based on one mass threshold.</w:t>
      </w:r>
      <w:hyperlink r:id="rId40" w:history="1">
        <w:r>
          <w:rPr>
            <w:color w:val="087B78"/>
            <w:sz w:val="18"/>
            <w:szCs w:val="18"/>
          </w:rPr>
          <w:t xml:space="preserve"> [3]</w:t>
        </w:r>
      </w:hyperlink>
      <w:hyperlink r:id="rId41" w:history="1">
        <w:r>
          <w:rPr>
            <w:color w:val="087B78"/>
            <w:sz w:val="18"/>
            <w:szCs w:val="18"/>
          </w:rPr>
          <w:t xml:space="preserve"> [13]</w:t>
        </w:r>
      </w:hyperlink>
    </w:p>
    <w:p w14:paraId="78DC9805" w14:textId="47CD80A9" w:rsidR="00DC0EB4" w:rsidRDefault="00BA697F">
      <w:r>
        <w:t>A fluorescent nuclear-to-cytoplasmic concentration ratio is also insufficient to identify passive passage. Nuclear binding, active import, export and different accessible volumes can all contribute to steady-state distribution. To isolate permeability, the experiment needs defined reporters and controls for the relevant pathways or follows redistribution kinetics under the specified conditions. A change in concentration may be a useful phenotype while its mechanism remains unresolved. Distinguishing the phe</w:t>
      </w:r>
      <w:r>
        <w:t>notype from the inferred channel property is especially important when NPC geometry or composition changes in parallel.</w:t>
      </w:r>
      <w:hyperlink r:id="rId42" w:history="1">
        <w:r>
          <w:rPr>
            <w:color w:val="087B78"/>
            <w:sz w:val="18"/>
            <w:szCs w:val="18"/>
          </w:rPr>
          <w:t xml:space="preserve"> [3]</w:t>
        </w:r>
      </w:hyperlink>
      <w:hyperlink r:id="rId43" w:history="1">
        <w:r>
          <w:rPr>
            <w:color w:val="087B78"/>
            <w:sz w:val="18"/>
            <w:szCs w:val="18"/>
          </w:rPr>
          <w:t xml:space="preserve"> [4]</w:t>
        </w:r>
      </w:hyperlink>
      <w:hyperlink r:id="rId44" w:history="1">
        <w:r>
          <w:rPr>
            <w:color w:val="087B78"/>
            <w:sz w:val="18"/>
            <w:szCs w:val="18"/>
          </w:rPr>
          <w:t xml:space="preserve"> [7]</w:t>
        </w:r>
      </w:hyperlink>
    </w:p>
    <w:p w14:paraId="41C0E2F7" w14:textId="77777777" w:rsidR="00DC0EB4" w:rsidRDefault="00BA697F">
      <w:pPr>
        <w:pStyle w:val="Heading1"/>
      </w:pPr>
      <w:bookmarkStart w:id="5" w:name="_Toc242668381"/>
      <w:r>
        <w:lastRenderedPageBreak/>
        <w:t>5. Receptor-mediated transport has directional chemistry</w:t>
      </w:r>
      <w:bookmarkEnd w:id="5"/>
    </w:p>
    <w:p w14:paraId="1FCFEDFB" w14:textId="0BABE4B0" w:rsidR="00DC0EB4" w:rsidRDefault="00BA697F">
      <w:r>
        <w:t>The experiments of Izaurralde and colleagues established the importance of the asymmetric Ran system for defined nuclear import and export pathways. Transport receptors interact with cargo and NPC constituents, while the spatially organized Ran cycle supports directionality. The NPC consequently provides an interaction environment rather than a motor that pushes every cargo through in the same way. This framework should not be generalized to every RNA-export route, and it does not mean that each physical pa</w:t>
      </w:r>
      <w:r>
        <w:t>ssage requires a separate ATP-consuming step within the channel.</w:t>
      </w:r>
      <w:hyperlink r:id="rId45" w:history="1">
        <w:r>
          <w:rPr>
            <w:color w:val="087B78"/>
            <w:sz w:val="18"/>
            <w:szCs w:val="18"/>
          </w:rPr>
          <w:t xml:space="preserve"> [4]</w:t>
        </w:r>
      </w:hyperlink>
      <w:hyperlink r:id="rId46" w:history="1">
        <w:r>
          <w:rPr>
            <w:color w:val="087B78"/>
            <w:sz w:val="18"/>
            <w:szCs w:val="18"/>
          </w:rPr>
          <w:t xml:space="preserve"> [5]</w:t>
        </w:r>
      </w:hyperlink>
    </w:p>
    <w:p w14:paraId="06E97E45" w14:textId="44303BCA" w:rsidR="00DC0EB4" w:rsidRDefault="00BA697F">
      <w:r>
        <w:t>mRNA export includes remodeling at the cytoplasmic face, exemplified by the Dbp5 nucleotide cycle regulated by Nup159 and Gle1. The primary study connects molecular regulation to the handling of a specific ribonucleoprotein substrate. Its mechanism differs from a simple Ran-dependent import/export analogy. A current pore review should therefore distinguish the transit interface from the cargo-preparation and remodeling reactions associated with it. Failure of an RNA-export factor can change nuclear retentio</w:t>
      </w:r>
      <w:r>
        <w:t>n without establishing that the scaffold diameter or the passive barrier has been altered.</w:t>
      </w:r>
      <w:hyperlink r:id="rId47" w:history="1">
        <w:r>
          <w:rPr>
            <w:color w:val="087B78"/>
            <w:sz w:val="18"/>
            <w:szCs w:val="18"/>
          </w:rPr>
          <w:t xml:space="preserve"> [5]</w:t>
        </w:r>
      </w:hyperlink>
      <w:hyperlink r:id="rId48" w:history="1">
        <w:r>
          <w:rPr>
            <w:color w:val="087B78"/>
            <w:sz w:val="18"/>
            <w:szCs w:val="18"/>
          </w:rPr>
          <w:t xml:space="preserve"> [4]</w:t>
        </w:r>
      </w:hyperlink>
    </w:p>
    <w:p w14:paraId="469DC680" w14:textId="77777777" w:rsidR="00DC0EB4" w:rsidRDefault="00BA697F">
      <w:pPr>
        <w:pStyle w:val="Heading1"/>
      </w:pPr>
      <w:bookmarkStart w:id="6" w:name="_Toc242668382"/>
      <w:r>
        <w:t>6. Cargo interaction can matter as much as size</w:t>
      </w:r>
      <w:bookmarkEnd w:id="6"/>
    </w:p>
    <w:p w14:paraId="2DD50780" w14:textId="098DA07B" w:rsidR="00DC0EB4" w:rsidRDefault="00BA697F">
      <w:r>
        <w:t>Dickson and colleagues dissected HIV-capsid interactions with FG-nucleoporin assemblies and identified engagement consistent with karyopherin mimicry. Their reconstituted experiments showed that a specialized large cargo can exploit specific interactions with the barrier. This adds a molecular explanation beyond a size-only description. It is not a complete measurement of intact NPC crossing in every living human cell, and viral capsids should not be used as a generic model for all large cellular cargoes. T</w:t>
      </w:r>
      <w:r>
        <w:t>he preparation and molecular interaction tested remain central to the result.</w:t>
      </w:r>
      <w:hyperlink r:id="rId49" w:history="1">
        <w:r>
          <w:rPr>
            <w:color w:val="087B78"/>
            <w:sz w:val="18"/>
            <w:szCs w:val="18"/>
          </w:rPr>
          <w:t xml:space="preserve"> [10]</w:t>
        </w:r>
      </w:hyperlink>
    </w:p>
    <w:p w14:paraId="608D7BA9" w14:textId="457F46C3" w:rsidR="00DC0EB4" w:rsidRDefault="00BA697F">
      <w:r>
        <w:t>The barrier-remodeling findings of Kozai and colleagues similarly connect transport-factor occupancy with channel behavior. Cargo passage is therefore influenced by the environment into which it enters and the interactions it can make, as well as its dimensions. This supplies a route to test selectivity experimentally: change a defined cargo interface or transport-factor condition while following passage and barrier dynamics. A result that changes partitioning in a bulk assembly should be distinguished from</w:t>
      </w:r>
      <w:r>
        <w:t xml:space="preserve"> altered passage through a correctly anchored mimic or a native pore.</w:t>
      </w:r>
      <w:hyperlink r:id="rId50" w:history="1">
        <w:r>
          <w:rPr>
            <w:color w:val="087B78"/>
            <w:sz w:val="18"/>
            <w:szCs w:val="18"/>
          </w:rPr>
          <w:t xml:space="preserve"> [8]</w:t>
        </w:r>
      </w:hyperlink>
      <w:hyperlink r:id="rId51" w:history="1">
        <w:r>
          <w:rPr>
            <w:color w:val="087B78"/>
            <w:sz w:val="18"/>
            <w:szCs w:val="18"/>
          </w:rPr>
          <w:t xml:space="preserve"> [10]</w:t>
        </w:r>
      </w:hyperlink>
      <w:hyperlink r:id="rId52" w:history="1">
        <w:r>
          <w:rPr>
            <w:color w:val="087B78"/>
            <w:sz w:val="18"/>
            <w:szCs w:val="18"/>
          </w:rPr>
          <w:t xml:space="preserve"> [3]</w:t>
        </w:r>
      </w:hyperlink>
    </w:p>
    <w:p w14:paraId="2ECDEB25" w14:textId="77777777" w:rsidR="00DC0EB4" w:rsidRDefault="00BA697F">
      <w:pPr>
        <w:pStyle w:val="Heading1"/>
      </w:pPr>
      <w:bookmarkStart w:id="7" w:name="_Toc242668383"/>
      <w:r>
        <w:t>7. Assembly must coordinate membrane topology and function</w:t>
      </w:r>
      <w:bookmarkEnd w:id="7"/>
    </w:p>
    <w:p w14:paraId="2CC2C1BC" w14:textId="16A1695D" w:rsidR="00DC0EB4" w:rsidRDefault="00BA697F">
      <w:r>
        <w:t xml:space="preserve">Otsuka and colleagues resolved interphase NPC assembly intermediates consistent with an inside-out extrusion through the existing nuclear envelope. This pathway must establish a new channel without broadly disrupting compartmentalization. It differs from pore formation during postmitotic envelope reconstruction. Structural intermediates help infer the order of membrane remodeling, but observing an intermediate does not prove that all components have reached a </w:t>
      </w:r>
      <w:r>
        <w:lastRenderedPageBreak/>
        <w:t>transport-competent final configuration. Assembly studies gain explanatory strength by pairing recruitment and membrane morphology with subsequent exchange measurements.</w:t>
      </w:r>
      <w:hyperlink r:id="rId53" w:history="1">
        <w:r>
          <w:rPr>
            <w:color w:val="087B78"/>
            <w:sz w:val="18"/>
            <w:szCs w:val="18"/>
          </w:rPr>
          <w:t xml:space="preserve"> [14]</w:t>
        </w:r>
      </w:hyperlink>
      <w:hyperlink r:id="rId54" w:history="1">
        <w:r>
          <w:rPr>
            <w:color w:val="087B78"/>
            <w:sz w:val="18"/>
            <w:szCs w:val="18"/>
          </w:rPr>
          <w:t xml:space="preserve"> [3]</w:t>
        </w:r>
      </w:hyperlink>
    </w:p>
    <w:p w14:paraId="468F143A" w14:textId="1128EC46" w:rsidR="00DC0EB4" w:rsidRDefault="00BA697F">
      <w:r>
        <w:t>Postmitotic boundary sealing illustrates the related distinction between membrane coverage and a functional barrier. The ESCRT and LEM2 studies identified mechanisms restoring compartmentalization around daughter chromatin. Those experiments address residual membrane openings and spindle-associated remodeling rather than the entire assembly sequence of a mature NPC. Keeping the mechanisms separate prevents a transport defect after mitosis from being attributed automatically to pore structure when incomplete</w:t>
      </w:r>
      <w:r>
        <w:t xml:space="preserve"> membrane sealing could provide another explanation. The relevant observation is where exchange occurs and whether the enclosing membrane is intact.</w:t>
      </w:r>
      <w:hyperlink r:id="rId55" w:history="1">
        <w:r>
          <w:rPr>
            <w:color w:val="087B78"/>
            <w:sz w:val="18"/>
            <w:szCs w:val="18"/>
          </w:rPr>
          <w:t xml:space="preserve"> [15]</w:t>
        </w:r>
      </w:hyperlink>
      <w:hyperlink r:id="rId56" w:history="1">
        <w:r>
          <w:rPr>
            <w:color w:val="087B78"/>
            <w:sz w:val="18"/>
            <w:szCs w:val="18"/>
          </w:rPr>
          <w:t xml:space="preserve"> [16]</w:t>
        </w:r>
      </w:hyperlink>
      <w:hyperlink r:id="rId57" w:history="1">
        <w:r>
          <w:rPr>
            <w:color w:val="087B78"/>
            <w:sz w:val="18"/>
            <w:szCs w:val="18"/>
          </w:rPr>
          <w:t xml:space="preserve"> [14]</w:t>
        </w:r>
      </w:hyperlink>
    </w:p>
    <w:p w14:paraId="7A07C11F" w14:textId="77777777" w:rsidR="00DC0EB4" w:rsidRDefault="00BA697F">
      <w:pPr>
        <w:pStyle w:val="Heading1"/>
      </w:pPr>
      <w:bookmarkStart w:id="8" w:name="_Toc242668384"/>
      <w:r>
        <w:t>8. Current studies link NPCs to deformation and fluid flow</w:t>
      </w:r>
      <w:bookmarkEnd w:id="8"/>
    </w:p>
    <w:p w14:paraId="1688AA1D" w14:textId="1AFB2AC5" w:rsidR="00DC0EB4" w:rsidRDefault="00BA697F">
      <w:r>
        <w:t>Elosegui-Artola and colleagues showed force-dependent YAP nuclear entry in defined cell systems and connected it to altered import behavior. The experiment demonstrates regulation of a particular cargo under mechanical loading. Morgan and colleagues subsequently mapped structural plasticity with pan-expansion microscopy, offering complementary evidence about pore geometry. These observations motivate joint structure–function experiments, but they do not prove that every cargo response under force is explain</w:t>
      </w:r>
      <w:r>
        <w:t>ed solely by dilation or that geometry alone is sufficient to predict its kinetics.</w:t>
      </w:r>
      <w:hyperlink r:id="rId58" w:history="1">
        <w:r>
          <w:rPr>
            <w:color w:val="087B78"/>
            <w:sz w:val="18"/>
            <w:szCs w:val="18"/>
          </w:rPr>
          <w:t xml:space="preserve"> [17]</w:t>
        </w:r>
      </w:hyperlink>
      <w:hyperlink r:id="rId59" w:history="1">
        <w:r>
          <w:rPr>
            <w:color w:val="087B78"/>
            <w:sz w:val="18"/>
            <w:szCs w:val="18"/>
          </w:rPr>
          <w:t xml:space="preserve"> [7]</w:t>
        </w:r>
      </w:hyperlink>
    </w:p>
    <w:p w14:paraId="13F2EB16" w14:textId="24E090C1" w:rsidR="00DC0EB4" w:rsidRDefault="00BA697F">
      <w:r>
        <w:t>Hoffmann and colleagues examined pressure-dependent fluid flow across NPCs in Dictyostelium during osmotic adaptation, relating flow to the dilation state and testing pore blockage. This mode differs from canonical diffusion and receptor-mediated exchange because a pressure difference contributes to the driving force. The result broadens the functional account of an NPC beyond discrete molecular cargo passage. Its implications for mammalian volume regulation require matching the relevant physical conditions</w:t>
      </w:r>
      <w:r>
        <w:t xml:space="preserve"> rather than treating the slime-mold observation as a direct measurement of every human pore.</w:t>
      </w:r>
      <w:hyperlink r:id="rId60" w:history="1">
        <w:r>
          <w:rPr>
            <w:color w:val="087B78"/>
            <w:sz w:val="18"/>
            <w:szCs w:val="18"/>
          </w:rPr>
          <w:t xml:space="preserve"> [6]</w:t>
        </w:r>
      </w:hyperlink>
      <w:hyperlink r:id="rId61" w:history="1">
        <w:r>
          <w:rPr>
            <w:color w:val="087B78"/>
            <w:sz w:val="18"/>
            <w:szCs w:val="18"/>
          </w:rPr>
          <w:t xml:space="preserve"> [18]</w:t>
        </w:r>
      </w:hyperlink>
    </w:p>
    <w:p w14:paraId="69316895" w14:textId="77777777" w:rsidR="00DC0EB4" w:rsidRDefault="00BA697F">
      <w:pPr>
        <w:pStyle w:val="Heading1"/>
      </w:pPr>
      <w:bookmarkStart w:id="9" w:name="_Toc242668385"/>
      <w:r>
        <w:t>9. Pore maintenance and disease evidence require specific models</w:t>
      </w:r>
      <w:bookmarkEnd w:id="9"/>
    </w:p>
    <w:p w14:paraId="278601CF" w14:textId="603057DA" w:rsidR="00DC0EB4" w:rsidRDefault="00BA697F">
      <w:r>
        <w:t xml:space="preserve">D’Angelo and colleagues linked deterioration of long-lived NPC components to loss of nuclear integrity in defined postmitotic systems. The study addresses maintenance over time and differs from acute membrane rupture during cell migration. It does not establish that every NPC component has the same lifetime or that all ordinary human aging is caused by pore deterioration. A disease-oriented interpretation should identify which component, cell state and functional assay support the claim before extending it </w:t>
      </w:r>
      <w:r>
        <w:t>to another lineage or disorder.</w:t>
      </w:r>
      <w:hyperlink r:id="rId62" w:history="1">
        <w:r>
          <w:rPr>
            <w:color w:val="087B78"/>
            <w:sz w:val="18"/>
            <w:szCs w:val="18"/>
          </w:rPr>
          <w:t xml:space="preserve"> [12]</w:t>
        </w:r>
      </w:hyperlink>
      <w:hyperlink r:id="rId63" w:history="1">
        <w:r>
          <w:rPr>
            <w:color w:val="087B78"/>
            <w:sz w:val="18"/>
            <w:szCs w:val="18"/>
          </w:rPr>
          <w:t xml:space="preserve"> [19]</w:t>
        </w:r>
      </w:hyperlink>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C0EB4" w14:paraId="5CEDD277"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5B002855" w14:textId="77777777" w:rsidR="00DC0EB4" w:rsidRDefault="00BA697F">
            <w:pPr>
              <w:spacing w:after="50" w:line="255" w:lineRule="auto"/>
            </w:pPr>
            <w:r>
              <w:rPr>
                <w:b/>
                <w:bCs/>
                <w:color w:val="173B4C"/>
                <w:sz w:val="19"/>
                <w:szCs w:val="19"/>
              </w:rPr>
              <w:lastRenderedPageBreak/>
              <w:t>NPC question</w:t>
            </w:r>
          </w:p>
        </w:tc>
        <w:tc>
          <w:tcPr>
            <w:tcW w:w="3120" w:type="dxa"/>
            <w:shd w:val="clear" w:color="auto" w:fill="EAF3F3"/>
            <w:tcMar>
              <w:top w:w="105" w:type="dxa"/>
              <w:left w:w="125" w:type="dxa"/>
              <w:bottom w:w="105" w:type="dxa"/>
              <w:right w:w="125" w:type="dxa"/>
            </w:tcMar>
          </w:tcPr>
          <w:p w14:paraId="30181F52" w14:textId="77777777" w:rsidR="00DC0EB4" w:rsidRDefault="00BA697F">
            <w:pPr>
              <w:spacing w:after="50" w:line="255" w:lineRule="auto"/>
            </w:pPr>
            <w:r>
              <w:rPr>
                <w:b/>
                <w:bCs/>
                <w:color w:val="173B4C"/>
                <w:sz w:val="19"/>
                <w:szCs w:val="19"/>
              </w:rPr>
              <w:t>Direct evidence</w:t>
            </w:r>
          </w:p>
        </w:tc>
        <w:tc>
          <w:tcPr>
            <w:tcW w:w="3120" w:type="dxa"/>
            <w:shd w:val="clear" w:color="auto" w:fill="EAF3F3"/>
            <w:tcMar>
              <w:top w:w="105" w:type="dxa"/>
              <w:left w:w="125" w:type="dxa"/>
              <w:bottom w:w="105" w:type="dxa"/>
              <w:right w:w="125" w:type="dxa"/>
            </w:tcMar>
          </w:tcPr>
          <w:p w14:paraId="2876497C" w14:textId="77777777" w:rsidR="00DC0EB4" w:rsidRDefault="00BA697F">
            <w:pPr>
              <w:spacing w:after="50" w:line="255" w:lineRule="auto"/>
            </w:pPr>
            <w:r>
              <w:rPr>
                <w:b/>
                <w:bCs/>
                <w:color w:val="173B4C"/>
                <w:sz w:val="19"/>
                <w:szCs w:val="19"/>
              </w:rPr>
              <w:t>What should remain separate</w:t>
            </w:r>
          </w:p>
        </w:tc>
      </w:tr>
      <w:tr w:rsidR="00DC0EB4" w14:paraId="65618973" w14:textId="77777777">
        <w:tblPrEx>
          <w:tblCellMar>
            <w:top w:w="0" w:type="dxa"/>
            <w:bottom w:w="0" w:type="dxa"/>
          </w:tblCellMar>
        </w:tblPrEx>
        <w:trPr>
          <w:cantSplit/>
        </w:trPr>
        <w:tc>
          <w:tcPr>
            <w:tcW w:w="3120" w:type="dxa"/>
            <w:tcMar>
              <w:top w:w="105" w:type="dxa"/>
              <w:left w:w="125" w:type="dxa"/>
              <w:bottom w:w="105" w:type="dxa"/>
              <w:right w:w="125" w:type="dxa"/>
            </w:tcMar>
          </w:tcPr>
          <w:p w14:paraId="2AB016D1" w14:textId="77777777" w:rsidR="00DC0EB4" w:rsidRDefault="00BA697F">
            <w:pPr>
              <w:spacing w:after="50" w:line="255" w:lineRule="auto"/>
            </w:pPr>
            <w:r>
              <w:rPr>
                <w:sz w:val="19"/>
                <w:szCs w:val="19"/>
              </w:rPr>
              <w:t>Scaffold organization</w:t>
            </w:r>
          </w:p>
        </w:tc>
        <w:tc>
          <w:tcPr>
            <w:tcW w:w="3120" w:type="dxa"/>
            <w:tcMar>
              <w:top w:w="105" w:type="dxa"/>
              <w:left w:w="125" w:type="dxa"/>
              <w:bottom w:w="105" w:type="dxa"/>
              <w:right w:w="125" w:type="dxa"/>
            </w:tcMar>
          </w:tcPr>
          <w:p w14:paraId="406825DE" w14:textId="77777777" w:rsidR="00DC0EB4" w:rsidRDefault="00BA697F">
            <w:pPr>
              <w:spacing w:after="50" w:line="255" w:lineRule="auto"/>
            </w:pPr>
            <w:r>
              <w:rPr>
                <w:sz w:val="19"/>
                <w:szCs w:val="19"/>
              </w:rPr>
              <w:t>Composite structural models and defined-specimen tomography</w:t>
            </w:r>
          </w:p>
        </w:tc>
        <w:tc>
          <w:tcPr>
            <w:tcW w:w="3120" w:type="dxa"/>
            <w:tcMar>
              <w:top w:w="105" w:type="dxa"/>
              <w:left w:w="125" w:type="dxa"/>
              <w:bottom w:w="105" w:type="dxa"/>
              <w:right w:w="125" w:type="dxa"/>
            </w:tcMar>
          </w:tcPr>
          <w:p w14:paraId="76819C99" w14:textId="052CD5B5" w:rsidR="00DC0EB4" w:rsidRDefault="00BA697F">
            <w:pPr>
              <w:spacing w:after="50" w:line="255" w:lineRule="auto"/>
            </w:pPr>
            <w:r>
              <w:rPr>
                <w:sz w:val="19"/>
                <w:szCs w:val="19"/>
              </w:rPr>
              <w:t>Live transport rates and universal dimensions</w:t>
            </w:r>
            <w:hyperlink r:id="rId64" w:history="1">
              <w:r>
                <w:rPr>
                  <w:color w:val="087B78"/>
                  <w:sz w:val="18"/>
                  <w:szCs w:val="18"/>
                </w:rPr>
                <w:t xml:space="preserve"> [1]</w:t>
              </w:r>
            </w:hyperlink>
            <w:hyperlink r:id="rId65" w:history="1">
              <w:r>
                <w:rPr>
                  <w:color w:val="087B78"/>
                  <w:sz w:val="18"/>
                  <w:szCs w:val="18"/>
                </w:rPr>
                <w:t xml:space="preserve"> [2]</w:t>
              </w:r>
            </w:hyperlink>
            <w:hyperlink r:id="rId66" w:history="1">
              <w:r>
                <w:rPr>
                  <w:color w:val="087B78"/>
                  <w:sz w:val="18"/>
                  <w:szCs w:val="18"/>
                </w:rPr>
                <w:t xml:space="preserve"> [9]</w:t>
              </w:r>
            </w:hyperlink>
          </w:p>
        </w:tc>
      </w:tr>
      <w:tr w:rsidR="00DC0EB4" w14:paraId="7DD7A48E" w14:textId="77777777">
        <w:tblPrEx>
          <w:tblCellMar>
            <w:top w:w="0" w:type="dxa"/>
            <w:bottom w:w="0" w:type="dxa"/>
          </w:tblCellMar>
        </w:tblPrEx>
        <w:trPr>
          <w:cantSplit/>
        </w:trPr>
        <w:tc>
          <w:tcPr>
            <w:tcW w:w="3120" w:type="dxa"/>
            <w:tcMar>
              <w:top w:w="105" w:type="dxa"/>
              <w:left w:w="125" w:type="dxa"/>
              <w:bottom w:w="105" w:type="dxa"/>
              <w:right w:w="125" w:type="dxa"/>
            </w:tcMar>
          </w:tcPr>
          <w:p w14:paraId="69E2E1F5" w14:textId="77777777" w:rsidR="00DC0EB4" w:rsidRDefault="00BA697F">
            <w:pPr>
              <w:spacing w:after="50" w:line="255" w:lineRule="auto"/>
            </w:pPr>
            <w:r>
              <w:rPr>
                <w:sz w:val="19"/>
                <w:szCs w:val="19"/>
              </w:rPr>
              <w:t>Passive permeability</w:t>
            </w:r>
          </w:p>
        </w:tc>
        <w:tc>
          <w:tcPr>
            <w:tcW w:w="3120" w:type="dxa"/>
            <w:tcMar>
              <w:top w:w="105" w:type="dxa"/>
              <w:left w:w="125" w:type="dxa"/>
              <w:bottom w:w="105" w:type="dxa"/>
              <w:right w:w="125" w:type="dxa"/>
            </w:tcMar>
          </w:tcPr>
          <w:p w14:paraId="40036466" w14:textId="77777777" w:rsidR="00DC0EB4" w:rsidRDefault="00BA697F">
            <w:pPr>
              <w:spacing w:after="50" w:line="255" w:lineRule="auto"/>
            </w:pPr>
            <w:r>
              <w:rPr>
                <w:sz w:val="19"/>
                <w:szCs w:val="19"/>
              </w:rPr>
              <w:t>Defined-reporter exchange kinetics</w:t>
            </w:r>
          </w:p>
        </w:tc>
        <w:tc>
          <w:tcPr>
            <w:tcW w:w="3120" w:type="dxa"/>
            <w:tcMar>
              <w:top w:w="105" w:type="dxa"/>
              <w:left w:w="125" w:type="dxa"/>
              <w:bottom w:w="105" w:type="dxa"/>
              <w:right w:w="125" w:type="dxa"/>
            </w:tcMar>
          </w:tcPr>
          <w:p w14:paraId="5D2F6236" w14:textId="59222B68" w:rsidR="00DC0EB4" w:rsidRDefault="00BA697F">
            <w:pPr>
              <w:spacing w:after="50" w:line="255" w:lineRule="auto"/>
            </w:pPr>
            <w:r>
              <w:rPr>
                <w:sz w:val="19"/>
                <w:szCs w:val="19"/>
              </w:rPr>
              <w:t>Active accumulation and hard mass-cutoff claims</w:t>
            </w:r>
            <w:hyperlink r:id="rId67" w:history="1">
              <w:r>
                <w:rPr>
                  <w:color w:val="087B78"/>
                  <w:sz w:val="18"/>
                  <w:szCs w:val="18"/>
                </w:rPr>
                <w:t xml:space="preserve"> [3]</w:t>
              </w:r>
            </w:hyperlink>
            <w:hyperlink r:id="rId68" w:history="1">
              <w:r>
                <w:rPr>
                  <w:color w:val="087B78"/>
                  <w:sz w:val="18"/>
                  <w:szCs w:val="18"/>
                </w:rPr>
                <w:t xml:space="preserve"> [13]</w:t>
              </w:r>
            </w:hyperlink>
          </w:p>
        </w:tc>
      </w:tr>
      <w:tr w:rsidR="00DC0EB4" w14:paraId="52497AB9" w14:textId="77777777">
        <w:tblPrEx>
          <w:tblCellMar>
            <w:top w:w="0" w:type="dxa"/>
            <w:bottom w:w="0" w:type="dxa"/>
          </w:tblCellMar>
        </w:tblPrEx>
        <w:trPr>
          <w:cantSplit/>
        </w:trPr>
        <w:tc>
          <w:tcPr>
            <w:tcW w:w="3120" w:type="dxa"/>
            <w:tcMar>
              <w:top w:w="105" w:type="dxa"/>
              <w:left w:w="125" w:type="dxa"/>
              <w:bottom w:w="105" w:type="dxa"/>
              <w:right w:w="125" w:type="dxa"/>
            </w:tcMar>
          </w:tcPr>
          <w:p w14:paraId="54D0CDDA" w14:textId="77777777" w:rsidR="00DC0EB4" w:rsidRDefault="00BA697F">
            <w:pPr>
              <w:spacing w:after="50" w:line="255" w:lineRule="auto"/>
            </w:pPr>
            <w:r>
              <w:rPr>
                <w:sz w:val="19"/>
                <w:szCs w:val="19"/>
              </w:rPr>
              <w:t>Directional protein traffic</w:t>
            </w:r>
          </w:p>
        </w:tc>
        <w:tc>
          <w:tcPr>
            <w:tcW w:w="3120" w:type="dxa"/>
            <w:tcMar>
              <w:top w:w="105" w:type="dxa"/>
              <w:left w:w="125" w:type="dxa"/>
              <w:bottom w:w="105" w:type="dxa"/>
              <w:right w:w="125" w:type="dxa"/>
            </w:tcMar>
          </w:tcPr>
          <w:p w14:paraId="6975FE2F" w14:textId="77777777" w:rsidR="00DC0EB4" w:rsidRDefault="00BA697F">
            <w:pPr>
              <w:spacing w:after="50" w:line="255" w:lineRule="auto"/>
            </w:pPr>
            <w:r>
              <w:rPr>
                <w:sz w:val="19"/>
                <w:szCs w:val="19"/>
              </w:rPr>
              <w:t>Ran-dependent pathway perturbations</w:t>
            </w:r>
          </w:p>
        </w:tc>
        <w:tc>
          <w:tcPr>
            <w:tcW w:w="3120" w:type="dxa"/>
            <w:tcMar>
              <w:top w:w="105" w:type="dxa"/>
              <w:left w:w="125" w:type="dxa"/>
              <w:bottom w:w="105" w:type="dxa"/>
              <w:right w:w="125" w:type="dxa"/>
            </w:tcMar>
          </w:tcPr>
          <w:p w14:paraId="6EA530AE" w14:textId="51CC7D2F" w:rsidR="00DC0EB4" w:rsidRDefault="00BA697F">
            <w:pPr>
              <w:spacing w:after="50" w:line="255" w:lineRule="auto"/>
            </w:pPr>
            <w:r>
              <w:rPr>
                <w:sz w:val="19"/>
                <w:szCs w:val="19"/>
              </w:rPr>
              <w:t>mRNA-remodeling mechanisms</w:t>
            </w:r>
            <w:hyperlink r:id="rId69" w:history="1">
              <w:r>
                <w:rPr>
                  <w:color w:val="087B78"/>
                  <w:sz w:val="18"/>
                  <w:szCs w:val="18"/>
                </w:rPr>
                <w:t xml:space="preserve"> [4]</w:t>
              </w:r>
            </w:hyperlink>
            <w:hyperlink r:id="rId70" w:history="1">
              <w:r>
                <w:rPr>
                  <w:color w:val="087B78"/>
                  <w:sz w:val="18"/>
                  <w:szCs w:val="18"/>
                </w:rPr>
                <w:t xml:space="preserve"> [5]</w:t>
              </w:r>
            </w:hyperlink>
          </w:p>
        </w:tc>
      </w:tr>
      <w:tr w:rsidR="00DC0EB4" w14:paraId="76E2F7A2" w14:textId="77777777">
        <w:tblPrEx>
          <w:tblCellMar>
            <w:top w:w="0" w:type="dxa"/>
            <w:bottom w:w="0" w:type="dxa"/>
          </w:tblCellMar>
        </w:tblPrEx>
        <w:trPr>
          <w:cantSplit/>
        </w:trPr>
        <w:tc>
          <w:tcPr>
            <w:tcW w:w="3120" w:type="dxa"/>
            <w:tcMar>
              <w:top w:w="105" w:type="dxa"/>
              <w:left w:w="125" w:type="dxa"/>
              <w:bottom w:w="105" w:type="dxa"/>
              <w:right w:w="125" w:type="dxa"/>
            </w:tcMar>
          </w:tcPr>
          <w:p w14:paraId="67F5DA41" w14:textId="77777777" w:rsidR="00DC0EB4" w:rsidRDefault="00BA697F">
            <w:pPr>
              <w:spacing w:after="50" w:line="255" w:lineRule="auto"/>
            </w:pPr>
            <w:r>
              <w:rPr>
                <w:sz w:val="19"/>
                <w:szCs w:val="19"/>
              </w:rPr>
              <w:t>Barrier dynamics</w:t>
            </w:r>
          </w:p>
        </w:tc>
        <w:tc>
          <w:tcPr>
            <w:tcW w:w="3120" w:type="dxa"/>
            <w:tcMar>
              <w:top w:w="105" w:type="dxa"/>
              <w:left w:w="125" w:type="dxa"/>
              <w:bottom w:w="105" w:type="dxa"/>
              <w:right w:w="125" w:type="dxa"/>
            </w:tcMar>
          </w:tcPr>
          <w:p w14:paraId="5DC2E1A7" w14:textId="77777777" w:rsidR="00DC0EB4" w:rsidRDefault="00BA697F">
            <w:pPr>
              <w:spacing w:after="50" w:line="255" w:lineRule="auto"/>
            </w:pPr>
            <w:r>
              <w:rPr>
                <w:sz w:val="19"/>
                <w:szCs w:val="19"/>
              </w:rPr>
              <w:t>Native/isolated-pore imaging and anchored mimics</w:t>
            </w:r>
          </w:p>
        </w:tc>
        <w:tc>
          <w:tcPr>
            <w:tcW w:w="3120" w:type="dxa"/>
            <w:tcMar>
              <w:top w:w="105" w:type="dxa"/>
              <w:left w:w="125" w:type="dxa"/>
              <w:bottom w:w="105" w:type="dxa"/>
              <w:right w:w="125" w:type="dxa"/>
            </w:tcMar>
          </w:tcPr>
          <w:p w14:paraId="1857AF0B" w14:textId="5D7FD47E" w:rsidR="00DC0EB4" w:rsidRDefault="00BA697F">
            <w:pPr>
              <w:spacing w:after="50" w:line="255" w:lineRule="auto"/>
            </w:pPr>
            <w:r>
              <w:rPr>
                <w:sz w:val="19"/>
                <w:szCs w:val="19"/>
              </w:rPr>
              <w:t>Bulk hydrogel behavior as a complete pore substitute</w:t>
            </w:r>
            <w:hyperlink r:id="rId71" w:history="1">
              <w:r>
                <w:rPr>
                  <w:color w:val="087B78"/>
                  <w:sz w:val="18"/>
                  <w:szCs w:val="18"/>
                </w:rPr>
                <w:t xml:space="preserve"> [8]</w:t>
              </w:r>
            </w:hyperlink>
          </w:p>
        </w:tc>
      </w:tr>
      <w:tr w:rsidR="00DC0EB4" w14:paraId="6A42B039" w14:textId="77777777">
        <w:tblPrEx>
          <w:tblCellMar>
            <w:top w:w="0" w:type="dxa"/>
            <w:bottom w:w="0" w:type="dxa"/>
          </w:tblCellMar>
        </w:tblPrEx>
        <w:trPr>
          <w:cantSplit/>
        </w:trPr>
        <w:tc>
          <w:tcPr>
            <w:tcW w:w="3120" w:type="dxa"/>
            <w:tcMar>
              <w:top w:w="105" w:type="dxa"/>
              <w:left w:w="125" w:type="dxa"/>
              <w:bottom w:w="105" w:type="dxa"/>
              <w:right w:w="125" w:type="dxa"/>
            </w:tcMar>
          </w:tcPr>
          <w:p w14:paraId="7C42FC5B" w14:textId="77777777" w:rsidR="00DC0EB4" w:rsidRDefault="00BA697F">
            <w:pPr>
              <w:spacing w:after="50" w:line="255" w:lineRule="auto"/>
            </w:pPr>
            <w:r>
              <w:rPr>
                <w:sz w:val="19"/>
                <w:szCs w:val="19"/>
              </w:rPr>
              <w:t>Pore plasticity</w:t>
            </w:r>
          </w:p>
        </w:tc>
        <w:tc>
          <w:tcPr>
            <w:tcW w:w="3120" w:type="dxa"/>
            <w:tcMar>
              <w:top w:w="105" w:type="dxa"/>
              <w:left w:w="125" w:type="dxa"/>
              <w:bottom w:w="105" w:type="dxa"/>
              <w:right w:w="125" w:type="dxa"/>
            </w:tcMar>
          </w:tcPr>
          <w:p w14:paraId="30D82EAA" w14:textId="77777777" w:rsidR="00DC0EB4" w:rsidRDefault="00BA697F">
            <w:pPr>
              <w:spacing w:after="50" w:line="255" w:lineRule="auto"/>
            </w:pPr>
            <w:r>
              <w:rPr>
                <w:sz w:val="19"/>
                <w:szCs w:val="19"/>
              </w:rPr>
              <w:t>Fixed-cell diameter distributions and perturbations</w:t>
            </w:r>
          </w:p>
        </w:tc>
        <w:tc>
          <w:tcPr>
            <w:tcW w:w="3120" w:type="dxa"/>
            <w:tcMar>
              <w:top w:w="105" w:type="dxa"/>
              <w:left w:w="125" w:type="dxa"/>
              <w:bottom w:w="105" w:type="dxa"/>
              <w:right w:w="125" w:type="dxa"/>
            </w:tcMar>
          </w:tcPr>
          <w:p w14:paraId="7082F01E" w14:textId="22D57E9C" w:rsidR="00DC0EB4" w:rsidRDefault="00BA697F">
            <w:pPr>
              <w:spacing w:after="50" w:line="255" w:lineRule="auto"/>
            </w:pPr>
            <w:r>
              <w:rPr>
                <w:sz w:val="19"/>
                <w:szCs w:val="19"/>
              </w:rPr>
              <w:t>Direct membrane-tension or cargo-rate measurements</w:t>
            </w:r>
            <w:hyperlink r:id="rId72" w:history="1">
              <w:r>
                <w:rPr>
                  <w:color w:val="087B78"/>
                  <w:sz w:val="18"/>
                  <w:szCs w:val="18"/>
                </w:rPr>
                <w:t xml:space="preserve"> [7]</w:t>
              </w:r>
            </w:hyperlink>
          </w:p>
        </w:tc>
      </w:tr>
      <w:tr w:rsidR="00DC0EB4" w14:paraId="7F7DF7DC" w14:textId="77777777">
        <w:tblPrEx>
          <w:tblCellMar>
            <w:top w:w="0" w:type="dxa"/>
            <w:bottom w:w="0" w:type="dxa"/>
          </w:tblCellMar>
        </w:tblPrEx>
        <w:trPr>
          <w:cantSplit/>
        </w:trPr>
        <w:tc>
          <w:tcPr>
            <w:tcW w:w="3120" w:type="dxa"/>
            <w:tcMar>
              <w:top w:w="105" w:type="dxa"/>
              <w:left w:w="125" w:type="dxa"/>
              <w:bottom w:w="105" w:type="dxa"/>
              <w:right w:w="125" w:type="dxa"/>
            </w:tcMar>
          </w:tcPr>
          <w:p w14:paraId="1B6F6854" w14:textId="77777777" w:rsidR="00DC0EB4" w:rsidRDefault="00BA697F">
            <w:pPr>
              <w:spacing w:after="50" w:line="255" w:lineRule="auto"/>
            </w:pPr>
            <w:r>
              <w:rPr>
                <w:sz w:val="19"/>
                <w:szCs w:val="19"/>
              </w:rPr>
              <w:t>Fluid equilibration</w:t>
            </w:r>
          </w:p>
        </w:tc>
        <w:tc>
          <w:tcPr>
            <w:tcW w:w="3120" w:type="dxa"/>
            <w:tcMar>
              <w:top w:w="105" w:type="dxa"/>
              <w:left w:w="125" w:type="dxa"/>
              <w:bottom w:w="105" w:type="dxa"/>
              <w:right w:w="125" w:type="dxa"/>
            </w:tcMar>
          </w:tcPr>
          <w:p w14:paraId="1C022E64" w14:textId="77777777" w:rsidR="00DC0EB4" w:rsidRDefault="00BA697F">
            <w:pPr>
              <w:spacing w:after="50" w:line="255" w:lineRule="auto"/>
            </w:pPr>
            <w:r>
              <w:rPr>
                <w:sz w:val="19"/>
                <w:szCs w:val="19"/>
              </w:rPr>
              <w:t>Osmotic adaptation and pressure-dependent flow</w:t>
            </w:r>
          </w:p>
        </w:tc>
        <w:tc>
          <w:tcPr>
            <w:tcW w:w="3120" w:type="dxa"/>
            <w:tcMar>
              <w:top w:w="105" w:type="dxa"/>
              <w:left w:w="125" w:type="dxa"/>
              <w:bottom w:w="105" w:type="dxa"/>
              <w:right w:w="125" w:type="dxa"/>
            </w:tcMar>
          </w:tcPr>
          <w:p w14:paraId="1ABA7DEF" w14:textId="50801F4A" w:rsidR="00DC0EB4" w:rsidRDefault="00BA697F">
            <w:pPr>
              <w:spacing w:after="50" w:line="255" w:lineRule="auto"/>
            </w:pPr>
            <w:r>
              <w:rPr>
                <w:sz w:val="19"/>
                <w:szCs w:val="19"/>
              </w:rPr>
              <w:t>Diffusive permeability or receptor transport coefficients</w:t>
            </w:r>
            <w:hyperlink r:id="rId73" w:history="1">
              <w:r>
                <w:rPr>
                  <w:color w:val="087B78"/>
                  <w:sz w:val="18"/>
                  <w:szCs w:val="18"/>
                </w:rPr>
                <w:t xml:space="preserve"> [6]</w:t>
              </w:r>
            </w:hyperlink>
          </w:p>
        </w:tc>
      </w:tr>
      <w:tr w:rsidR="00DC0EB4" w14:paraId="7D9A0E7A" w14:textId="77777777">
        <w:tblPrEx>
          <w:tblCellMar>
            <w:top w:w="0" w:type="dxa"/>
            <w:bottom w:w="0" w:type="dxa"/>
          </w:tblCellMar>
        </w:tblPrEx>
        <w:trPr>
          <w:cantSplit/>
        </w:trPr>
        <w:tc>
          <w:tcPr>
            <w:tcW w:w="3120" w:type="dxa"/>
            <w:tcMar>
              <w:top w:w="105" w:type="dxa"/>
              <w:left w:w="125" w:type="dxa"/>
              <w:bottom w:w="105" w:type="dxa"/>
              <w:right w:w="125" w:type="dxa"/>
            </w:tcMar>
          </w:tcPr>
          <w:p w14:paraId="1E9AC269" w14:textId="77777777" w:rsidR="00DC0EB4" w:rsidRDefault="00BA697F">
            <w:pPr>
              <w:spacing w:after="50" w:line="255" w:lineRule="auto"/>
            </w:pPr>
            <w:r>
              <w:rPr>
                <w:sz w:val="19"/>
                <w:szCs w:val="19"/>
              </w:rPr>
              <w:t>Long-term maintenance</w:t>
            </w:r>
          </w:p>
        </w:tc>
        <w:tc>
          <w:tcPr>
            <w:tcW w:w="3120" w:type="dxa"/>
            <w:tcMar>
              <w:top w:w="105" w:type="dxa"/>
              <w:left w:w="125" w:type="dxa"/>
              <w:bottom w:w="105" w:type="dxa"/>
              <w:right w:w="125" w:type="dxa"/>
            </w:tcMar>
          </w:tcPr>
          <w:p w14:paraId="322109FE" w14:textId="77777777" w:rsidR="00DC0EB4" w:rsidRDefault="00BA697F">
            <w:pPr>
              <w:spacing w:after="50" w:line="255" w:lineRule="auto"/>
            </w:pPr>
            <w:r>
              <w:rPr>
                <w:sz w:val="19"/>
                <w:szCs w:val="19"/>
              </w:rPr>
              <w:t>Defined postmitotic models and integrity assays</w:t>
            </w:r>
          </w:p>
        </w:tc>
        <w:tc>
          <w:tcPr>
            <w:tcW w:w="3120" w:type="dxa"/>
            <w:tcMar>
              <w:top w:w="105" w:type="dxa"/>
              <w:left w:w="125" w:type="dxa"/>
              <w:bottom w:w="105" w:type="dxa"/>
              <w:right w:w="125" w:type="dxa"/>
            </w:tcMar>
          </w:tcPr>
          <w:p w14:paraId="38891291" w14:textId="6CD9532B" w:rsidR="00DC0EB4" w:rsidRDefault="00BA697F">
            <w:pPr>
              <w:spacing w:after="50" w:line="255" w:lineRule="auto"/>
            </w:pPr>
            <w:r>
              <w:rPr>
                <w:sz w:val="19"/>
                <w:szCs w:val="19"/>
              </w:rPr>
              <w:t>Universal human-aging or therapeutic conclusions</w:t>
            </w:r>
            <w:hyperlink r:id="rId74" w:history="1">
              <w:r>
                <w:rPr>
                  <w:color w:val="087B78"/>
                  <w:sz w:val="18"/>
                  <w:szCs w:val="18"/>
                </w:rPr>
                <w:t xml:space="preserve"> [12]</w:t>
              </w:r>
            </w:hyperlink>
          </w:p>
        </w:tc>
      </w:tr>
    </w:tbl>
    <w:p w14:paraId="1A2A5B4E" w14:textId="77777777" w:rsidR="00DC0EB4" w:rsidRDefault="00DC0EB4">
      <w:pPr>
        <w:spacing w:after="170"/>
      </w:pPr>
    </w:p>
    <w:p w14:paraId="65FD71E9" w14:textId="77777777" w:rsidR="00DC0EB4" w:rsidRDefault="00BA697F">
      <w:pPr>
        <w:pStyle w:val="Heading1"/>
      </w:pPr>
      <w:bookmarkStart w:id="10" w:name="_Toc242668386"/>
      <w:r>
        <w:t>10. An integrated contemporary model</w:t>
      </w:r>
      <w:bookmarkEnd w:id="10"/>
    </w:p>
    <w:p w14:paraId="4707E8C9" w14:textId="35AEE628" w:rsidR="00DC0EB4" w:rsidRDefault="00BA697F">
      <w:r>
        <w:t>The NPC is best described as a structured and dynamic selective interface. Scaffold geometry constrains the channel, FG domains and transport factors organize its interaction environment, and cargo-specific chemical cycles establish directionality. Current primary studies show that composition and dilation can vary and that pressure-dependent flow supplies another mode of exchange. The next step is to connect architecture, occupancy and functional transport in matched biological systems, so that a structura</w:t>
      </w:r>
      <w:r>
        <w:t>l change can be assigned a specific consequence rather than assumed to alter every pathway equally.</w:t>
      </w:r>
      <w:hyperlink r:id="rId75" w:history="1">
        <w:r>
          <w:rPr>
            <w:color w:val="087B78"/>
            <w:sz w:val="18"/>
            <w:szCs w:val="18"/>
          </w:rPr>
          <w:t xml:space="preserve"> [1]</w:t>
        </w:r>
      </w:hyperlink>
      <w:hyperlink r:id="rId76" w:history="1">
        <w:r>
          <w:rPr>
            <w:color w:val="087B78"/>
            <w:sz w:val="18"/>
            <w:szCs w:val="18"/>
          </w:rPr>
          <w:t xml:space="preserve"> [8]</w:t>
        </w:r>
      </w:hyperlink>
      <w:hyperlink r:id="rId77" w:history="1">
        <w:r>
          <w:rPr>
            <w:color w:val="087B78"/>
            <w:sz w:val="18"/>
            <w:szCs w:val="18"/>
          </w:rPr>
          <w:t xml:space="preserve"> [4]</w:t>
        </w:r>
      </w:hyperlink>
      <w:hyperlink r:id="rId78" w:history="1">
        <w:r>
          <w:rPr>
            <w:color w:val="087B78"/>
            <w:sz w:val="18"/>
            <w:szCs w:val="18"/>
          </w:rPr>
          <w:t xml:space="preserve"> [5]</w:t>
        </w:r>
      </w:hyperlink>
      <w:hyperlink r:id="rId79" w:history="1">
        <w:r>
          <w:rPr>
            <w:color w:val="087B78"/>
            <w:sz w:val="18"/>
            <w:szCs w:val="18"/>
          </w:rPr>
          <w:t xml:space="preserve"> [7]</w:t>
        </w:r>
      </w:hyperlink>
      <w:hyperlink r:id="rId80" w:history="1">
        <w:r>
          <w:rPr>
            <w:color w:val="087B78"/>
            <w:sz w:val="18"/>
            <w:szCs w:val="18"/>
          </w:rPr>
          <w:t xml:space="preserve"> [6]</w:t>
        </w:r>
      </w:hyperlink>
    </w:p>
    <w:p w14:paraId="157A4B80" w14:textId="77777777" w:rsidR="00DC0EB4" w:rsidRDefault="00BA697F">
      <w:pPr>
        <w:pStyle w:val="Heading1"/>
      </w:pPr>
      <w:bookmarkStart w:id="11" w:name="_Toc242668387"/>
      <w:r>
        <w:t>References</w:t>
      </w:r>
      <w:bookmarkEnd w:id="11"/>
    </w:p>
    <w:p w14:paraId="0FAF373C" w14:textId="1BD3CB51" w:rsidR="00DC0EB4" w:rsidRDefault="00BA697F">
      <w:pPr>
        <w:keepLines/>
        <w:spacing w:after="90" w:line="245" w:lineRule="auto"/>
      </w:pPr>
      <w:r>
        <w:rPr>
          <w:b/>
          <w:bCs/>
          <w:sz w:val="20"/>
          <w:szCs w:val="20"/>
        </w:rPr>
        <w:t xml:space="preserve">[1] Stefan Petrovic, Dipanjan Samanta, Thibaud Perriches et al. (2022). </w:t>
      </w:r>
      <w:r>
        <w:rPr>
          <w:sz w:val="20"/>
          <w:szCs w:val="20"/>
        </w:rPr>
        <w:t xml:space="preserve">Architecture of the linker-scaffold in the nuclear pore. Science. </w:t>
      </w:r>
      <w:hyperlink r:id="rId81" w:history="1">
        <w:r>
          <w:rPr>
            <w:color w:val="087B78"/>
            <w:sz w:val="20"/>
            <w:szCs w:val="20"/>
            <w:u w:val="single"/>
          </w:rPr>
          <w:t>10.1126/science.abm9798</w:t>
        </w:r>
      </w:hyperlink>
    </w:p>
    <w:p w14:paraId="4FE6A215" w14:textId="5155CBBB" w:rsidR="00DC0EB4" w:rsidRDefault="00BA697F">
      <w:pPr>
        <w:keepLines/>
        <w:spacing w:after="90" w:line="245" w:lineRule="auto"/>
      </w:pPr>
      <w:r>
        <w:rPr>
          <w:b/>
          <w:bCs/>
          <w:sz w:val="20"/>
          <w:szCs w:val="20"/>
        </w:rPr>
        <w:t xml:space="preserve">[2] Christopher J. Bley, Si Nie, George W. Mobbs et al. (2022). </w:t>
      </w:r>
      <w:r>
        <w:rPr>
          <w:sz w:val="20"/>
          <w:szCs w:val="20"/>
        </w:rPr>
        <w:t xml:space="preserve">Architecture of the cytoplasmic face of the nuclear pore. Science. </w:t>
      </w:r>
      <w:hyperlink r:id="rId82" w:history="1">
        <w:r>
          <w:rPr>
            <w:color w:val="087B78"/>
            <w:sz w:val="20"/>
            <w:szCs w:val="20"/>
            <w:u w:val="single"/>
          </w:rPr>
          <w:t>10.1126/science.abm9129</w:t>
        </w:r>
      </w:hyperlink>
    </w:p>
    <w:p w14:paraId="5DE4DCB0" w14:textId="347DEAE7" w:rsidR="00DC0EB4" w:rsidRDefault="00BA697F">
      <w:pPr>
        <w:keepLines/>
        <w:spacing w:after="90" w:line="245" w:lineRule="auto"/>
      </w:pPr>
      <w:r>
        <w:rPr>
          <w:b/>
          <w:bCs/>
          <w:sz w:val="20"/>
          <w:szCs w:val="20"/>
        </w:rPr>
        <w:t xml:space="preserve">[3] Benjamin L. Timney, Barak Raveh, Roxana Mironska et al. (2016). </w:t>
      </w:r>
      <w:r>
        <w:rPr>
          <w:sz w:val="20"/>
          <w:szCs w:val="20"/>
        </w:rPr>
        <w:t xml:space="preserve">Simple rules for passive diffusion through the nuclear pore complex. Journal of Cell Biology. </w:t>
      </w:r>
      <w:hyperlink r:id="rId83" w:history="1">
        <w:r>
          <w:rPr>
            <w:color w:val="087B78"/>
            <w:sz w:val="20"/>
            <w:szCs w:val="20"/>
            <w:u w:val="single"/>
          </w:rPr>
          <w:t>10.1083/jcb.201601004</w:t>
        </w:r>
      </w:hyperlink>
    </w:p>
    <w:p w14:paraId="2FF33CB5" w14:textId="46A5DC32" w:rsidR="00DC0EB4" w:rsidRDefault="00BA697F">
      <w:pPr>
        <w:keepLines/>
        <w:spacing w:after="90" w:line="245" w:lineRule="auto"/>
      </w:pPr>
      <w:r>
        <w:rPr>
          <w:b/>
          <w:bCs/>
          <w:sz w:val="20"/>
          <w:szCs w:val="20"/>
        </w:rPr>
        <w:t xml:space="preserve">[4] Elisa Izaurralde, Ulrike Kutay, Cayetano von Kobbe et al. (1997). </w:t>
      </w:r>
      <w:r>
        <w:rPr>
          <w:sz w:val="20"/>
          <w:szCs w:val="20"/>
        </w:rPr>
        <w:t xml:space="preserve">The asymmetric distribution of the constituents of the Ran system is essential for transport into and out of the nucleus. The EMBO Journal. </w:t>
      </w:r>
      <w:hyperlink r:id="rId84" w:history="1">
        <w:r>
          <w:rPr>
            <w:color w:val="087B78"/>
            <w:sz w:val="20"/>
            <w:szCs w:val="20"/>
            <w:u w:val="single"/>
          </w:rPr>
          <w:t>10.1093/emboj/16.21.6535</w:t>
        </w:r>
      </w:hyperlink>
    </w:p>
    <w:p w14:paraId="216CAD65" w14:textId="06B94571" w:rsidR="00DC0EB4" w:rsidRDefault="00BA697F">
      <w:pPr>
        <w:keepLines/>
        <w:spacing w:after="90" w:line="245" w:lineRule="auto"/>
      </w:pPr>
      <w:r>
        <w:rPr>
          <w:b/>
          <w:bCs/>
          <w:sz w:val="20"/>
          <w:szCs w:val="20"/>
        </w:rPr>
        <w:lastRenderedPageBreak/>
        <w:t xml:space="preserve">[5] Kristen N. Noble, Elizabeth Tran, Abel R. Alcázar-Román et al. (2011). </w:t>
      </w:r>
      <w:r>
        <w:rPr>
          <w:sz w:val="20"/>
          <w:szCs w:val="20"/>
        </w:rPr>
        <w:t xml:space="preserve">The Dbp5 cycle at the nuclear pore complex during mRNA export II: nucleotide cycling and mRNP remodeling by Dbp5 are controlled by Nup159 and Gle1. Genes &amp; Development. </w:t>
      </w:r>
      <w:hyperlink r:id="rId85" w:history="1">
        <w:r>
          <w:rPr>
            <w:color w:val="087B78"/>
            <w:sz w:val="20"/>
            <w:szCs w:val="20"/>
            <w:u w:val="single"/>
          </w:rPr>
          <w:t>10.1101/gad.2040611</w:t>
        </w:r>
      </w:hyperlink>
    </w:p>
    <w:p w14:paraId="6144B3A9" w14:textId="684751F5" w:rsidR="00DC0EB4" w:rsidRDefault="00BA697F">
      <w:pPr>
        <w:keepLines/>
        <w:spacing w:after="90" w:line="245" w:lineRule="auto"/>
      </w:pPr>
      <w:r>
        <w:rPr>
          <w:b/>
          <w:bCs/>
          <w:sz w:val="20"/>
          <w:szCs w:val="20"/>
        </w:rPr>
        <w:t xml:space="preserve">[6] Patrick C. Hoffmann, Hyuntae Kim, Aleksandra Obarska-Kosińska et al. (2024). </w:t>
      </w:r>
      <w:r>
        <w:rPr>
          <w:sz w:val="20"/>
          <w:szCs w:val="20"/>
        </w:rPr>
        <w:t xml:space="preserve">Nuclear pore permeability and fluid flow are modulated by its dilation state. Molecular Cell. </w:t>
      </w:r>
      <w:hyperlink r:id="rId86" w:history="1">
        <w:r>
          <w:rPr>
            <w:color w:val="087B78"/>
            <w:sz w:val="20"/>
            <w:szCs w:val="20"/>
            <w:u w:val="single"/>
          </w:rPr>
          <w:t>10.1016/j.molcel.2024.11.038</w:t>
        </w:r>
      </w:hyperlink>
    </w:p>
    <w:p w14:paraId="23AD4E89" w14:textId="52D1FA28" w:rsidR="00DC0EB4" w:rsidRDefault="00BA697F">
      <w:pPr>
        <w:keepLines/>
        <w:spacing w:after="90" w:line="245" w:lineRule="auto"/>
      </w:pPr>
      <w:r>
        <w:rPr>
          <w:b/>
          <w:bCs/>
          <w:sz w:val="20"/>
          <w:szCs w:val="20"/>
        </w:rPr>
        <w:t xml:space="preserve">[7] Kimberly J. Morgan, Emma Carley, Alyssa N. Coyne, Jeffrey D. Rothstein, C. Patrick Lusk, Megan C. King (2025). </w:t>
      </w:r>
      <w:r>
        <w:rPr>
          <w:sz w:val="20"/>
          <w:szCs w:val="20"/>
        </w:rPr>
        <w:t xml:space="preserve">Visualizing nuclear pore complex plasticity with pan-expansion microscopy. Journal of Cell Biology. </w:t>
      </w:r>
      <w:hyperlink r:id="rId87" w:history="1">
        <w:r>
          <w:rPr>
            <w:color w:val="087B78"/>
            <w:sz w:val="20"/>
            <w:szCs w:val="20"/>
            <w:u w:val="single"/>
          </w:rPr>
          <w:t>10.1083/jcb.202409120</w:t>
        </w:r>
      </w:hyperlink>
    </w:p>
    <w:p w14:paraId="4AAAA613" w14:textId="53528391" w:rsidR="00DC0EB4" w:rsidRDefault="00BA697F">
      <w:pPr>
        <w:keepLines/>
        <w:spacing w:after="90" w:line="245" w:lineRule="auto"/>
      </w:pPr>
      <w:r>
        <w:rPr>
          <w:b/>
          <w:bCs/>
          <w:sz w:val="20"/>
          <w:szCs w:val="20"/>
        </w:rPr>
        <w:t xml:space="preserve">[8] Toshiya Kozai, Javier Fernandez-Martinez, Larisa E. Kapinos et al. (2025). </w:t>
      </w:r>
      <w:r>
        <w:rPr>
          <w:sz w:val="20"/>
          <w:szCs w:val="20"/>
        </w:rPr>
        <w:t xml:space="preserve">Karyopherins remodel the dynamic organization of the nuclear pore complex transport barrier. Nature Cell Biology. </w:t>
      </w:r>
      <w:hyperlink r:id="rId88" w:history="1">
        <w:r>
          <w:rPr>
            <w:color w:val="087B78"/>
            <w:sz w:val="20"/>
            <w:szCs w:val="20"/>
            <w:u w:val="single"/>
          </w:rPr>
          <w:t>10.1038/s41556-025-01812-9</w:t>
        </w:r>
      </w:hyperlink>
    </w:p>
    <w:p w14:paraId="0FB20B9C" w14:textId="2BBDDD69" w:rsidR="00DC0EB4" w:rsidRDefault="00BA697F">
      <w:pPr>
        <w:keepLines/>
        <w:spacing w:after="90" w:line="245" w:lineRule="auto"/>
      </w:pPr>
      <w:r>
        <w:rPr>
          <w:b/>
          <w:bCs/>
          <w:sz w:val="20"/>
          <w:szCs w:val="20"/>
        </w:rPr>
        <w:t xml:space="preserve">[9] Matthias Eibauer, Mauro Pellanda, Yagmur Turgay et al. (2015). </w:t>
      </w:r>
      <w:r>
        <w:rPr>
          <w:sz w:val="20"/>
          <w:szCs w:val="20"/>
        </w:rPr>
        <w:t xml:space="preserve">Structure and gating of the nuclear pore complex. Nature Communications. </w:t>
      </w:r>
      <w:hyperlink r:id="rId89" w:history="1">
        <w:r>
          <w:rPr>
            <w:color w:val="087B78"/>
            <w:sz w:val="20"/>
            <w:szCs w:val="20"/>
            <w:u w:val="single"/>
          </w:rPr>
          <w:t>10.1038/ncomms8532</w:t>
        </w:r>
      </w:hyperlink>
    </w:p>
    <w:p w14:paraId="3C7417F2" w14:textId="19B79DAE" w:rsidR="00DC0EB4" w:rsidRDefault="00BA697F">
      <w:pPr>
        <w:keepLines/>
        <w:spacing w:after="90" w:line="245" w:lineRule="auto"/>
      </w:pPr>
      <w:r>
        <w:rPr>
          <w:b/>
          <w:bCs/>
          <w:sz w:val="20"/>
          <w:szCs w:val="20"/>
        </w:rPr>
        <w:t xml:space="preserve">[10] Claire F. Dickson, Sophie Hertel, Andrew Tuckwell et al. (2024). </w:t>
      </w:r>
      <w:r>
        <w:rPr>
          <w:sz w:val="20"/>
          <w:szCs w:val="20"/>
        </w:rPr>
        <w:t xml:space="preserve">The HIV capsid mimics karyopherin engagement of FG-nucleoporins. Nature. </w:t>
      </w:r>
      <w:hyperlink r:id="rId90" w:history="1">
        <w:r>
          <w:rPr>
            <w:color w:val="087B78"/>
            <w:sz w:val="20"/>
            <w:szCs w:val="20"/>
            <w:u w:val="single"/>
          </w:rPr>
          <w:t>10.1038/s41586-023-06969-7</w:t>
        </w:r>
      </w:hyperlink>
    </w:p>
    <w:p w14:paraId="4CC76233" w14:textId="1CDF82AC" w:rsidR="00DC0EB4" w:rsidRDefault="00BA697F">
      <w:pPr>
        <w:keepLines/>
        <w:spacing w:after="90" w:line="245" w:lineRule="auto"/>
      </w:pPr>
      <w:r>
        <w:rPr>
          <w:b/>
          <w:bCs/>
          <w:sz w:val="20"/>
          <w:szCs w:val="20"/>
        </w:rPr>
        <w:t>[11] Alessandro Ori</w:t>
      </w:r>
      <w:r>
        <w:rPr>
          <w:b/>
          <w:bCs/>
          <w:sz w:val="20"/>
          <w:szCs w:val="20"/>
        </w:rPr>
        <w:t>‬</w:t>
      </w:r>
      <w:r>
        <w:rPr>
          <w:b/>
          <w:bCs/>
          <w:sz w:val="20"/>
          <w:szCs w:val="20"/>
        </w:rPr>
        <w:t>‬</w:t>
      </w:r>
      <w:r>
        <w:rPr>
          <w:b/>
          <w:bCs/>
          <w:sz w:val="20"/>
          <w:szCs w:val="20"/>
        </w:rPr>
        <w:t xml:space="preserve">, Niccolò Banterle, Murat Iskar et al. (2013). </w:t>
      </w:r>
      <w:r>
        <w:rPr>
          <w:sz w:val="20"/>
          <w:szCs w:val="20"/>
        </w:rPr>
        <w:t xml:space="preserve">Cell type‐specific nuclear pores: a case in point for context‐dependent stoichiometry of molecular machines. Molecular Systems Biology. </w:t>
      </w:r>
      <w:hyperlink r:id="rId91" w:history="1">
        <w:r>
          <w:rPr>
            <w:color w:val="087B78"/>
            <w:sz w:val="20"/>
            <w:szCs w:val="20"/>
            <w:u w:val="single"/>
          </w:rPr>
          <w:t>10.1038/msb.2013.4</w:t>
        </w:r>
      </w:hyperlink>
    </w:p>
    <w:p w14:paraId="180F1CB7" w14:textId="5CC37D14" w:rsidR="00DC0EB4" w:rsidRDefault="00BA697F">
      <w:pPr>
        <w:keepLines/>
        <w:spacing w:after="90" w:line="245" w:lineRule="auto"/>
      </w:pPr>
      <w:r>
        <w:rPr>
          <w:b/>
          <w:bCs/>
          <w:sz w:val="20"/>
          <w:szCs w:val="20"/>
        </w:rPr>
        <w:t xml:space="preserve">[12] Maximiliano A. D’Angelo, Marcela Raı́ces, Siler H. Panowski et al. (2009). </w:t>
      </w:r>
      <w:r>
        <w:rPr>
          <w:sz w:val="20"/>
          <w:szCs w:val="20"/>
        </w:rPr>
        <w:t xml:space="preserve">Age-Dependent Deterioration of Nuclear Pore Complexes Causes a Loss of Nuclear Integrity in Postmitotic Cells. Cell. </w:t>
      </w:r>
      <w:hyperlink r:id="rId92" w:history="1">
        <w:r>
          <w:rPr>
            <w:color w:val="087B78"/>
            <w:sz w:val="20"/>
            <w:szCs w:val="20"/>
            <w:u w:val="single"/>
          </w:rPr>
          <w:t>10.1016/j.cell.2008.11.037</w:t>
        </w:r>
      </w:hyperlink>
    </w:p>
    <w:p w14:paraId="16CD5852" w14:textId="3747668A" w:rsidR="00DC0EB4" w:rsidRDefault="00BA697F">
      <w:pPr>
        <w:keepLines/>
        <w:spacing w:after="90" w:line="245" w:lineRule="auto"/>
      </w:pPr>
      <w:r>
        <w:rPr>
          <w:b/>
          <w:bCs/>
          <w:sz w:val="20"/>
          <w:szCs w:val="20"/>
        </w:rPr>
        <w:t xml:space="preserve">[13] Dagmar Mohr, Steffen Frey, Torsten Fischer et al. (2009). </w:t>
      </w:r>
      <w:r>
        <w:rPr>
          <w:sz w:val="20"/>
          <w:szCs w:val="20"/>
        </w:rPr>
        <w:t xml:space="preserve">Characterisation of the passive permeability barrier of nuclear pore complexes. The EMBO Journal. </w:t>
      </w:r>
      <w:hyperlink r:id="rId93" w:history="1">
        <w:r>
          <w:rPr>
            <w:color w:val="087B78"/>
            <w:sz w:val="20"/>
            <w:szCs w:val="20"/>
            <w:u w:val="single"/>
          </w:rPr>
          <w:t>10.1038/emboj.2009.200</w:t>
        </w:r>
      </w:hyperlink>
    </w:p>
    <w:p w14:paraId="5EC21256" w14:textId="274BA8B1" w:rsidR="00DC0EB4" w:rsidRDefault="00BA697F">
      <w:pPr>
        <w:keepLines/>
        <w:spacing w:after="90" w:line="245" w:lineRule="auto"/>
      </w:pPr>
      <w:r>
        <w:rPr>
          <w:b/>
          <w:bCs/>
          <w:sz w:val="20"/>
          <w:szCs w:val="20"/>
        </w:rPr>
        <w:t xml:space="preserve">[14] Shotaro Otsuka, Khanh Huy Bui, Martin Schorb et al. (2016). </w:t>
      </w:r>
      <w:r>
        <w:rPr>
          <w:sz w:val="20"/>
          <w:szCs w:val="20"/>
        </w:rPr>
        <w:t xml:space="preserve">Nuclear pore assembly proceeds by an inside-out extrusion of the nuclear envelope. eLife. </w:t>
      </w:r>
      <w:hyperlink r:id="rId94" w:history="1">
        <w:r>
          <w:rPr>
            <w:color w:val="087B78"/>
            <w:sz w:val="20"/>
            <w:szCs w:val="20"/>
            <w:u w:val="single"/>
          </w:rPr>
          <w:t>10.7554/eLife.19071</w:t>
        </w:r>
      </w:hyperlink>
    </w:p>
    <w:p w14:paraId="56465132" w14:textId="5BCD38BE" w:rsidR="00DC0EB4" w:rsidRDefault="00BA697F">
      <w:pPr>
        <w:keepLines/>
        <w:spacing w:after="90" w:line="245" w:lineRule="auto"/>
      </w:pPr>
      <w:r>
        <w:rPr>
          <w:b/>
          <w:bCs/>
          <w:sz w:val="20"/>
          <w:szCs w:val="20"/>
        </w:rPr>
        <w:t xml:space="preserve">[15] Yolanda Olmos, Lorna Hodgson, Judith Mantell, Paul Verkade, Jeremy G. Carlton (2015). </w:t>
      </w:r>
      <w:r>
        <w:rPr>
          <w:sz w:val="20"/>
          <w:szCs w:val="20"/>
        </w:rPr>
        <w:t xml:space="preserve">ESCRT-III controls nuclear envelope reformation. Nature. </w:t>
      </w:r>
      <w:hyperlink r:id="rId95" w:history="1">
        <w:r>
          <w:rPr>
            <w:color w:val="087B78"/>
            <w:sz w:val="20"/>
            <w:szCs w:val="20"/>
            <w:u w:val="single"/>
          </w:rPr>
          <w:t>10.1038/nature14503</w:t>
        </w:r>
      </w:hyperlink>
    </w:p>
    <w:p w14:paraId="62A5D0D7" w14:textId="7D2B6B8B" w:rsidR="00DC0EB4" w:rsidRDefault="00BA697F">
      <w:pPr>
        <w:keepLines/>
        <w:spacing w:after="90" w:line="245" w:lineRule="auto"/>
      </w:pPr>
      <w:r>
        <w:rPr>
          <w:b/>
          <w:bCs/>
          <w:sz w:val="20"/>
          <w:szCs w:val="20"/>
        </w:rPr>
        <w:t xml:space="preserve">[16] Alexander von Appen, Dollie LaJoie, Isabel E. Johnson et al. (2020). </w:t>
      </w:r>
      <w:r>
        <w:rPr>
          <w:sz w:val="20"/>
          <w:szCs w:val="20"/>
        </w:rPr>
        <w:t xml:space="preserve">LEM2 phase separation governs ESCRT-mediated nuclear envelope reformation. Nature. </w:t>
      </w:r>
      <w:hyperlink r:id="rId96" w:history="1">
        <w:r>
          <w:rPr>
            <w:color w:val="087B78"/>
            <w:sz w:val="20"/>
            <w:szCs w:val="20"/>
            <w:u w:val="single"/>
          </w:rPr>
          <w:t>10.1038/s41586-020-2232-x</w:t>
        </w:r>
      </w:hyperlink>
    </w:p>
    <w:p w14:paraId="0E49B49B" w14:textId="267E2616" w:rsidR="00DC0EB4" w:rsidRDefault="00BA697F">
      <w:pPr>
        <w:keepLines/>
        <w:spacing w:after="90" w:line="245" w:lineRule="auto"/>
      </w:pPr>
      <w:r>
        <w:rPr>
          <w:b/>
          <w:bCs/>
          <w:sz w:val="20"/>
          <w:szCs w:val="20"/>
        </w:rPr>
        <w:t xml:space="preserve">[17] Alberto Elosegui-Artola, Ion Andreu, Amy E. M. Beedle et al. (2017). </w:t>
      </w:r>
      <w:r>
        <w:rPr>
          <w:sz w:val="20"/>
          <w:szCs w:val="20"/>
        </w:rPr>
        <w:t xml:space="preserve">Force Triggers YAP Nuclear Entry by Regulating Transport across Nuclear Pores. Cell. </w:t>
      </w:r>
      <w:hyperlink r:id="rId97" w:history="1">
        <w:r>
          <w:rPr>
            <w:color w:val="087B78"/>
            <w:sz w:val="20"/>
            <w:szCs w:val="20"/>
            <w:u w:val="single"/>
          </w:rPr>
          <w:t>10.1016/j.cell.2017.10.008</w:t>
        </w:r>
      </w:hyperlink>
    </w:p>
    <w:p w14:paraId="3CA25262" w14:textId="076EC8EA" w:rsidR="00DC0EB4" w:rsidRDefault="00BA697F">
      <w:pPr>
        <w:keepLines/>
        <w:spacing w:after="90" w:line="245" w:lineRule="auto"/>
      </w:pPr>
      <w:r>
        <w:rPr>
          <w:b/>
          <w:bCs/>
          <w:sz w:val="20"/>
          <w:szCs w:val="20"/>
        </w:rPr>
        <w:t xml:space="preserve">[18] Abin Biswas, Omar Muñoz, Kyoohyun Kim et al. (2025). </w:t>
      </w:r>
      <w:r>
        <w:rPr>
          <w:sz w:val="20"/>
          <w:szCs w:val="20"/>
        </w:rPr>
        <w:t xml:space="preserve">Conserved nucleocytoplasmic density homeostasis drives cellular organization across eukaryotes. Nature Communications. </w:t>
      </w:r>
      <w:hyperlink r:id="rId98" w:history="1">
        <w:r>
          <w:rPr>
            <w:color w:val="087B78"/>
            <w:sz w:val="20"/>
            <w:szCs w:val="20"/>
            <w:u w:val="single"/>
          </w:rPr>
          <w:t>10.1038/s41467-025-62605-0</w:t>
        </w:r>
      </w:hyperlink>
    </w:p>
    <w:p w14:paraId="3A3F5CA8" w14:textId="67ED1CF8" w:rsidR="00DC0EB4" w:rsidRDefault="00BA697F">
      <w:pPr>
        <w:keepLines/>
        <w:spacing w:after="90" w:line="245" w:lineRule="auto"/>
      </w:pPr>
      <w:r>
        <w:rPr>
          <w:b/>
          <w:bCs/>
          <w:sz w:val="20"/>
          <w:szCs w:val="20"/>
        </w:rPr>
        <w:t xml:space="preserve">[19] Céline Denais, Rachel M. Gilbert, Philipp Isermann et al. (2016). </w:t>
      </w:r>
      <w:r>
        <w:rPr>
          <w:sz w:val="20"/>
          <w:szCs w:val="20"/>
        </w:rPr>
        <w:t xml:space="preserve">Nuclear envelope rupture and repair during cancer cell migration. Science. </w:t>
      </w:r>
      <w:hyperlink r:id="rId99" w:history="1">
        <w:r>
          <w:rPr>
            <w:color w:val="087B78"/>
            <w:sz w:val="20"/>
            <w:szCs w:val="20"/>
            <w:u w:val="single"/>
          </w:rPr>
          <w:t>10.1126/science.aad7297</w:t>
        </w:r>
      </w:hyperlink>
    </w:p>
    <w:p w14:paraId="2BD277D1" w14:textId="77777777" w:rsidR="00DC0EB4" w:rsidRDefault="00BA697F">
      <w:pPr>
        <w:pStyle w:val="Heading1"/>
      </w:pPr>
      <w:bookmarkStart w:id="12" w:name="_Toc242668388"/>
      <w:r>
        <w:t>Evidence scope</w:t>
      </w:r>
      <w:bookmarkEnd w:id="12"/>
    </w:p>
    <w:p w14:paraId="444B5E26" w14:textId="77777777" w:rsidR="00DC0EB4" w:rsidRDefault="00BA697F">
      <w:pPr>
        <w:keepLines/>
        <w:spacing w:after="160" w:line="270" w:lineRule="auto"/>
      </w:pPr>
      <w:r>
        <w:t>This review integrates published primary research with a foundational methods review where needed. Source access ranges from primary abstracts to the selected main Results and Methods identified in each reference record. It is a scholarly synthesis rather than an independent reanalysis of experimental data. Conclusions retain the biological system, measurement scale and model assumptions of the cited studies.</w:t>
      </w:r>
    </w:p>
    <w:sectPr w:rsidR="00DC0EB4">
      <w:headerReference w:type="default" r:id="rId100"/>
      <w:footerReference w:type="default" r:id="rId101"/>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F694F" w14:textId="77777777" w:rsidR="00BA697F" w:rsidRDefault="00BA697F">
      <w:pPr>
        <w:spacing w:after="0" w:line="240" w:lineRule="auto"/>
      </w:pPr>
      <w:r>
        <w:separator/>
      </w:r>
    </w:p>
  </w:endnote>
  <w:endnote w:type="continuationSeparator" w:id="0">
    <w:p w14:paraId="42002F8C" w14:textId="77777777" w:rsidR="00BA697F" w:rsidRDefault="00BA6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4EAC6" w14:textId="77777777" w:rsidR="00DC0EB4" w:rsidRDefault="00BA697F">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3566AC">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3566AC">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209FC" w14:textId="77777777" w:rsidR="00BA697F" w:rsidRDefault="00BA697F">
      <w:pPr>
        <w:spacing w:after="0" w:line="240" w:lineRule="auto"/>
      </w:pPr>
      <w:r>
        <w:separator/>
      </w:r>
    </w:p>
  </w:footnote>
  <w:footnote w:type="continuationSeparator" w:id="0">
    <w:p w14:paraId="0130A0BD" w14:textId="77777777" w:rsidR="00BA697F" w:rsidRDefault="00BA69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8185" w14:textId="77777777" w:rsidR="00DC0EB4" w:rsidRDefault="00BA697F">
    <w:pPr>
      <w:pBdr>
        <w:bottom w:val="single" w:sz="4" w:space="0" w:color="B8D1D0"/>
      </w:pBdr>
    </w:pPr>
    <w:r>
      <w:rPr>
        <w:color w:val="527077"/>
        <w:sz w:val="17"/>
        <w:szCs w:val="17"/>
      </w:rPr>
      <w:t>Nuclear Pore Complexes: Architecture, Selective Transport and Plasticity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E423B"/>
    <w:multiLevelType w:val="hybridMultilevel"/>
    <w:tmpl w:val="55262202"/>
    <w:lvl w:ilvl="0" w:tplc="2F760D40">
      <w:start w:val="1"/>
      <w:numFmt w:val="bullet"/>
      <w:lvlText w:val="●"/>
      <w:lvlJc w:val="left"/>
      <w:pPr>
        <w:ind w:left="720" w:hanging="360"/>
      </w:pPr>
    </w:lvl>
    <w:lvl w:ilvl="1" w:tplc="A58A4C24">
      <w:start w:val="1"/>
      <w:numFmt w:val="bullet"/>
      <w:lvlText w:val="○"/>
      <w:lvlJc w:val="left"/>
      <w:pPr>
        <w:ind w:left="1440" w:hanging="360"/>
      </w:pPr>
    </w:lvl>
    <w:lvl w:ilvl="2" w:tplc="6840D756">
      <w:start w:val="1"/>
      <w:numFmt w:val="bullet"/>
      <w:lvlText w:val="■"/>
      <w:lvlJc w:val="left"/>
      <w:pPr>
        <w:ind w:left="2160" w:hanging="360"/>
      </w:pPr>
    </w:lvl>
    <w:lvl w:ilvl="3" w:tplc="BCA6D88E">
      <w:start w:val="1"/>
      <w:numFmt w:val="bullet"/>
      <w:lvlText w:val="●"/>
      <w:lvlJc w:val="left"/>
      <w:pPr>
        <w:ind w:left="2880" w:hanging="360"/>
      </w:pPr>
    </w:lvl>
    <w:lvl w:ilvl="4" w:tplc="39F249E0">
      <w:start w:val="1"/>
      <w:numFmt w:val="bullet"/>
      <w:lvlText w:val="○"/>
      <w:lvlJc w:val="left"/>
      <w:pPr>
        <w:ind w:left="3600" w:hanging="360"/>
      </w:pPr>
    </w:lvl>
    <w:lvl w:ilvl="5" w:tplc="A1DE2EFC">
      <w:start w:val="1"/>
      <w:numFmt w:val="bullet"/>
      <w:lvlText w:val="■"/>
      <w:lvlJc w:val="left"/>
      <w:pPr>
        <w:ind w:left="4320" w:hanging="360"/>
      </w:pPr>
    </w:lvl>
    <w:lvl w:ilvl="6" w:tplc="F21EF1E6">
      <w:start w:val="1"/>
      <w:numFmt w:val="bullet"/>
      <w:lvlText w:val="●"/>
      <w:lvlJc w:val="left"/>
      <w:pPr>
        <w:ind w:left="5040" w:hanging="360"/>
      </w:pPr>
    </w:lvl>
    <w:lvl w:ilvl="7" w:tplc="A296E9A0">
      <w:start w:val="1"/>
      <w:numFmt w:val="bullet"/>
      <w:lvlText w:val="●"/>
      <w:lvlJc w:val="left"/>
      <w:pPr>
        <w:ind w:left="5760" w:hanging="360"/>
      </w:pPr>
    </w:lvl>
    <w:lvl w:ilvl="8" w:tplc="4CE08340">
      <w:start w:val="1"/>
      <w:numFmt w:val="bullet"/>
      <w:lvlText w:val="●"/>
      <w:lvlJc w:val="left"/>
      <w:pPr>
        <w:ind w:left="6480" w:hanging="360"/>
      </w:pPr>
    </w:lvl>
  </w:abstractNum>
  <w:abstractNum w:abstractNumId="1" w15:restartNumberingAfterBreak="0">
    <w:nsid w:val="788C68BB"/>
    <w:multiLevelType w:val="hybridMultilevel"/>
    <w:tmpl w:val="22F680EE"/>
    <w:lvl w:ilvl="0" w:tplc="9C841820">
      <w:start w:val="1"/>
      <w:numFmt w:val="bullet"/>
      <w:lvlText w:val="•"/>
      <w:lvlJc w:val="left"/>
      <w:pPr>
        <w:ind w:left="340" w:hanging="170"/>
      </w:pPr>
    </w:lvl>
    <w:lvl w:ilvl="1" w:tplc="E7A66D52">
      <w:numFmt w:val="decimal"/>
      <w:lvlText w:val=""/>
      <w:lvlJc w:val="left"/>
    </w:lvl>
    <w:lvl w:ilvl="2" w:tplc="7B7261EE">
      <w:numFmt w:val="decimal"/>
      <w:lvlText w:val=""/>
      <w:lvlJc w:val="left"/>
    </w:lvl>
    <w:lvl w:ilvl="3" w:tplc="5F3271AC">
      <w:numFmt w:val="decimal"/>
      <w:lvlText w:val=""/>
      <w:lvlJc w:val="left"/>
    </w:lvl>
    <w:lvl w:ilvl="4" w:tplc="53682F32">
      <w:numFmt w:val="decimal"/>
      <w:lvlText w:val=""/>
      <w:lvlJc w:val="left"/>
    </w:lvl>
    <w:lvl w:ilvl="5" w:tplc="06A8C14E">
      <w:numFmt w:val="decimal"/>
      <w:lvlText w:val=""/>
      <w:lvlJc w:val="left"/>
    </w:lvl>
    <w:lvl w:ilvl="6" w:tplc="543AC5F2">
      <w:numFmt w:val="decimal"/>
      <w:lvlText w:val=""/>
      <w:lvlJc w:val="left"/>
    </w:lvl>
    <w:lvl w:ilvl="7" w:tplc="62B64072">
      <w:numFmt w:val="decimal"/>
      <w:lvlText w:val=""/>
      <w:lvlJc w:val="left"/>
    </w:lvl>
    <w:lvl w:ilvl="8" w:tplc="EAAC6F2A">
      <w:numFmt w:val="decimal"/>
      <w:lvlText w:val=""/>
      <w:lvlJc w:val="left"/>
    </w:lvl>
  </w:abstractNum>
  <w:num w:numId="1" w16cid:durableId="1214386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EB4"/>
    <w:rsid w:val="003566AC"/>
    <w:rsid w:val="00BA697F"/>
    <w:rsid w:val="00DC0EB4"/>
    <w:rsid w:val="00F47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955A76"/>
  <w15:docId w15:val="{3EA55B01-3B60-40E3-A835-40A1A79EA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3566A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83/jcb.202409120" TargetMode="External"/><Relationship Id="rId21" Type="http://schemas.openxmlformats.org/officeDocument/2006/relationships/hyperlink" Target="https://doi.org/10.1126/science.abm9798" TargetMode="External"/><Relationship Id="rId42" Type="http://schemas.openxmlformats.org/officeDocument/2006/relationships/hyperlink" Target="https://doi.org/10.1083/jcb.201601004" TargetMode="External"/><Relationship Id="rId47" Type="http://schemas.openxmlformats.org/officeDocument/2006/relationships/hyperlink" Target="https://doi.org/10.1101/gad.2040611" TargetMode="External"/><Relationship Id="rId63" Type="http://schemas.openxmlformats.org/officeDocument/2006/relationships/hyperlink" Target="https://doi.org/10.1126/science.aad7297" TargetMode="External"/><Relationship Id="rId68" Type="http://schemas.openxmlformats.org/officeDocument/2006/relationships/hyperlink" Target="https://doi.org/10.1038/emboj.2009.200" TargetMode="External"/><Relationship Id="rId84" Type="http://schemas.openxmlformats.org/officeDocument/2006/relationships/hyperlink" Target="https://doi.org/10.1093/emboj/16.21.6535" TargetMode="External"/><Relationship Id="rId89" Type="http://schemas.openxmlformats.org/officeDocument/2006/relationships/hyperlink" Target="https://doi.org/10.1038/ncomms8532" TargetMode="External"/><Relationship Id="rId16" Type="http://schemas.openxmlformats.org/officeDocument/2006/relationships/hyperlink" Target="https://doi.org/10.1038/s41586-023-06969-7" TargetMode="External"/><Relationship Id="rId11" Type="http://schemas.openxmlformats.org/officeDocument/2006/relationships/hyperlink" Target="https://doi.org/10.1101/gad.2040611" TargetMode="External"/><Relationship Id="rId32" Type="http://schemas.openxmlformats.org/officeDocument/2006/relationships/hyperlink" Target="https://doi.org/10.1093/emboj/16.21.6535" TargetMode="External"/><Relationship Id="rId37" Type="http://schemas.openxmlformats.org/officeDocument/2006/relationships/hyperlink" Target="https://doi.org/10.1038/msb.2013.4" TargetMode="External"/><Relationship Id="rId53" Type="http://schemas.openxmlformats.org/officeDocument/2006/relationships/hyperlink" Target="https://doi.org/10.7554/eLife.19071" TargetMode="External"/><Relationship Id="rId58" Type="http://schemas.openxmlformats.org/officeDocument/2006/relationships/hyperlink" Target="https://doi.org/10.1016/j.cell.2017.10.008" TargetMode="External"/><Relationship Id="rId74" Type="http://schemas.openxmlformats.org/officeDocument/2006/relationships/hyperlink" Target="https://doi.org/10.1016/j.cell.2008.11.037" TargetMode="External"/><Relationship Id="rId79" Type="http://schemas.openxmlformats.org/officeDocument/2006/relationships/hyperlink" Target="https://doi.org/10.1083/jcb.202409120" TargetMode="External"/><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s://doi.org/10.1038/s41586-023-06969-7" TargetMode="External"/><Relationship Id="rId95" Type="http://schemas.openxmlformats.org/officeDocument/2006/relationships/hyperlink" Target="https://doi.org/10.1038/nature14503" TargetMode="External"/><Relationship Id="rId22" Type="http://schemas.openxmlformats.org/officeDocument/2006/relationships/hyperlink" Target="https://doi.org/10.1038/ncomms8532" TargetMode="External"/><Relationship Id="rId27" Type="http://schemas.openxmlformats.org/officeDocument/2006/relationships/hyperlink" Target="https://doi.org/10.1038/s41556-025-01812-9" TargetMode="External"/><Relationship Id="rId43" Type="http://schemas.openxmlformats.org/officeDocument/2006/relationships/hyperlink" Target="https://doi.org/10.1093/emboj/16.21.6535" TargetMode="External"/><Relationship Id="rId48" Type="http://schemas.openxmlformats.org/officeDocument/2006/relationships/hyperlink" Target="https://doi.org/10.1093/emboj/16.21.6535" TargetMode="External"/><Relationship Id="rId64" Type="http://schemas.openxmlformats.org/officeDocument/2006/relationships/hyperlink" Target="https://doi.org/10.1126/science.abm9798" TargetMode="External"/><Relationship Id="rId69" Type="http://schemas.openxmlformats.org/officeDocument/2006/relationships/hyperlink" Target="https://doi.org/10.1093/emboj/16.21.6535" TargetMode="External"/><Relationship Id="rId80" Type="http://schemas.openxmlformats.org/officeDocument/2006/relationships/hyperlink" Target="https://doi.org/10.1016/j.molcel.2024.11.038" TargetMode="External"/><Relationship Id="rId85" Type="http://schemas.openxmlformats.org/officeDocument/2006/relationships/hyperlink" Target="https://doi.org/10.1101/gad.2040611" TargetMode="External"/><Relationship Id="rId12" Type="http://schemas.openxmlformats.org/officeDocument/2006/relationships/hyperlink" Target="https://doi.org/10.1016/j.molcel.2024.11.038" TargetMode="External"/><Relationship Id="rId17" Type="http://schemas.openxmlformats.org/officeDocument/2006/relationships/hyperlink" Target="https://doi.org/10.1038/s41556-025-01812-9" TargetMode="External"/><Relationship Id="rId25" Type="http://schemas.openxmlformats.org/officeDocument/2006/relationships/hyperlink" Target="https://doi.org/10.1038/msb.2013.4" TargetMode="External"/><Relationship Id="rId33" Type="http://schemas.openxmlformats.org/officeDocument/2006/relationships/hyperlink" Target="https://doi.org/10.1016/j.cell.2017.10.008" TargetMode="External"/><Relationship Id="rId38" Type="http://schemas.openxmlformats.org/officeDocument/2006/relationships/hyperlink" Target="https://doi.org/10.1038/s41556-025-01812-9" TargetMode="External"/><Relationship Id="rId46" Type="http://schemas.openxmlformats.org/officeDocument/2006/relationships/hyperlink" Target="https://doi.org/10.1101/gad.2040611" TargetMode="External"/><Relationship Id="rId59" Type="http://schemas.openxmlformats.org/officeDocument/2006/relationships/hyperlink" Target="https://doi.org/10.1083/jcb.202409120" TargetMode="External"/><Relationship Id="rId67" Type="http://schemas.openxmlformats.org/officeDocument/2006/relationships/hyperlink" Target="https://doi.org/10.1083/jcb.201601004" TargetMode="External"/><Relationship Id="rId103" Type="http://schemas.openxmlformats.org/officeDocument/2006/relationships/theme" Target="theme/theme1.xml"/><Relationship Id="rId20" Type="http://schemas.openxmlformats.org/officeDocument/2006/relationships/hyperlink" Target="https://doi.org/10.1126/science.abm9129" TargetMode="External"/><Relationship Id="rId41" Type="http://schemas.openxmlformats.org/officeDocument/2006/relationships/hyperlink" Target="https://doi.org/10.1038/emboj.2009.200" TargetMode="External"/><Relationship Id="rId54" Type="http://schemas.openxmlformats.org/officeDocument/2006/relationships/hyperlink" Target="https://doi.org/10.1083/jcb.201601004" TargetMode="External"/><Relationship Id="rId62" Type="http://schemas.openxmlformats.org/officeDocument/2006/relationships/hyperlink" Target="https://doi.org/10.1016/j.cell.2008.11.037" TargetMode="External"/><Relationship Id="rId70" Type="http://schemas.openxmlformats.org/officeDocument/2006/relationships/hyperlink" Target="https://doi.org/10.1101/gad.2040611" TargetMode="External"/><Relationship Id="rId75" Type="http://schemas.openxmlformats.org/officeDocument/2006/relationships/hyperlink" Target="https://doi.org/10.1126/science.abm9798" TargetMode="External"/><Relationship Id="rId83" Type="http://schemas.openxmlformats.org/officeDocument/2006/relationships/hyperlink" Target="https://doi.org/10.1083/jcb.201601004" TargetMode="External"/><Relationship Id="rId88" Type="http://schemas.openxmlformats.org/officeDocument/2006/relationships/hyperlink" Target="https://doi.org/10.1038/s41556-025-01812-9" TargetMode="External"/><Relationship Id="rId91" Type="http://schemas.openxmlformats.org/officeDocument/2006/relationships/hyperlink" Target="https://doi.org/10.1038/msb.2013.4" TargetMode="External"/><Relationship Id="rId96" Type="http://schemas.openxmlformats.org/officeDocument/2006/relationships/hyperlink" Target="https://doi.org/10.1038/s41586-020-2232-x"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8/ncomms8532" TargetMode="External"/><Relationship Id="rId23" Type="http://schemas.openxmlformats.org/officeDocument/2006/relationships/hyperlink" Target="https://doi.org/10.1083/jcb.201601004" TargetMode="External"/><Relationship Id="rId28" Type="http://schemas.openxmlformats.org/officeDocument/2006/relationships/hyperlink" Target="https://doi.org/10.1038/s41556-025-01812-9" TargetMode="External"/><Relationship Id="rId36" Type="http://schemas.openxmlformats.org/officeDocument/2006/relationships/hyperlink" Target="https://doi.org/10.1038/s41556-025-01812-9" TargetMode="External"/><Relationship Id="rId49" Type="http://schemas.openxmlformats.org/officeDocument/2006/relationships/hyperlink" Target="https://doi.org/10.1038/s41586-023-06969-7" TargetMode="External"/><Relationship Id="rId57" Type="http://schemas.openxmlformats.org/officeDocument/2006/relationships/hyperlink" Target="https://doi.org/10.7554/eLife.19071" TargetMode="External"/><Relationship Id="rId10" Type="http://schemas.openxmlformats.org/officeDocument/2006/relationships/hyperlink" Target="https://doi.org/10.1093/emboj/16.21.6535" TargetMode="External"/><Relationship Id="rId31" Type="http://schemas.openxmlformats.org/officeDocument/2006/relationships/hyperlink" Target="https://doi.org/10.1083/jcb.201601004" TargetMode="External"/><Relationship Id="rId44" Type="http://schemas.openxmlformats.org/officeDocument/2006/relationships/hyperlink" Target="https://doi.org/10.1083/jcb.202409120" TargetMode="External"/><Relationship Id="rId52" Type="http://schemas.openxmlformats.org/officeDocument/2006/relationships/hyperlink" Target="https://doi.org/10.1083/jcb.201601004" TargetMode="External"/><Relationship Id="rId60" Type="http://schemas.openxmlformats.org/officeDocument/2006/relationships/hyperlink" Target="https://doi.org/10.1016/j.molcel.2024.11.038" TargetMode="External"/><Relationship Id="rId65" Type="http://schemas.openxmlformats.org/officeDocument/2006/relationships/hyperlink" Target="https://doi.org/10.1126/science.abm9129" TargetMode="External"/><Relationship Id="rId73" Type="http://schemas.openxmlformats.org/officeDocument/2006/relationships/hyperlink" Target="https://doi.org/10.1016/j.molcel.2024.11.038" TargetMode="External"/><Relationship Id="rId78" Type="http://schemas.openxmlformats.org/officeDocument/2006/relationships/hyperlink" Target="https://doi.org/10.1101/gad.2040611" TargetMode="External"/><Relationship Id="rId81" Type="http://schemas.openxmlformats.org/officeDocument/2006/relationships/hyperlink" Target="https://doi.org/10.1126/science.abm9798" TargetMode="External"/><Relationship Id="rId86" Type="http://schemas.openxmlformats.org/officeDocument/2006/relationships/hyperlink" Target="https://doi.org/10.1016/j.molcel.2024.11.038" TargetMode="External"/><Relationship Id="rId94" Type="http://schemas.openxmlformats.org/officeDocument/2006/relationships/hyperlink" Target="https://doi.org/10.7554/eLife.19071" TargetMode="External"/><Relationship Id="rId99" Type="http://schemas.openxmlformats.org/officeDocument/2006/relationships/hyperlink" Target="https://doi.org/10.1126/science.aad7297" TargetMode="External"/><Relationship Id="rId10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83/jcb.201601004" TargetMode="External"/><Relationship Id="rId13" Type="http://schemas.openxmlformats.org/officeDocument/2006/relationships/hyperlink" Target="https://doi.org/10.1083/jcb.202409120" TargetMode="External"/><Relationship Id="rId18" Type="http://schemas.openxmlformats.org/officeDocument/2006/relationships/hyperlink" Target="https://doi.org/10.1038/msb.2013.4" TargetMode="External"/><Relationship Id="rId39" Type="http://schemas.openxmlformats.org/officeDocument/2006/relationships/hyperlink" Target="https://doi.org/10.1038/s41586-023-06969-7" TargetMode="External"/><Relationship Id="rId34" Type="http://schemas.openxmlformats.org/officeDocument/2006/relationships/hyperlink" Target="https://doi.org/10.1083/jcb.201601004" TargetMode="External"/><Relationship Id="rId50" Type="http://schemas.openxmlformats.org/officeDocument/2006/relationships/hyperlink" Target="https://doi.org/10.1038/s41556-025-01812-9" TargetMode="External"/><Relationship Id="rId55" Type="http://schemas.openxmlformats.org/officeDocument/2006/relationships/hyperlink" Target="https://doi.org/10.1038/nature14503" TargetMode="External"/><Relationship Id="rId76" Type="http://schemas.openxmlformats.org/officeDocument/2006/relationships/hyperlink" Target="https://doi.org/10.1038/s41556-025-01812-9" TargetMode="External"/><Relationship Id="rId97" Type="http://schemas.openxmlformats.org/officeDocument/2006/relationships/hyperlink" Target="https://doi.org/10.1016/j.cell.2017.10.008" TargetMode="External"/><Relationship Id="rId7" Type="http://schemas.openxmlformats.org/officeDocument/2006/relationships/hyperlink" Target="https://doi.org/10.1126/science.abm9798" TargetMode="External"/><Relationship Id="rId71" Type="http://schemas.openxmlformats.org/officeDocument/2006/relationships/hyperlink" Target="https://doi.org/10.1038/s41556-025-01812-9" TargetMode="External"/><Relationship Id="rId92" Type="http://schemas.openxmlformats.org/officeDocument/2006/relationships/hyperlink" Target="https://doi.org/10.1016/j.cell.2008.11.037" TargetMode="External"/><Relationship Id="rId2" Type="http://schemas.openxmlformats.org/officeDocument/2006/relationships/styles" Target="styles.xml"/><Relationship Id="rId29" Type="http://schemas.openxmlformats.org/officeDocument/2006/relationships/hyperlink" Target="https://doi.org/10.1038/s41586-023-06969-7" TargetMode="External"/><Relationship Id="rId24" Type="http://schemas.openxmlformats.org/officeDocument/2006/relationships/hyperlink" Target="https://doi.org/10.1038/s41556-025-01812-9" TargetMode="External"/><Relationship Id="rId40" Type="http://schemas.openxmlformats.org/officeDocument/2006/relationships/hyperlink" Target="https://doi.org/10.1083/jcb.201601004" TargetMode="External"/><Relationship Id="rId45" Type="http://schemas.openxmlformats.org/officeDocument/2006/relationships/hyperlink" Target="https://doi.org/10.1093/emboj/16.21.6535" TargetMode="External"/><Relationship Id="rId66" Type="http://schemas.openxmlformats.org/officeDocument/2006/relationships/hyperlink" Target="https://doi.org/10.1038/ncomms8532" TargetMode="External"/><Relationship Id="rId87" Type="http://schemas.openxmlformats.org/officeDocument/2006/relationships/hyperlink" Target="https://doi.org/10.1083/jcb.202409120" TargetMode="External"/><Relationship Id="rId61" Type="http://schemas.openxmlformats.org/officeDocument/2006/relationships/hyperlink" Target="https://doi.org/10.1038/s41467-025-62605-0" TargetMode="External"/><Relationship Id="rId82" Type="http://schemas.openxmlformats.org/officeDocument/2006/relationships/hyperlink" Target="https://doi.org/10.1126/science.abm9129" TargetMode="External"/><Relationship Id="rId19" Type="http://schemas.openxmlformats.org/officeDocument/2006/relationships/hyperlink" Target="https://doi.org/10.1016/j.cell.2008.11.037" TargetMode="External"/><Relationship Id="rId14" Type="http://schemas.openxmlformats.org/officeDocument/2006/relationships/hyperlink" Target="https://doi.org/10.1038/s41556-025-01812-9" TargetMode="External"/><Relationship Id="rId30" Type="http://schemas.openxmlformats.org/officeDocument/2006/relationships/hyperlink" Target="https://doi.org/10.1038/s41556-025-01812-9" TargetMode="External"/><Relationship Id="rId35" Type="http://schemas.openxmlformats.org/officeDocument/2006/relationships/hyperlink" Target="https://doi.org/10.1083/jcb.202409120" TargetMode="External"/><Relationship Id="rId56" Type="http://schemas.openxmlformats.org/officeDocument/2006/relationships/hyperlink" Target="https://doi.org/10.1038/s41586-020-2232-x" TargetMode="External"/><Relationship Id="rId77" Type="http://schemas.openxmlformats.org/officeDocument/2006/relationships/hyperlink" Target="https://doi.org/10.1093/emboj/16.21.6535" TargetMode="External"/><Relationship Id="rId100" Type="http://schemas.openxmlformats.org/officeDocument/2006/relationships/header" Target="header1.xml"/><Relationship Id="rId8" Type="http://schemas.openxmlformats.org/officeDocument/2006/relationships/hyperlink" Target="https://doi.org/10.1126/science.abm9129" TargetMode="External"/><Relationship Id="rId51" Type="http://schemas.openxmlformats.org/officeDocument/2006/relationships/hyperlink" Target="https://doi.org/10.1038/s41586-023-06969-7" TargetMode="External"/><Relationship Id="rId72" Type="http://schemas.openxmlformats.org/officeDocument/2006/relationships/hyperlink" Target="https://doi.org/10.1083/jcb.202409120" TargetMode="External"/><Relationship Id="rId93" Type="http://schemas.openxmlformats.org/officeDocument/2006/relationships/hyperlink" Target="https://doi.org/10.1038/emboj.2009.200" TargetMode="External"/><Relationship Id="rId98" Type="http://schemas.openxmlformats.org/officeDocument/2006/relationships/hyperlink" Target="https://doi.org/10.1038/s41467-025-62605-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2882</Words>
  <Characters>18306</Characters>
  <Application>Microsoft Office Word</Application>
  <DocSecurity>0</DocSecurity>
  <Lines>289</Lines>
  <Paragraphs>98</Paragraphs>
  <ScaleCrop>false</ScaleCrop>
  <Company/>
  <LinksUpToDate>false</LinksUpToDate>
  <CharactersWithSpaces>21087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Pore Complexes: Architecture, Selective Transport and Plasticity</dc:title>
  <dc:subject>Integrated primary evidence from structural scaffolds to current barrier dynamics</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2026-10-12T09:32:00Z</dcterms:modified>
</cp:coreProperties>
</file>