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336D3" w14:textId="77777777" w:rsidR="00AA07BE" w:rsidRDefault="00557E1F">
      <w:pPr>
        <w:pStyle w:val="Title"/>
      </w:pPr>
      <w:r>
        <w:t>Nuclear Transport and Compartment Dynamics: Gates, Search and Processing</w:t>
      </w:r>
    </w:p>
    <w:p w14:paraId="0C4AF5AD" w14:textId="77777777" w:rsidR="00AA07BE" w:rsidRDefault="00557E1F">
      <w:pPr>
        <w:pStyle w:val="Subtitle"/>
      </w:pPr>
      <w:r>
        <w:t>A unified review that preserves the distinction between boundary exchange and internal movement</w:t>
      </w:r>
    </w:p>
    <w:p w14:paraId="32BFAA17" w14:textId="77777777" w:rsidR="00AA07BE" w:rsidRDefault="00557E1F">
      <w:pPr>
        <w:spacing w:before="200" w:after="320"/>
      </w:pPr>
      <w:r>
        <w:rPr>
          <w:color w:val="087B78"/>
          <w:sz w:val="20"/>
          <w:szCs w:val="20"/>
        </w:rPr>
        <w:t>CellNucleus · Current research review · 12 October 2026</w:t>
      </w:r>
    </w:p>
    <w:p w14:paraId="7DED0FB1" w14:textId="77777777" w:rsidR="00AA07BE" w:rsidRDefault="00557E1F">
      <w:pPr>
        <w:pStyle w:val="Heading1"/>
      </w:pPr>
      <w:bookmarkStart w:id="0" w:name="_Toc242668384"/>
      <w:r>
        <w:t>Abstract</w:t>
      </w:r>
      <w:bookmarkEnd w:id="0"/>
    </w:p>
    <w:p w14:paraId="0A7FE341" w14:textId="555B72F6" w:rsidR="00AA07BE" w:rsidRDefault="00557E1F">
      <w:r>
        <w:t>Nuclear transport includes movement across the envelope and movement within the nuclear interior, with different substrates and driving mechanisms. Proteins may undergo passive exchange or receptor-mediated import/export, then diffuse, bind chromatin or partition into nuclear bodies. RNA movement is coupled to processing and assembly before or during export. These processes cannot be reduced to one diffusion coefficient or energy requirement. Primary research combines pathway-specific biochemistry with live</w:t>
      </w:r>
      <w:r>
        <w:t>-cell mobility, structural mapping and perturbations that reveal how the surrounding nuclear environment shapes transport.</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hyperlink r:id="rId11" w:history="1">
        <w:r>
          <w:rPr>
            <w:color w:val="087B78"/>
            <w:sz w:val="18"/>
            <w:szCs w:val="18"/>
          </w:rPr>
          <w:t xml:space="preserve"> [5]</w:t>
        </w:r>
      </w:hyperlink>
      <w:hyperlink r:id="rId12" w:history="1">
        <w:r>
          <w:rPr>
            <w:color w:val="087B78"/>
            <w:sz w:val="18"/>
            <w:szCs w:val="18"/>
          </w:rPr>
          <w:t xml:space="preserve"> [6]</w:t>
        </w:r>
      </w:hyperlink>
      <w:hyperlink r:id="rId13" w:history="1">
        <w:r>
          <w:rPr>
            <w:color w:val="087B78"/>
            <w:sz w:val="18"/>
            <w:szCs w:val="18"/>
          </w:rPr>
          <w:t xml:space="preserve"> [7]</w:t>
        </w:r>
      </w:hyperlink>
    </w:p>
    <w:p w14:paraId="673DE218" w14:textId="32C2F81B" w:rsidR="00AA07BE" w:rsidRDefault="00557E1F">
      <w:r>
        <w:t>Recent work extends this picture through transport-factor-dependent pore remodeling, pressure-driven fluid flow, RNA-driven nucleolar architecture and density homeostasis. This review integrates those developments while keeping the relevant boundaries explicit: crossing an NPC, searching for a chromatin target and moving through a processing compartment are distinct stages. Their coupling can regulate nuclear function, but each stage requires a matched experimental readout.</w:t>
      </w:r>
      <w:hyperlink r:id="rId14" w:history="1">
        <w:r>
          <w:rPr>
            <w:color w:val="087B78"/>
            <w:sz w:val="18"/>
            <w:szCs w:val="18"/>
          </w:rPr>
          <w:t xml:space="preserve"> [8]</w:t>
        </w:r>
      </w:hyperlink>
      <w:hyperlink r:id="rId15" w:history="1">
        <w:r>
          <w:rPr>
            <w:color w:val="087B78"/>
            <w:sz w:val="18"/>
            <w:szCs w:val="18"/>
          </w:rPr>
          <w:t xml:space="preserve"> [9]</w:t>
        </w:r>
      </w:hyperlink>
      <w:hyperlink r:id="rId16" w:history="1">
        <w:r>
          <w:rPr>
            <w:color w:val="087B78"/>
            <w:sz w:val="18"/>
            <w:szCs w:val="18"/>
          </w:rPr>
          <w:t xml:space="preserve"> [7]</w:t>
        </w:r>
      </w:hyperlink>
      <w:hyperlink r:id="rId17" w:history="1">
        <w:r>
          <w:rPr>
            <w:color w:val="087B78"/>
            <w:sz w:val="18"/>
            <w:szCs w:val="18"/>
          </w:rPr>
          <w:t xml:space="preserve"> [10]</w:t>
        </w:r>
      </w:hyperlink>
    </w:p>
    <w:p w14:paraId="4C17965F" w14:textId="77777777" w:rsidR="00AA07BE" w:rsidRDefault="00557E1F">
      <w:pPr>
        <w:pageBreakBefore/>
        <w:spacing w:before="330"/>
      </w:pPr>
      <w:r>
        <w:rPr>
          <w:b/>
          <w:bCs/>
          <w:color w:val="173B4C"/>
          <w:sz w:val="32"/>
          <w:szCs w:val="32"/>
        </w:rPr>
        <w:lastRenderedPageBreak/>
        <w:t>Contents</w:t>
      </w:r>
    </w:p>
    <w:sdt>
      <w:sdtPr>
        <w:alias w:val="Contents"/>
        <w:id w:val="-877776607"/>
      </w:sdtPr>
      <w:sdtEndPr/>
      <w:sdtContent>
        <w:p w14:paraId="71722562" w14:textId="43DC7BBB" w:rsidR="00E37D38" w:rsidRDefault="00557E1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84" w:history="1">
            <w:r w:rsidR="00E37D38" w:rsidRPr="00B43ABE">
              <w:rPr>
                <w:rStyle w:val="Hyperlink"/>
                <w:noProof/>
              </w:rPr>
              <w:t>Abstract</w:t>
            </w:r>
            <w:r w:rsidR="00E37D38">
              <w:rPr>
                <w:noProof/>
              </w:rPr>
              <w:tab/>
            </w:r>
            <w:r w:rsidR="00E37D38">
              <w:rPr>
                <w:noProof/>
              </w:rPr>
              <w:fldChar w:fldCharType="begin"/>
            </w:r>
            <w:r w:rsidR="00E37D38">
              <w:rPr>
                <w:noProof/>
              </w:rPr>
              <w:instrText xml:space="preserve"> PAGEREF _Toc242668384 \h </w:instrText>
            </w:r>
            <w:r w:rsidR="00E37D38">
              <w:rPr>
                <w:noProof/>
              </w:rPr>
            </w:r>
            <w:r w:rsidR="00E37D38">
              <w:rPr>
                <w:noProof/>
              </w:rPr>
              <w:fldChar w:fldCharType="separate"/>
            </w:r>
            <w:r w:rsidR="00E37D38">
              <w:rPr>
                <w:noProof/>
              </w:rPr>
              <w:t>1</w:t>
            </w:r>
            <w:r w:rsidR="00E37D38">
              <w:rPr>
                <w:noProof/>
              </w:rPr>
              <w:fldChar w:fldCharType="end"/>
            </w:r>
          </w:hyperlink>
        </w:p>
        <w:p w14:paraId="431104A2" w14:textId="5D1D5E34" w:rsidR="00E37D38" w:rsidRDefault="00E37D3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5" w:history="1">
            <w:r w:rsidRPr="00B43ABE">
              <w:rPr>
                <w:rStyle w:val="Hyperlink"/>
                <w:noProof/>
              </w:rPr>
              <w:t>1. Separate the route, substrate and driving force</w:t>
            </w:r>
            <w:r>
              <w:rPr>
                <w:noProof/>
              </w:rPr>
              <w:tab/>
            </w:r>
            <w:r>
              <w:rPr>
                <w:noProof/>
              </w:rPr>
              <w:fldChar w:fldCharType="begin"/>
            </w:r>
            <w:r>
              <w:rPr>
                <w:noProof/>
              </w:rPr>
              <w:instrText xml:space="preserve"> PAGEREF _Toc242668385 \h </w:instrText>
            </w:r>
            <w:r>
              <w:rPr>
                <w:noProof/>
              </w:rPr>
            </w:r>
            <w:r>
              <w:rPr>
                <w:noProof/>
              </w:rPr>
              <w:fldChar w:fldCharType="separate"/>
            </w:r>
            <w:r>
              <w:rPr>
                <w:noProof/>
              </w:rPr>
              <w:t>2</w:t>
            </w:r>
            <w:r>
              <w:rPr>
                <w:noProof/>
              </w:rPr>
              <w:fldChar w:fldCharType="end"/>
            </w:r>
          </w:hyperlink>
        </w:p>
        <w:p w14:paraId="7EEB8135" w14:textId="730A04D6" w:rsidR="00E37D38" w:rsidRDefault="00E37D3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6" w:history="1">
            <w:r w:rsidRPr="00B43ABE">
              <w:rPr>
                <w:rStyle w:val="Hyperlink"/>
                <w:noProof/>
              </w:rPr>
              <w:t>2. Passive exchange at the envelope is graded</w:t>
            </w:r>
            <w:r>
              <w:rPr>
                <w:noProof/>
              </w:rPr>
              <w:tab/>
            </w:r>
            <w:r>
              <w:rPr>
                <w:noProof/>
              </w:rPr>
              <w:fldChar w:fldCharType="begin"/>
            </w:r>
            <w:r>
              <w:rPr>
                <w:noProof/>
              </w:rPr>
              <w:instrText xml:space="preserve"> PAGEREF _Toc242668386 \h </w:instrText>
            </w:r>
            <w:r>
              <w:rPr>
                <w:noProof/>
              </w:rPr>
            </w:r>
            <w:r>
              <w:rPr>
                <w:noProof/>
              </w:rPr>
              <w:fldChar w:fldCharType="separate"/>
            </w:r>
            <w:r>
              <w:rPr>
                <w:noProof/>
              </w:rPr>
              <w:t>3</w:t>
            </w:r>
            <w:r>
              <w:rPr>
                <w:noProof/>
              </w:rPr>
              <w:fldChar w:fldCharType="end"/>
            </w:r>
          </w:hyperlink>
        </w:p>
        <w:p w14:paraId="2BC8BD99" w14:textId="5FD31C0E" w:rsidR="00E37D38" w:rsidRDefault="00E37D3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7" w:history="1">
            <w:r w:rsidRPr="00B43ABE">
              <w:rPr>
                <w:rStyle w:val="Hyperlink"/>
                <w:noProof/>
              </w:rPr>
              <w:t>3. Directional protein transport uses a spatial molecular cycle</w:t>
            </w:r>
            <w:r>
              <w:rPr>
                <w:noProof/>
              </w:rPr>
              <w:tab/>
            </w:r>
            <w:r>
              <w:rPr>
                <w:noProof/>
              </w:rPr>
              <w:fldChar w:fldCharType="begin"/>
            </w:r>
            <w:r>
              <w:rPr>
                <w:noProof/>
              </w:rPr>
              <w:instrText xml:space="preserve"> PAGEREF _Toc242668387 \h </w:instrText>
            </w:r>
            <w:r>
              <w:rPr>
                <w:noProof/>
              </w:rPr>
            </w:r>
            <w:r>
              <w:rPr>
                <w:noProof/>
              </w:rPr>
              <w:fldChar w:fldCharType="separate"/>
            </w:r>
            <w:r>
              <w:rPr>
                <w:noProof/>
              </w:rPr>
              <w:t>3</w:t>
            </w:r>
            <w:r>
              <w:rPr>
                <w:noProof/>
              </w:rPr>
              <w:fldChar w:fldCharType="end"/>
            </w:r>
          </w:hyperlink>
        </w:p>
        <w:p w14:paraId="4F1E6D6C" w14:textId="260B03D9" w:rsidR="00E37D38" w:rsidRDefault="00E37D3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8" w:history="1">
            <w:r w:rsidRPr="00B43ABE">
              <w:rPr>
                <w:rStyle w:val="Hyperlink"/>
                <w:noProof/>
              </w:rPr>
              <w:t>4. RNA export includes processing and remodeling</w:t>
            </w:r>
            <w:r>
              <w:rPr>
                <w:noProof/>
              </w:rPr>
              <w:tab/>
            </w:r>
            <w:r>
              <w:rPr>
                <w:noProof/>
              </w:rPr>
              <w:fldChar w:fldCharType="begin"/>
            </w:r>
            <w:r>
              <w:rPr>
                <w:noProof/>
              </w:rPr>
              <w:instrText xml:space="preserve"> PAGEREF _Toc242668388 \h </w:instrText>
            </w:r>
            <w:r>
              <w:rPr>
                <w:noProof/>
              </w:rPr>
            </w:r>
            <w:r>
              <w:rPr>
                <w:noProof/>
              </w:rPr>
              <w:fldChar w:fldCharType="separate"/>
            </w:r>
            <w:r>
              <w:rPr>
                <w:noProof/>
              </w:rPr>
              <w:t>3</w:t>
            </w:r>
            <w:r>
              <w:rPr>
                <w:noProof/>
              </w:rPr>
              <w:fldChar w:fldCharType="end"/>
            </w:r>
          </w:hyperlink>
        </w:p>
        <w:p w14:paraId="5D58B614" w14:textId="6E5BF3BD" w:rsidR="00E37D38" w:rsidRDefault="00E37D3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9" w:history="1">
            <w:r w:rsidRPr="00B43ABE">
              <w:rPr>
                <w:rStyle w:val="Hyperlink"/>
                <w:noProof/>
              </w:rPr>
              <w:t>5. Movement inside the nucleus combines diffusion and occupancy</w:t>
            </w:r>
            <w:r>
              <w:rPr>
                <w:noProof/>
              </w:rPr>
              <w:tab/>
            </w:r>
            <w:r>
              <w:rPr>
                <w:noProof/>
              </w:rPr>
              <w:fldChar w:fldCharType="begin"/>
            </w:r>
            <w:r>
              <w:rPr>
                <w:noProof/>
              </w:rPr>
              <w:instrText xml:space="preserve"> PAGEREF _Toc242668389 \h </w:instrText>
            </w:r>
            <w:r>
              <w:rPr>
                <w:noProof/>
              </w:rPr>
            </w:r>
            <w:r>
              <w:rPr>
                <w:noProof/>
              </w:rPr>
              <w:fldChar w:fldCharType="separate"/>
            </w:r>
            <w:r>
              <w:rPr>
                <w:noProof/>
              </w:rPr>
              <w:t>4</w:t>
            </w:r>
            <w:r>
              <w:rPr>
                <w:noProof/>
              </w:rPr>
              <w:fldChar w:fldCharType="end"/>
            </w:r>
          </w:hyperlink>
        </w:p>
        <w:p w14:paraId="2F4E020C" w14:textId="6EF2FC1B" w:rsidR="00E37D38" w:rsidRDefault="00E37D3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0" w:history="1">
            <w:r w:rsidRPr="00B43ABE">
              <w:rPr>
                <w:rStyle w:val="Hyperlink"/>
                <w:noProof/>
              </w:rPr>
              <w:t>6. Recovery and tracking require explicit inference models</w:t>
            </w:r>
            <w:r>
              <w:rPr>
                <w:noProof/>
              </w:rPr>
              <w:tab/>
            </w:r>
            <w:r>
              <w:rPr>
                <w:noProof/>
              </w:rPr>
              <w:fldChar w:fldCharType="begin"/>
            </w:r>
            <w:r>
              <w:rPr>
                <w:noProof/>
              </w:rPr>
              <w:instrText xml:space="preserve"> PAGEREF _Toc242668390 \h </w:instrText>
            </w:r>
            <w:r>
              <w:rPr>
                <w:noProof/>
              </w:rPr>
            </w:r>
            <w:r>
              <w:rPr>
                <w:noProof/>
              </w:rPr>
              <w:fldChar w:fldCharType="separate"/>
            </w:r>
            <w:r>
              <w:rPr>
                <w:noProof/>
              </w:rPr>
              <w:t>4</w:t>
            </w:r>
            <w:r>
              <w:rPr>
                <w:noProof/>
              </w:rPr>
              <w:fldChar w:fldCharType="end"/>
            </w:r>
          </w:hyperlink>
        </w:p>
        <w:p w14:paraId="5EB14599" w14:textId="7859D0C5" w:rsidR="00E37D38" w:rsidRDefault="00E37D3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1" w:history="1">
            <w:r w:rsidRPr="00B43ABE">
              <w:rPr>
                <w:rStyle w:val="Hyperlink"/>
                <w:noProof/>
              </w:rPr>
              <w:t>7. Internal compartments can concentrate or exclude substrates</w:t>
            </w:r>
            <w:r>
              <w:rPr>
                <w:noProof/>
              </w:rPr>
              <w:tab/>
            </w:r>
            <w:r>
              <w:rPr>
                <w:noProof/>
              </w:rPr>
              <w:fldChar w:fldCharType="begin"/>
            </w:r>
            <w:r>
              <w:rPr>
                <w:noProof/>
              </w:rPr>
              <w:instrText xml:space="preserve"> PAGEREF _Toc242668391 \h </w:instrText>
            </w:r>
            <w:r>
              <w:rPr>
                <w:noProof/>
              </w:rPr>
            </w:r>
            <w:r>
              <w:rPr>
                <w:noProof/>
              </w:rPr>
              <w:fldChar w:fldCharType="separate"/>
            </w:r>
            <w:r>
              <w:rPr>
                <w:noProof/>
              </w:rPr>
              <w:t>5</w:t>
            </w:r>
            <w:r>
              <w:rPr>
                <w:noProof/>
              </w:rPr>
              <w:fldChar w:fldCharType="end"/>
            </w:r>
          </w:hyperlink>
        </w:p>
        <w:p w14:paraId="51C7E41C" w14:textId="43279E14" w:rsidR="00E37D38" w:rsidRDefault="00E37D3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2" w:history="1">
            <w:r w:rsidRPr="00B43ABE">
              <w:rPr>
                <w:rStyle w:val="Hyperlink"/>
                <w:noProof/>
              </w:rPr>
              <w:t>8. Force, density and osmotic state can alter exchange</w:t>
            </w:r>
            <w:r>
              <w:rPr>
                <w:noProof/>
              </w:rPr>
              <w:tab/>
            </w:r>
            <w:r>
              <w:rPr>
                <w:noProof/>
              </w:rPr>
              <w:fldChar w:fldCharType="begin"/>
            </w:r>
            <w:r>
              <w:rPr>
                <w:noProof/>
              </w:rPr>
              <w:instrText xml:space="preserve"> PAGEREF _Toc242668392 \h </w:instrText>
            </w:r>
            <w:r>
              <w:rPr>
                <w:noProof/>
              </w:rPr>
            </w:r>
            <w:r>
              <w:rPr>
                <w:noProof/>
              </w:rPr>
              <w:fldChar w:fldCharType="separate"/>
            </w:r>
            <w:r>
              <w:rPr>
                <w:noProof/>
              </w:rPr>
              <w:t>6</w:t>
            </w:r>
            <w:r>
              <w:rPr>
                <w:noProof/>
              </w:rPr>
              <w:fldChar w:fldCharType="end"/>
            </w:r>
          </w:hyperlink>
        </w:p>
        <w:p w14:paraId="7C86E4BA" w14:textId="23207F22" w:rsidR="00E37D38" w:rsidRDefault="00E37D3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3" w:history="1">
            <w:r w:rsidRPr="00B43ABE">
              <w:rPr>
                <w:rStyle w:val="Hyperlink"/>
                <w:noProof/>
              </w:rPr>
              <w:t>9. A route-specific interpretation guide</w:t>
            </w:r>
            <w:r>
              <w:rPr>
                <w:noProof/>
              </w:rPr>
              <w:tab/>
            </w:r>
            <w:r>
              <w:rPr>
                <w:noProof/>
              </w:rPr>
              <w:fldChar w:fldCharType="begin"/>
            </w:r>
            <w:r>
              <w:rPr>
                <w:noProof/>
              </w:rPr>
              <w:instrText xml:space="preserve"> PAGEREF _Toc242668393 \h </w:instrText>
            </w:r>
            <w:r>
              <w:rPr>
                <w:noProof/>
              </w:rPr>
            </w:r>
            <w:r>
              <w:rPr>
                <w:noProof/>
              </w:rPr>
              <w:fldChar w:fldCharType="separate"/>
            </w:r>
            <w:r>
              <w:rPr>
                <w:noProof/>
              </w:rPr>
              <w:t>6</w:t>
            </w:r>
            <w:r>
              <w:rPr>
                <w:noProof/>
              </w:rPr>
              <w:fldChar w:fldCharType="end"/>
            </w:r>
          </w:hyperlink>
        </w:p>
        <w:p w14:paraId="5E01BC9D" w14:textId="6A9E4F12" w:rsidR="00E37D38" w:rsidRDefault="00E37D3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4" w:history="1">
            <w:r w:rsidRPr="00B43ABE">
              <w:rPr>
                <w:rStyle w:val="Hyperlink"/>
                <w:noProof/>
              </w:rPr>
              <w:t>10. Current synthesis and unanswered connections</w:t>
            </w:r>
            <w:r>
              <w:rPr>
                <w:noProof/>
              </w:rPr>
              <w:tab/>
            </w:r>
            <w:r>
              <w:rPr>
                <w:noProof/>
              </w:rPr>
              <w:fldChar w:fldCharType="begin"/>
            </w:r>
            <w:r>
              <w:rPr>
                <w:noProof/>
              </w:rPr>
              <w:instrText xml:space="preserve"> PAGEREF _Toc242668394 \h </w:instrText>
            </w:r>
            <w:r>
              <w:rPr>
                <w:noProof/>
              </w:rPr>
            </w:r>
            <w:r>
              <w:rPr>
                <w:noProof/>
              </w:rPr>
              <w:fldChar w:fldCharType="separate"/>
            </w:r>
            <w:r>
              <w:rPr>
                <w:noProof/>
              </w:rPr>
              <w:t>7</w:t>
            </w:r>
            <w:r>
              <w:rPr>
                <w:noProof/>
              </w:rPr>
              <w:fldChar w:fldCharType="end"/>
            </w:r>
          </w:hyperlink>
        </w:p>
        <w:p w14:paraId="03ADB56C" w14:textId="4864442D" w:rsidR="00E37D38" w:rsidRDefault="00E37D3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5" w:history="1">
            <w:r w:rsidRPr="00B43ABE">
              <w:rPr>
                <w:rStyle w:val="Hyperlink"/>
                <w:noProof/>
              </w:rPr>
              <w:t>References</w:t>
            </w:r>
            <w:r>
              <w:rPr>
                <w:noProof/>
              </w:rPr>
              <w:tab/>
            </w:r>
            <w:r>
              <w:rPr>
                <w:noProof/>
              </w:rPr>
              <w:fldChar w:fldCharType="begin"/>
            </w:r>
            <w:r>
              <w:rPr>
                <w:noProof/>
              </w:rPr>
              <w:instrText xml:space="preserve"> PAGEREF _Toc242668395 \h </w:instrText>
            </w:r>
            <w:r>
              <w:rPr>
                <w:noProof/>
              </w:rPr>
            </w:r>
            <w:r>
              <w:rPr>
                <w:noProof/>
              </w:rPr>
              <w:fldChar w:fldCharType="separate"/>
            </w:r>
            <w:r>
              <w:rPr>
                <w:noProof/>
              </w:rPr>
              <w:t>7</w:t>
            </w:r>
            <w:r>
              <w:rPr>
                <w:noProof/>
              </w:rPr>
              <w:fldChar w:fldCharType="end"/>
            </w:r>
          </w:hyperlink>
        </w:p>
        <w:p w14:paraId="3A15904E" w14:textId="707398D8" w:rsidR="00E37D38" w:rsidRDefault="00E37D3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6" w:history="1">
            <w:r w:rsidRPr="00B43ABE">
              <w:rPr>
                <w:rStyle w:val="Hyperlink"/>
                <w:noProof/>
              </w:rPr>
              <w:t>Evidence scope</w:t>
            </w:r>
            <w:r>
              <w:rPr>
                <w:noProof/>
              </w:rPr>
              <w:tab/>
            </w:r>
            <w:r>
              <w:rPr>
                <w:noProof/>
              </w:rPr>
              <w:fldChar w:fldCharType="begin"/>
            </w:r>
            <w:r>
              <w:rPr>
                <w:noProof/>
              </w:rPr>
              <w:instrText xml:space="preserve"> PAGEREF _Toc242668396 \h </w:instrText>
            </w:r>
            <w:r>
              <w:rPr>
                <w:noProof/>
              </w:rPr>
            </w:r>
            <w:r>
              <w:rPr>
                <w:noProof/>
              </w:rPr>
              <w:fldChar w:fldCharType="separate"/>
            </w:r>
            <w:r>
              <w:rPr>
                <w:noProof/>
              </w:rPr>
              <w:t>8</w:t>
            </w:r>
            <w:r>
              <w:rPr>
                <w:noProof/>
              </w:rPr>
              <w:fldChar w:fldCharType="end"/>
            </w:r>
          </w:hyperlink>
        </w:p>
        <w:p w14:paraId="0ED0ABD5" w14:textId="684DD048" w:rsidR="00AA07BE" w:rsidRDefault="00557E1F">
          <w:r>
            <w:fldChar w:fldCharType="end"/>
          </w:r>
        </w:p>
      </w:sdtContent>
    </w:sdt>
    <w:p w14:paraId="765CBCF4" w14:textId="77777777" w:rsidR="00AA07BE" w:rsidRDefault="00557E1F">
      <w:pPr>
        <w:pStyle w:val="Heading1"/>
      </w:pPr>
      <w:bookmarkStart w:id="1" w:name="_Toc242668385"/>
      <w:r>
        <w:t>1. Separate the route, substrate and driving force</w:t>
      </w:r>
      <w:bookmarkEnd w:id="1"/>
    </w:p>
    <w:p w14:paraId="5EC9CDC8" w14:textId="00D81D53" w:rsidR="00AA07BE" w:rsidRDefault="00557E1F">
      <w:r>
        <w:t>A nuclear transport question should first identify what moves and across which boundary. A protein crossing the envelope encounters NPC selectivity and pathway-specific receptors. The same protein after entry may encounter chromatin binding sites and local compartments. An RNA can undergo maturation and particle assembly that changes the species being transported. Movement driven by a concentration difference differs from pressure-dependent fluid flow, while a directional molecular cycle adds another mechan</w:t>
      </w:r>
      <w:r>
        <w:t>ism. These distinctions explain why a nuclear concentration change is a useful phenotype but an incomplete description of the route that produced it.</w:t>
      </w:r>
      <w:hyperlink r:id="rId18" w:history="1">
        <w:r>
          <w:rPr>
            <w:color w:val="087B78"/>
            <w:sz w:val="18"/>
            <w:szCs w:val="18"/>
          </w:rPr>
          <w:t xml:space="preserve"> [2]</w:t>
        </w:r>
      </w:hyperlink>
      <w:hyperlink r:id="rId19" w:history="1">
        <w:r>
          <w:rPr>
            <w:color w:val="087B78"/>
            <w:sz w:val="18"/>
            <w:szCs w:val="18"/>
          </w:rPr>
          <w:t xml:space="preserve"> [3]</w:t>
        </w:r>
      </w:hyperlink>
      <w:hyperlink r:id="rId20" w:history="1">
        <w:r>
          <w:rPr>
            <w:color w:val="087B78"/>
            <w:sz w:val="18"/>
            <w:szCs w:val="18"/>
          </w:rPr>
          <w:t xml:space="preserve"> [4]</w:t>
        </w:r>
      </w:hyperlink>
      <w:hyperlink r:id="rId21" w:history="1">
        <w:r>
          <w:rPr>
            <w:color w:val="087B78"/>
            <w:sz w:val="18"/>
            <w:szCs w:val="18"/>
          </w:rPr>
          <w:t xml:space="preserve"> [9]</w:t>
        </w:r>
      </w:hyperlink>
      <w:hyperlink r:id="rId22" w:history="1">
        <w:r>
          <w:rPr>
            <w:color w:val="087B78"/>
            <w:sz w:val="18"/>
            <w:szCs w:val="18"/>
          </w:rPr>
          <w:t xml:space="preserve"> [7]</w:t>
        </w:r>
      </w:hyperlink>
    </w:p>
    <w:p w14:paraId="7EE85648" w14:textId="1D0C6599" w:rsidR="00AA07BE" w:rsidRDefault="00557E1F">
      <w:r>
        <w:t xml:space="preserve">The physical scale also differs. Molecular diffusion samples the accessible volume near a probe, whereas an entire ribonucleoprotein assembly can interact with a compartment boundary or an NPC. A nuclear-body fusion event moves material collectively and is not a direct measurement of individual-molecule passage. To relate these levels, the experiment needs to preserve molecular identity, compartment and timing. Otherwise, comparing a soluble-protein recovery curve with a nucleolar shape-relaxation time can </w:t>
      </w:r>
      <w:r>
        <w:t>create a false impression that both quantify one general nuclear transport rate.</w:t>
      </w:r>
      <w:hyperlink r:id="rId23" w:history="1">
        <w:r>
          <w:rPr>
            <w:color w:val="087B78"/>
            <w:sz w:val="18"/>
            <w:szCs w:val="18"/>
          </w:rPr>
          <w:t xml:space="preserve"> [4]</w:t>
        </w:r>
      </w:hyperlink>
      <w:hyperlink r:id="rId24" w:history="1">
        <w:r>
          <w:rPr>
            <w:color w:val="087B78"/>
            <w:sz w:val="18"/>
            <w:szCs w:val="18"/>
          </w:rPr>
          <w:t xml:space="preserve"> [5]</w:t>
        </w:r>
      </w:hyperlink>
      <w:hyperlink r:id="rId25" w:history="1">
        <w:r>
          <w:rPr>
            <w:color w:val="087B78"/>
            <w:sz w:val="18"/>
            <w:szCs w:val="18"/>
          </w:rPr>
          <w:t xml:space="preserve"> [6]</w:t>
        </w:r>
      </w:hyperlink>
    </w:p>
    <w:p w14:paraId="32430630" w14:textId="77777777" w:rsidR="00AA07BE" w:rsidRDefault="00557E1F">
      <w:pPr>
        <w:pStyle w:val="Heading1"/>
      </w:pPr>
      <w:bookmarkStart w:id="2" w:name="_Toc242668386"/>
      <w:r>
        <w:lastRenderedPageBreak/>
        <w:t>2. Passive exchange at the envelope is graded</w:t>
      </w:r>
      <w:bookmarkEnd w:id="2"/>
    </w:p>
    <w:p w14:paraId="505126FE" w14:textId="65768B46" w:rsidR="00AA07BE" w:rsidRDefault="00557E1F">
      <w:r>
        <w:t>Timney and colleagues examined passive reporter exchange in living yeast and found a gradual size dependence rather than one hard universal mass threshold. Mohr and colleagues characterized passive barrier behavior in another preparation, illustrating the importance of the assay environment. Passive passage depends on the cargo tested and the observation window. A reporter that redistributes slowly may appear excluded over a short interval without being absolutely unable to cross. Rates and experimental con</w:t>
      </w:r>
      <w:r>
        <w:t>ditions therefore offer a more accurate account than an all-or-none statement based solely on molecular mass.</w:t>
      </w:r>
      <w:hyperlink r:id="rId26" w:history="1">
        <w:r>
          <w:rPr>
            <w:color w:val="087B78"/>
            <w:sz w:val="18"/>
            <w:szCs w:val="18"/>
          </w:rPr>
          <w:t xml:space="preserve"> [1]</w:t>
        </w:r>
      </w:hyperlink>
      <w:hyperlink r:id="rId27" w:history="1">
        <w:r>
          <w:rPr>
            <w:color w:val="087B78"/>
            <w:sz w:val="18"/>
            <w:szCs w:val="18"/>
          </w:rPr>
          <w:t xml:space="preserve"> [11]</w:t>
        </w:r>
      </w:hyperlink>
    </w:p>
    <w:p w14:paraId="5451CA05" w14:textId="7520785E" w:rsidR="00AA07BE" w:rsidRDefault="00557E1F">
      <w:r>
        <w:t xml:space="preserve">Passive exchange must also be separated from nuclear retention and active accumulation. A DNA-binding molecule may remain enriched after entry even if its crossing is unremarkable. A cargo carrying an import signal can accumulate through a directional pathway, while an export pathway can oppose that accumulation. Quantifying redistribution after a defined intervention helps constrain these routes; a steady-state image alone cannot identify them. This is why concentration ratios and exchange kinetics should </w:t>
      </w:r>
      <w:r>
        <w:t>be reported as separate measurements, particularly when a perturbation changes both chromatin organization and envelope function.</w:t>
      </w:r>
      <w:hyperlink r:id="rId28" w:history="1">
        <w:r>
          <w:rPr>
            <w:color w:val="087B78"/>
            <w:sz w:val="18"/>
            <w:szCs w:val="18"/>
          </w:rPr>
          <w:t xml:space="preserve"> [2]</w:t>
        </w:r>
      </w:hyperlink>
      <w:hyperlink r:id="rId29" w:history="1">
        <w:r>
          <w:rPr>
            <w:color w:val="087B78"/>
            <w:sz w:val="18"/>
            <w:szCs w:val="18"/>
          </w:rPr>
          <w:t xml:space="preserve"> [1]</w:t>
        </w:r>
      </w:hyperlink>
      <w:hyperlink r:id="rId30" w:history="1">
        <w:r>
          <w:rPr>
            <w:color w:val="087B78"/>
            <w:sz w:val="18"/>
            <w:szCs w:val="18"/>
          </w:rPr>
          <w:t xml:space="preserve"> [5]</w:t>
        </w:r>
      </w:hyperlink>
    </w:p>
    <w:p w14:paraId="60C0034C" w14:textId="77777777" w:rsidR="00AA07BE" w:rsidRDefault="00557E1F">
      <w:pPr>
        <w:pStyle w:val="Heading1"/>
      </w:pPr>
      <w:bookmarkStart w:id="3" w:name="_Toc242668387"/>
      <w:r>
        <w:t>3. Directional protein transport uses a spatial molecular cycle</w:t>
      </w:r>
      <w:bookmarkEnd w:id="3"/>
    </w:p>
    <w:p w14:paraId="414B6083" w14:textId="21D87AC3" w:rsidR="00AA07BE" w:rsidRDefault="00557E1F">
      <w:r>
        <w:t>Izaurralde and colleagues established that asymmetry of the Ran system is essential for particular import and export pathways. Cargo and receptor interactions change between the nuclear and cytoplasmic environments, supporting directed accumulation and release. The pore is part of that cycle but is not a universal pump with one energy rule for every substrate. Pathway-specific perturbations are needed to determine whether a change in localization arises from receptor transport, cargo retention or altered pa</w:t>
      </w:r>
      <w:r>
        <w:t>ssive exchange. The correct mechanistic unit is the cargo together with its receptor and directional chemistry.</w:t>
      </w:r>
      <w:hyperlink r:id="rId31" w:history="1">
        <w:r>
          <w:rPr>
            <w:color w:val="087B78"/>
            <w:sz w:val="18"/>
            <w:szCs w:val="18"/>
          </w:rPr>
          <w:t xml:space="preserve"> [2]</w:t>
        </w:r>
      </w:hyperlink>
      <w:hyperlink r:id="rId32" w:history="1">
        <w:r>
          <w:rPr>
            <w:color w:val="087B78"/>
            <w:sz w:val="18"/>
            <w:szCs w:val="18"/>
          </w:rPr>
          <w:t xml:space="preserve"> [1]</w:t>
        </w:r>
      </w:hyperlink>
    </w:p>
    <w:p w14:paraId="03C25CA2" w14:textId="221CC4C8" w:rsidR="00AA07BE" w:rsidRDefault="00557E1F">
      <w:r>
        <w:t xml:space="preserve">The NPC barrier can also respond to transport-factor occupancy. Kozai and colleagues described dynamic organization of FG domains and a mobile central cluster in isolated yeast pores, with complementary native and mimic experiments. Their results make the transport environment itself a regulated variable, rather than a fixed background through which receptors pass unchanged. This does not mean that every physiological localization response reflects the same barrier rearrangement. It supplies a mechanism to </w:t>
      </w:r>
      <w:r>
        <w:t>test by measuring the relevant transport factors, their occupancy and the resulting cargo behavior in a matched system.</w:t>
      </w:r>
      <w:hyperlink r:id="rId33" w:history="1">
        <w:r>
          <w:rPr>
            <w:color w:val="087B78"/>
            <w:sz w:val="18"/>
            <w:szCs w:val="18"/>
          </w:rPr>
          <w:t xml:space="preserve"> [8]</w:t>
        </w:r>
      </w:hyperlink>
    </w:p>
    <w:p w14:paraId="52685A90" w14:textId="77777777" w:rsidR="00AA07BE" w:rsidRDefault="00557E1F">
      <w:pPr>
        <w:pStyle w:val="Heading1"/>
      </w:pPr>
      <w:bookmarkStart w:id="4" w:name="_Toc242668388"/>
      <w:r>
        <w:t>4. RNA export includes processing and remodeling</w:t>
      </w:r>
      <w:bookmarkEnd w:id="4"/>
    </w:p>
    <w:p w14:paraId="08672A7F" w14:textId="57CEE6B2" w:rsidR="00AA07BE" w:rsidRDefault="00557E1F">
      <w:r>
        <w:t xml:space="preserve">RNA traffic is not adequately described by importing the Ran-based protein-transport mechanism wholesale. The Dbp5 study by Noble and colleagues examined nucleotide cycling and mRNP remodeling controlled by Nup159 and Gle1 at the pore. This provides a specific mechanistic example in which a ribonucleoprotein is remodeled as part of export. Changes in RNA retention can therefore arise from substrate maturation or remodeling defects as well as from passage through </w:t>
      </w:r>
      <w:r>
        <w:lastRenderedPageBreak/>
        <w:t>the channel. A review should identify the RNA class, processing state and export factors before referring to a general nuclear RNA-transport defect.</w:t>
      </w:r>
      <w:hyperlink r:id="rId34" w:history="1">
        <w:r>
          <w:rPr>
            <w:color w:val="087B78"/>
            <w:sz w:val="18"/>
            <w:szCs w:val="18"/>
          </w:rPr>
          <w:t xml:space="preserve"> [3]</w:t>
        </w:r>
      </w:hyperlink>
      <w:hyperlink r:id="rId35" w:history="1">
        <w:r>
          <w:rPr>
            <w:color w:val="087B78"/>
            <w:sz w:val="18"/>
            <w:szCs w:val="18"/>
          </w:rPr>
          <w:t xml:space="preserve"> [2]</w:t>
        </w:r>
      </w:hyperlink>
    </w:p>
    <w:p w14:paraId="78D5F7FD" w14:textId="655551E6" w:rsidR="00AA07BE" w:rsidRDefault="00557E1F">
      <w:r>
        <w:t>Nucleolar RNA dynamics add an internal-processing stage. Quinodoz and colleagues combined imaging and sequencing to examine multiphase nucleolar architecture and rRNA maturation, with engineered processing defects altering layers and normal RNA outflux. This links movement to a maturation trajectory rather than unrestricted diffusion of an inert tracer. The observation concerns ribosomal-RNA processing in the nucleolus; it is not a measurement of all mRNA export or passive NPC permeability. Understanding RN</w:t>
      </w:r>
      <w:r>
        <w:t>A movement requires tracking both location and the changing molecular form of the substrate.</w:t>
      </w:r>
      <w:hyperlink r:id="rId36" w:history="1">
        <w:r>
          <w:rPr>
            <w:color w:val="087B78"/>
            <w:sz w:val="18"/>
            <w:szCs w:val="18"/>
          </w:rPr>
          <w:t xml:space="preserve"> [7]</w:t>
        </w:r>
      </w:hyperlink>
      <w:hyperlink r:id="rId37" w:history="1">
        <w:r>
          <w:rPr>
            <w:color w:val="087B78"/>
            <w:sz w:val="18"/>
            <w:szCs w:val="18"/>
          </w:rPr>
          <w:t xml:space="preserve"> [3]</w:t>
        </w:r>
      </w:hyperlink>
    </w:p>
    <w:p w14:paraId="4397AB68" w14:textId="77777777" w:rsidR="00AA07BE" w:rsidRDefault="00557E1F">
      <w:pPr>
        <w:pStyle w:val="Heading1"/>
      </w:pPr>
      <w:bookmarkStart w:id="5" w:name="_Toc242668389"/>
      <w:r>
        <w:t>5. Movement inside the nucleus combines diffusion and occupancy</w:t>
      </w:r>
      <w:bookmarkEnd w:id="5"/>
    </w:p>
    <w:p w14:paraId="2C97906C" w14:textId="3D0BC9D8" w:rsidR="00AA07BE" w:rsidRDefault="00557E1F">
      <w:r>
        <w:t>Dross and colleagues studied eGFP oligomers by calibrated FCS in living nuclear regions outside nucleoli. Their fitted correlation model included multiple diffusive contributions and photophysics, supplying probe-dependent mobility rather than a universal coefficient for nuclear proteins. Erdel and colleagues extended size-dependent tracer analysis with polymer simulations, identifying scale-dependent behavior consistent with a structured obstacle environment. For target search, these experiments define asp</w:t>
      </w:r>
      <w:r>
        <w:t>ects of the accessible nuclear space, while the searching protein’s molecular interactions determine how it uses that space.</w:t>
      </w:r>
      <w:hyperlink r:id="rId38" w:history="1">
        <w:r>
          <w:rPr>
            <w:color w:val="087B78"/>
            <w:sz w:val="18"/>
            <w:szCs w:val="18"/>
          </w:rPr>
          <w:t xml:space="preserve"> [4]</w:t>
        </w:r>
      </w:hyperlink>
      <w:hyperlink r:id="rId39" w:history="1">
        <w:r>
          <w:rPr>
            <w:color w:val="087B78"/>
            <w:sz w:val="18"/>
            <w:szCs w:val="18"/>
          </w:rPr>
          <w:t xml:space="preserve"> [12]</w:t>
        </w:r>
      </w:hyperlink>
    </w:p>
    <w:p w14:paraId="4D8C3854" w14:textId="7B5A16AD" w:rsidR="00AA07BE" w:rsidRDefault="00557E1F">
      <w:r>
        <w:t>Chromatin-associated proteins add transient occupancy and binding-site distribution to the search problem. Bancaud and colleagues separated aspects of crowding-related hindrance and trapping in nuclear protein dynamics. A change in apparent mobility may therefore indicate altered binding as well as altered physical access. More binding can concentrate a factor near its target while slowing its movement, so slow motion should not automatically be equated with impaired transport. The functional consequence de</w:t>
      </w:r>
      <w:r>
        <w:t>pends on whether the factor reaches the relevant substrate, how long it stays and whether the binding event supports the process under study.</w:t>
      </w:r>
      <w:hyperlink r:id="rId40" w:history="1">
        <w:r>
          <w:rPr>
            <w:color w:val="087B78"/>
            <w:sz w:val="18"/>
            <w:szCs w:val="18"/>
          </w:rPr>
          <w:t xml:space="preserve"> [13]</w:t>
        </w:r>
      </w:hyperlink>
      <w:hyperlink r:id="rId41" w:history="1">
        <w:r>
          <w:rPr>
            <w:color w:val="087B78"/>
            <w:sz w:val="18"/>
            <w:szCs w:val="18"/>
          </w:rPr>
          <w:t xml:space="preserve"> [5]</w:t>
        </w:r>
      </w:hyperlink>
    </w:p>
    <w:p w14:paraId="1759D818" w14:textId="77777777" w:rsidR="00AA07BE" w:rsidRDefault="00557E1F">
      <w:pPr>
        <w:pStyle w:val="Heading1"/>
      </w:pPr>
      <w:bookmarkStart w:id="6" w:name="_Toc242668390"/>
      <w:r>
        <w:t>6. Recovery and tracking require explicit inference models</w:t>
      </w:r>
      <w:bookmarkEnd w:id="6"/>
    </w:p>
    <w:p w14:paraId="6CC3C192" w14:textId="01B3ED94" w:rsidR="00AA07BE" w:rsidRDefault="00557E1F">
      <w:r>
        <w:t xml:space="preserve">FRAP measures how fluorescence returns after bleaching and is sensitive to movement, binding and experiment geometry. Sprague and colleagues developed a reaction–diffusion analysis that identifies different regimes and shows why a single recovery curve does not always uniquely determine all parameters. A recovery half-time is consequently an observable summary, not automatically a binding lifetime or transport coefficient. Choosing region size and acquisition timing to test competing models helps determine </w:t>
      </w:r>
      <w:r>
        <w:t>which interpretation is supported.</w:t>
      </w:r>
      <w:hyperlink r:id="rId42" w:history="1">
        <w:r>
          <w:rPr>
            <w:color w:val="087B78"/>
            <w:sz w:val="18"/>
            <w:szCs w:val="18"/>
          </w:rPr>
          <w:t xml:space="preserve"> [5]</w:t>
        </w:r>
      </w:hyperlink>
    </w:p>
    <w:p w14:paraId="2CE5E85D" w14:textId="24E9FCBE" w:rsidR="00AA07BE" w:rsidRDefault="00557E1F">
      <w:r>
        <w:t xml:space="preserve">Single-particle tracking can resolve populations and local histories, but the acquisition selects what can be followed. Hansen and colleagues’ Spot-On study demonstrated biases from motion blur, defocalization, localization uncertainty and density. Fast molecules can be lost disproportionately, altering the apparent balance of slow and fast fractions. A change attributed to </w:t>
      </w:r>
      <w:r>
        <w:lastRenderedPageBreak/>
        <w:t>nuclear transport should therefore survive appropriate acquisition matching and model corrections. The result should also state whether it describes Brownian subpopulations, transitions among states or a different trajectory model, rather than treating all fitted classifications as directly observed mechanisms.</w:t>
      </w:r>
      <w:hyperlink r:id="rId43" w:history="1">
        <w:r>
          <w:rPr>
            <w:color w:val="087B78"/>
            <w:sz w:val="18"/>
            <w:szCs w:val="18"/>
          </w:rPr>
          <w:t xml:space="preserve"> [14]</w:t>
        </w:r>
      </w:hyperlink>
    </w:p>
    <w:p w14:paraId="0B100809" w14:textId="77777777" w:rsidR="00AA07BE" w:rsidRDefault="00557E1F">
      <w:pPr>
        <w:pStyle w:val="Heading1"/>
      </w:pPr>
      <w:bookmarkStart w:id="7" w:name="_Toc242668391"/>
      <w:r>
        <w:t>7. Internal compartments can concentrate or exclude substrates</w:t>
      </w:r>
      <w:bookmarkEnd w:id="7"/>
    </w:p>
    <w:p w14:paraId="0111095B" w14:textId="54DE527B" w:rsidR="00AA07BE" w:rsidRDefault="00557E1F">
      <w:r>
        <w:t>Feric and colleagues demonstrated coexisting nucleolar subcompartments with component-specific behavior. The material inside one phase and the surrounding nucleoplasm need not support the same concentrations or mobility. Enrichment can arise from favorable molecular interactions, while another species can remain outside. This changes the local reaction environment but does not establish that every nuclear body uses the same partitioning mechanism. A factor entering a compartment may exchange rapidly while t</w:t>
      </w:r>
      <w:r>
        <w:t>he compartment itself persists, so molecular turnover and body lifetime should be described separately.</w:t>
      </w:r>
      <w:hyperlink r:id="rId44" w:history="1">
        <w:r>
          <w:rPr>
            <w:color w:val="087B78"/>
            <w:sz w:val="18"/>
            <w:szCs w:val="18"/>
          </w:rPr>
          <w:t xml:space="preserve"> [6]</w:t>
        </w:r>
      </w:hyperlink>
    </w:p>
    <w:p w14:paraId="05A0917F" w14:textId="13554364" w:rsidR="00AA07BE" w:rsidRDefault="00557E1F">
      <w:r>
        <w:t>Quinodoz and colleagues connected nucleolar architecture more directly to RNA processing. The organization of RNA trajectories depended on maturation and could be altered by engineered processing defects. This current result complements the older material account by showing how a biological reaction can help organize the compartment through which its substrate moves. A complete interpretation must therefore include both physical partitioning and the processing state of the RNA. Neither a phase label nor a d</w:t>
      </w:r>
      <w:r>
        <w:t>iffusion model alone captures the entire trajectory from transcript production to processed output.</w:t>
      </w:r>
      <w:hyperlink r:id="rId45" w:history="1">
        <w:r>
          <w:rPr>
            <w:color w:val="087B78"/>
            <w:sz w:val="18"/>
            <w:szCs w:val="18"/>
          </w:rPr>
          <w:t xml:space="preserve"> [7]</w:t>
        </w:r>
      </w:hyperlink>
      <w:hyperlink r:id="rId46" w:history="1">
        <w:r>
          <w:rPr>
            <w:color w:val="087B78"/>
            <w:sz w:val="18"/>
            <w:szCs w:val="18"/>
          </w:rPr>
          <w:t xml:space="preserve"> [6]</w:t>
        </w:r>
      </w:hyperlink>
    </w:p>
    <w:p w14:paraId="7BFA79C5" w14:textId="35189018" w:rsidR="00AA07BE" w:rsidRDefault="00557E1F">
      <w:r>
        <w:t>Selective partitioning can couple transport to a reaction without imposing a membrane barrier. If a factor preferentially associates with a processing compartment, its local availability and exchange will depend on the substrate and interacting proteins there. The nucleolar studies show both a material hierarchy and a maturation-associated RNA trajectory. Those levels can cooperate: composition affects the local environment, while processing changes the molecular species and therefore its interactions. Foll</w:t>
      </w:r>
      <w:r>
        <w:t>owing only the fluorescent abundance of one component can miss this change in substrate identity.</w:t>
      </w:r>
      <w:hyperlink r:id="rId47" w:history="1">
        <w:r>
          <w:rPr>
            <w:color w:val="087B78"/>
            <w:sz w:val="18"/>
            <w:szCs w:val="18"/>
          </w:rPr>
          <w:t xml:space="preserve"> [6]</w:t>
        </w:r>
      </w:hyperlink>
      <w:hyperlink r:id="rId48" w:history="1">
        <w:r>
          <w:rPr>
            <w:color w:val="087B78"/>
            <w:sz w:val="18"/>
            <w:szCs w:val="18"/>
          </w:rPr>
          <w:t xml:space="preserve"> [7]</w:t>
        </w:r>
      </w:hyperlink>
    </w:p>
    <w:p w14:paraId="531E6E96" w14:textId="15EC7FD3" w:rsidR="00AA07BE" w:rsidRDefault="00557E1F">
      <w:r>
        <w:t xml:space="preserve">This point also distinguishes molecular exchange from the apparent persistence of a compartment. A body can remain visible while individual molecules turn over, and a transcript can move through layers while being processed. The appropriate experiment depends on the biological question: photobleaching can examine exchange of a tagged protein; RNA-specific mapping can resolve a processing trajectory; structural imaging can determine where the compartment is organized. Using the same word dynamics for all of </w:t>
      </w:r>
      <w:r>
        <w:t>them should not conceal the different observables and the different causal mechanisms under test.</w:t>
      </w:r>
      <w:hyperlink r:id="rId49" w:history="1">
        <w:r>
          <w:rPr>
            <w:color w:val="087B78"/>
            <w:sz w:val="18"/>
            <w:szCs w:val="18"/>
          </w:rPr>
          <w:t xml:space="preserve"> [6]</w:t>
        </w:r>
      </w:hyperlink>
      <w:hyperlink r:id="rId50" w:history="1">
        <w:r>
          <w:rPr>
            <w:color w:val="087B78"/>
            <w:sz w:val="18"/>
            <w:szCs w:val="18"/>
          </w:rPr>
          <w:t xml:space="preserve"> [5]</w:t>
        </w:r>
      </w:hyperlink>
      <w:hyperlink r:id="rId51" w:history="1">
        <w:r>
          <w:rPr>
            <w:color w:val="087B78"/>
            <w:sz w:val="18"/>
            <w:szCs w:val="18"/>
          </w:rPr>
          <w:t xml:space="preserve"> [7]</w:t>
        </w:r>
      </w:hyperlink>
    </w:p>
    <w:p w14:paraId="5185605C" w14:textId="24768BAD" w:rsidR="00AA07BE" w:rsidRDefault="00557E1F">
      <w:r>
        <w:t xml:space="preserve">A joint account of internal movement and envelope exchange must therefore track the accessible substrate pool. RNA retained for processing is not identical to export-ready RNP, and chromatin-bound protein is not equivalent to freely available import cargo. Measuring these pools alongside </w:t>
      </w:r>
      <w:r>
        <w:lastRenderedPageBreak/>
        <w:t>pathway perturbations can identify whether a localization change begins at the gate, the binding substrate or a processing compartment. The current transport-factor and nucleolar studies provide complementary mechanisms for such tests, while the Ran and Dbp5 frameworks specify which directional cycle should be perturbed.</w:t>
      </w:r>
      <w:hyperlink r:id="rId52" w:history="1">
        <w:r>
          <w:rPr>
            <w:color w:val="087B78"/>
            <w:sz w:val="18"/>
            <w:szCs w:val="18"/>
          </w:rPr>
          <w:t xml:space="preserve"> [7]</w:t>
        </w:r>
      </w:hyperlink>
      <w:hyperlink r:id="rId53" w:history="1">
        <w:r>
          <w:rPr>
            <w:color w:val="087B78"/>
            <w:sz w:val="18"/>
            <w:szCs w:val="18"/>
          </w:rPr>
          <w:t xml:space="preserve"> [8]</w:t>
        </w:r>
      </w:hyperlink>
      <w:hyperlink r:id="rId54" w:history="1">
        <w:r>
          <w:rPr>
            <w:color w:val="087B78"/>
            <w:sz w:val="18"/>
            <w:szCs w:val="18"/>
          </w:rPr>
          <w:t xml:space="preserve"> [2]</w:t>
        </w:r>
      </w:hyperlink>
      <w:hyperlink r:id="rId55" w:history="1">
        <w:r>
          <w:rPr>
            <w:color w:val="087B78"/>
            <w:sz w:val="18"/>
            <w:szCs w:val="18"/>
          </w:rPr>
          <w:t xml:space="preserve"> [3]</w:t>
        </w:r>
      </w:hyperlink>
      <w:hyperlink r:id="rId56" w:history="1">
        <w:r>
          <w:rPr>
            <w:color w:val="087B78"/>
            <w:sz w:val="18"/>
            <w:szCs w:val="18"/>
          </w:rPr>
          <w:t xml:space="preserve"> [5]</w:t>
        </w:r>
      </w:hyperlink>
    </w:p>
    <w:p w14:paraId="04CE8A88" w14:textId="77777777" w:rsidR="00AA07BE" w:rsidRDefault="00557E1F">
      <w:pPr>
        <w:pStyle w:val="Heading1"/>
      </w:pPr>
      <w:bookmarkStart w:id="8" w:name="_Toc242668392"/>
      <w:r>
        <w:t>8. Force, density and osmotic state can alter exchange</w:t>
      </w:r>
      <w:bookmarkEnd w:id="8"/>
    </w:p>
    <w:p w14:paraId="02A54679" w14:textId="335373CC" w:rsidR="00AA07BE" w:rsidRDefault="00557E1F">
      <w:r>
        <w:t>Elosegui-Artola and colleagues showed force-dependent YAP entry and import changes in defined cell systems. The observation demonstrates a mechanoregulated cargo response, but it does not prove that all nuclear transport accelerates during deformation. Targeted chromatin-force experiments by Rashid and colleagues address another route: local deformation produced persistent mobility and polymerase-associated changes after force cessation. These studies involve different substrates, timescales and interventio</w:t>
      </w:r>
      <w:r>
        <w:t>ns. Together they motivate tests of how boundary exchange and the internal reaction environment respond jointly to mechanical input.</w:t>
      </w:r>
      <w:hyperlink r:id="rId57" w:history="1">
        <w:r>
          <w:rPr>
            <w:color w:val="087B78"/>
            <w:sz w:val="18"/>
            <w:szCs w:val="18"/>
          </w:rPr>
          <w:t xml:space="preserve"> [15]</w:t>
        </w:r>
      </w:hyperlink>
      <w:hyperlink r:id="rId58" w:history="1">
        <w:r>
          <w:rPr>
            <w:color w:val="087B78"/>
            <w:sz w:val="18"/>
            <w:szCs w:val="18"/>
          </w:rPr>
          <w:t xml:space="preserve"> [16]</w:t>
        </w:r>
      </w:hyperlink>
    </w:p>
    <w:p w14:paraId="198D32E0" w14:textId="227FDFBB" w:rsidR="00AA07BE" w:rsidRDefault="00557E1F">
      <w:r>
        <w:t>Biswas and colleagues linked nuclear composition and volume through transport-generated colloid osmotic pressure and chromatin contributions. Hoffmann and colleagues examined dilation-dependent pressure-driven flow in Dictyostelium. These results connect exchange to physical equilibration, while preserving the difference between pressure-driven flow, passive diffusion and receptor transport. A volume change can alter local concentrations and therefore binding or compartment behavior without a uniform change</w:t>
      </w:r>
      <w:r>
        <w:t xml:space="preserve"> in every crossing rate. Joint measurements of size, composition and cargo kinetics are needed to assign the regulatory mechanism.</w:t>
      </w:r>
      <w:hyperlink r:id="rId59" w:history="1">
        <w:r>
          <w:rPr>
            <w:color w:val="087B78"/>
            <w:sz w:val="18"/>
            <w:szCs w:val="18"/>
          </w:rPr>
          <w:t xml:space="preserve"> [10]</w:t>
        </w:r>
      </w:hyperlink>
      <w:hyperlink r:id="rId60" w:history="1">
        <w:r>
          <w:rPr>
            <w:color w:val="087B78"/>
            <w:sz w:val="18"/>
            <w:szCs w:val="18"/>
          </w:rPr>
          <w:t xml:space="preserve"> [9]</w:t>
        </w:r>
      </w:hyperlink>
      <w:hyperlink r:id="rId61" w:history="1">
        <w:r>
          <w:rPr>
            <w:color w:val="087B78"/>
            <w:sz w:val="18"/>
            <w:szCs w:val="18"/>
          </w:rPr>
          <w:t xml:space="preserve"> [1]</w:t>
        </w:r>
      </w:hyperlink>
      <w:hyperlink r:id="rId62" w:history="1">
        <w:r>
          <w:rPr>
            <w:color w:val="087B78"/>
            <w:sz w:val="18"/>
            <w:szCs w:val="18"/>
          </w:rPr>
          <w:t xml:space="preserve"> [2]</w:t>
        </w:r>
      </w:hyperlink>
    </w:p>
    <w:p w14:paraId="58E58794" w14:textId="77777777" w:rsidR="00AA07BE" w:rsidRDefault="00557E1F">
      <w:pPr>
        <w:pStyle w:val="Heading1"/>
      </w:pPr>
      <w:bookmarkStart w:id="9" w:name="_Toc242668393"/>
      <w:r>
        <w:t>9. A route-specific interpretation guide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A07BE" w14:paraId="3B5D126F"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788F1F31" w14:textId="77777777" w:rsidR="00AA07BE" w:rsidRDefault="00557E1F">
            <w:pPr>
              <w:spacing w:after="50" w:line="255" w:lineRule="auto"/>
            </w:pPr>
            <w:r>
              <w:rPr>
                <w:b/>
                <w:bCs/>
                <w:color w:val="173B4C"/>
                <w:sz w:val="19"/>
                <w:szCs w:val="19"/>
              </w:rPr>
              <w:t>Observation</w:t>
            </w:r>
          </w:p>
        </w:tc>
        <w:tc>
          <w:tcPr>
            <w:tcW w:w="3120" w:type="dxa"/>
            <w:shd w:val="clear" w:color="auto" w:fill="EAF3F3"/>
            <w:tcMar>
              <w:top w:w="105" w:type="dxa"/>
              <w:left w:w="125" w:type="dxa"/>
              <w:bottom w:w="105" w:type="dxa"/>
              <w:right w:w="125" w:type="dxa"/>
            </w:tcMar>
          </w:tcPr>
          <w:p w14:paraId="25AC8041" w14:textId="77777777" w:rsidR="00AA07BE" w:rsidRDefault="00557E1F">
            <w:pPr>
              <w:spacing w:after="50" w:line="255" w:lineRule="auto"/>
            </w:pPr>
            <w:r>
              <w:rPr>
                <w:b/>
                <w:bCs/>
                <w:color w:val="173B4C"/>
                <w:sz w:val="19"/>
                <w:szCs w:val="19"/>
              </w:rPr>
              <w:t>Possible supported interpretation</w:t>
            </w:r>
          </w:p>
        </w:tc>
        <w:tc>
          <w:tcPr>
            <w:tcW w:w="3120" w:type="dxa"/>
            <w:shd w:val="clear" w:color="auto" w:fill="EAF3F3"/>
            <w:tcMar>
              <w:top w:w="105" w:type="dxa"/>
              <w:left w:w="125" w:type="dxa"/>
              <w:bottom w:w="105" w:type="dxa"/>
              <w:right w:w="125" w:type="dxa"/>
            </w:tcMar>
          </w:tcPr>
          <w:p w14:paraId="65C1155A" w14:textId="77777777" w:rsidR="00AA07BE" w:rsidRDefault="00557E1F">
            <w:pPr>
              <w:spacing w:after="50" w:line="255" w:lineRule="auto"/>
            </w:pPr>
            <w:r>
              <w:rPr>
                <w:b/>
                <w:bCs/>
                <w:color w:val="173B4C"/>
                <w:sz w:val="19"/>
                <w:szCs w:val="19"/>
              </w:rPr>
              <w:t>Necessary qualification</w:t>
            </w:r>
          </w:p>
        </w:tc>
      </w:tr>
      <w:tr w:rsidR="00AA07BE" w14:paraId="58008A04" w14:textId="77777777">
        <w:tblPrEx>
          <w:tblCellMar>
            <w:top w:w="0" w:type="dxa"/>
            <w:bottom w:w="0" w:type="dxa"/>
          </w:tblCellMar>
        </w:tblPrEx>
        <w:trPr>
          <w:cantSplit/>
        </w:trPr>
        <w:tc>
          <w:tcPr>
            <w:tcW w:w="3120" w:type="dxa"/>
            <w:tcMar>
              <w:top w:w="105" w:type="dxa"/>
              <w:left w:w="125" w:type="dxa"/>
              <w:bottom w:w="105" w:type="dxa"/>
              <w:right w:w="125" w:type="dxa"/>
            </w:tcMar>
          </w:tcPr>
          <w:p w14:paraId="7C990603" w14:textId="77777777" w:rsidR="00AA07BE" w:rsidRDefault="00557E1F">
            <w:pPr>
              <w:spacing w:after="50" w:line="255" w:lineRule="auto"/>
            </w:pPr>
            <w:r>
              <w:rPr>
                <w:sz w:val="19"/>
                <w:szCs w:val="19"/>
              </w:rPr>
              <w:t>Defined reporter exchange</w:t>
            </w:r>
          </w:p>
        </w:tc>
        <w:tc>
          <w:tcPr>
            <w:tcW w:w="3120" w:type="dxa"/>
            <w:tcMar>
              <w:top w:w="105" w:type="dxa"/>
              <w:left w:w="125" w:type="dxa"/>
              <w:bottom w:w="105" w:type="dxa"/>
              <w:right w:w="125" w:type="dxa"/>
            </w:tcMar>
          </w:tcPr>
          <w:p w14:paraId="15888B31" w14:textId="77777777" w:rsidR="00AA07BE" w:rsidRDefault="00557E1F">
            <w:pPr>
              <w:spacing w:after="50" w:line="255" w:lineRule="auto"/>
            </w:pPr>
            <w:r>
              <w:rPr>
                <w:sz w:val="19"/>
                <w:szCs w:val="19"/>
              </w:rPr>
              <w:t>Passive NPC passage in the tested system</w:t>
            </w:r>
          </w:p>
        </w:tc>
        <w:tc>
          <w:tcPr>
            <w:tcW w:w="3120" w:type="dxa"/>
            <w:tcMar>
              <w:top w:w="105" w:type="dxa"/>
              <w:left w:w="125" w:type="dxa"/>
              <w:bottom w:w="105" w:type="dxa"/>
              <w:right w:w="125" w:type="dxa"/>
            </w:tcMar>
          </w:tcPr>
          <w:p w14:paraId="32509212" w14:textId="0AC72FAC" w:rsidR="00AA07BE" w:rsidRDefault="00557E1F">
            <w:pPr>
              <w:spacing w:after="50" w:line="255" w:lineRule="auto"/>
            </w:pPr>
            <w:r>
              <w:rPr>
                <w:sz w:val="19"/>
                <w:szCs w:val="19"/>
              </w:rPr>
              <w:t>No universal mass cutoff or prediction for all interacting cargoes</w:t>
            </w:r>
            <w:hyperlink r:id="rId63" w:history="1">
              <w:r>
                <w:rPr>
                  <w:color w:val="087B78"/>
                  <w:sz w:val="18"/>
                  <w:szCs w:val="18"/>
                </w:rPr>
                <w:t xml:space="preserve"> [1]</w:t>
              </w:r>
            </w:hyperlink>
            <w:hyperlink r:id="rId64" w:history="1">
              <w:r>
                <w:rPr>
                  <w:color w:val="087B78"/>
                  <w:sz w:val="18"/>
                  <w:szCs w:val="18"/>
                </w:rPr>
                <w:t xml:space="preserve"> [11]</w:t>
              </w:r>
            </w:hyperlink>
          </w:p>
        </w:tc>
      </w:tr>
      <w:tr w:rsidR="00AA07BE" w14:paraId="04454B02" w14:textId="77777777">
        <w:tblPrEx>
          <w:tblCellMar>
            <w:top w:w="0" w:type="dxa"/>
            <w:bottom w:w="0" w:type="dxa"/>
          </w:tblCellMar>
        </w:tblPrEx>
        <w:trPr>
          <w:cantSplit/>
        </w:trPr>
        <w:tc>
          <w:tcPr>
            <w:tcW w:w="3120" w:type="dxa"/>
            <w:tcMar>
              <w:top w:w="105" w:type="dxa"/>
              <w:left w:w="125" w:type="dxa"/>
              <w:bottom w:w="105" w:type="dxa"/>
              <w:right w:w="125" w:type="dxa"/>
            </w:tcMar>
          </w:tcPr>
          <w:p w14:paraId="27BB8E40" w14:textId="77777777" w:rsidR="00AA07BE" w:rsidRDefault="00557E1F">
            <w:pPr>
              <w:spacing w:after="50" w:line="255" w:lineRule="auto"/>
            </w:pPr>
            <w:r>
              <w:rPr>
                <w:sz w:val="19"/>
                <w:szCs w:val="19"/>
              </w:rPr>
              <w:t>Ran-pathway perturbation</w:t>
            </w:r>
          </w:p>
        </w:tc>
        <w:tc>
          <w:tcPr>
            <w:tcW w:w="3120" w:type="dxa"/>
            <w:tcMar>
              <w:top w:w="105" w:type="dxa"/>
              <w:left w:w="125" w:type="dxa"/>
              <w:bottom w:w="105" w:type="dxa"/>
              <w:right w:w="125" w:type="dxa"/>
            </w:tcMar>
          </w:tcPr>
          <w:p w14:paraId="614CFC13" w14:textId="77777777" w:rsidR="00AA07BE" w:rsidRDefault="00557E1F">
            <w:pPr>
              <w:spacing w:after="50" w:line="255" w:lineRule="auto"/>
            </w:pPr>
            <w:r>
              <w:rPr>
                <w:sz w:val="19"/>
                <w:szCs w:val="19"/>
              </w:rPr>
              <w:t>Altered directional protein transport</w:t>
            </w:r>
          </w:p>
        </w:tc>
        <w:tc>
          <w:tcPr>
            <w:tcW w:w="3120" w:type="dxa"/>
            <w:tcMar>
              <w:top w:w="105" w:type="dxa"/>
              <w:left w:w="125" w:type="dxa"/>
              <w:bottom w:w="105" w:type="dxa"/>
              <w:right w:w="125" w:type="dxa"/>
            </w:tcMar>
          </w:tcPr>
          <w:p w14:paraId="616F4209" w14:textId="3230E1F0" w:rsidR="00AA07BE" w:rsidRDefault="00557E1F">
            <w:pPr>
              <w:spacing w:after="50" w:line="255" w:lineRule="auto"/>
            </w:pPr>
            <w:r>
              <w:rPr>
                <w:sz w:val="19"/>
                <w:szCs w:val="19"/>
              </w:rPr>
              <w:t>Not a general explanation for every RNA-export process</w:t>
            </w:r>
            <w:hyperlink r:id="rId65" w:history="1">
              <w:r>
                <w:rPr>
                  <w:color w:val="087B78"/>
                  <w:sz w:val="18"/>
                  <w:szCs w:val="18"/>
                </w:rPr>
                <w:t xml:space="preserve"> [2]</w:t>
              </w:r>
            </w:hyperlink>
            <w:hyperlink r:id="rId66" w:history="1">
              <w:r>
                <w:rPr>
                  <w:color w:val="087B78"/>
                  <w:sz w:val="18"/>
                  <w:szCs w:val="18"/>
                </w:rPr>
                <w:t xml:space="preserve"> [3]</w:t>
              </w:r>
            </w:hyperlink>
          </w:p>
        </w:tc>
      </w:tr>
      <w:tr w:rsidR="00AA07BE" w14:paraId="182412CA" w14:textId="77777777">
        <w:tblPrEx>
          <w:tblCellMar>
            <w:top w:w="0" w:type="dxa"/>
            <w:bottom w:w="0" w:type="dxa"/>
          </w:tblCellMar>
        </w:tblPrEx>
        <w:trPr>
          <w:cantSplit/>
        </w:trPr>
        <w:tc>
          <w:tcPr>
            <w:tcW w:w="3120" w:type="dxa"/>
            <w:tcMar>
              <w:top w:w="105" w:type="dxa"/>
              <w:left w:w="125" w:type="dxa"/>
              <w:bottom w:w="105" w:type="dxa"/>
              <w:right w:w="125" w:type="dxa"/>
            </w:tcMar>
          </w:tcPr>
          <w:p w14:paraId="715B493D" w14:textId="77777777" w:rsidR="00AA07BE" w:rsidRDefault="00557E1F">
            <w:pPr>
              <w:spacing w:after="50" w:line="255" w:lineRule="auto"/>
            </w:pPr>
            <w:r>
              <w:rPr>
                <w:sz w:val="19"/>
                <w:szCs w:val="19"/>
              </w:rPr>
              <w:t>mRNP remodeling defect</w:t>
            </w:r>
          </w:p>
        </w:tc>
        <w:tc>
          <w:tcPr>
            <w:tcW w:w="3120" w:type="dxa"/>
            <w:tcMar>
              <w:top w:w="105" w:type="dxa"/>
              <w:left w:w="125" w:type="dxa"/>
              <w:bottom w:w="105" w:type="dxa"/>
              <w:right w:w="125" w:type="dxa"/>
            </w:tcMar>
          </w:tcPr>
          <w:p w14:paraId="5615AE3B" w14:textId="77777777" w:rsidR="00AA07BE" w:rsidRDefault="00557E1F">
            <w:pPr>
              <w:spacing w:after="50" w:line="255" w:lineRule="auto"/>
            </w:pPr>
            <w:r>
              <w:rPr>
                <w:sz w:val="19"/>
                <w:szCs w:val="19"/>
              </w:rPr>
              <w:t>Failure of a particular RNA-export cycle</w:t>
            </w:r>
          </w:p>
        </w:tc>
        <w:tc>
          <w:tcPr>
            <w:tcW w:w="3120" w:type="dxa"/>
            <w:tcMar>
              <w:top w:w="105" w:type="dxa"/>
              <w:left w:w="125" w:type="dxa"/>
              <w:bottom w:w="105" w:type="dxa"/>
              <w:right w:w="125" w:type="dxa"/>
            </w:tcMar>
          </w:tcPr>
          <w:p w14:paraId="18C9FE0E" w14:textId="14D81C0D" w:rsidR="00AA07BE" w:rsidRDefault="00557E1F">
            <w:pPr>
              <w:spacing w:after="50" w:line="255" w:lineRule="auto"/>
            </w:pPr>
            <w:r>
              <w:rPr>
                <w:sz w:val="19"/>
                <w:szCs w:val="19"/>
              </w:rPr>
              <w:t>Channel geometry may remain unmeasured</w:t>
            </w:r>
            <w:hyperlink r:id="rId67" w:history="1">
              <w:r>
                <w:rPr>
                  <w:color w:val="087B78"/>
                  <w:sz w:val="18"/>
                  <w:szCs w:val="18"/>
                </w:rPr>
                <w:t xml:space="preserve"> [3]</w:t>
              </w:r>
            </w:hyperlink>
          </w:p>
        </w:tc>
      </w:tr>
      <w:tr w:rsidR="00AA07BE" w14:paraId="0721EC5F" w14:textId="77777777">
        <w:tblPrEx>
          <w:tblCellMar>
            <w:top w:w="0" w:type="dxa"/>
            <w:bottom w:w="0" w:type="dxa"/>
          </w:tblCellMar>
        </w:tblPrEx>
        <w:trPr>
          <w:cantSplit/>
        </w:trPr>
        <w:tc>
          <w:tcPr>
            <w:tcW w:w="3120" w:type="dxa"/>
            <w:tcMar>
              <w:top w:w="105" w:type="dxa"/>
              <w:left w:w="125" w:type="dxa"/>
              <w:bottom w:w="105" w:type="dxa"/>
              <w:right w:w="125" w:type="dxa"/>
            </w:tcMar>
          </w:tcPr>
          <w:p w14:paraId="3AF18F99" w14:textId="77777777" w:rsidR="00AA07BE" w:rsidRDefault="00557E1F">
            <w:pPr>
              <w:spacing w:after="50" w:line="255" w:lineRule="auto"/>
            </w:pPr>
            <w:r>
              <w:rPr>
                <w:sz w:val="19"/>
                <w:szCs w:val="19"/>
              </w:rPr>
              <w:t>FCS or FRAP change</w:t>
            </w:r>
          </w:p>
        </w:tc>
        <w:tc>
          <w:tcPr>
            <w:tcW w:w="3120" w:type="dxa"/>
            <w:tcMar>
              <w:top w:w="105" w:type="dxa"/>
              <w:left w:w="125" w:type="dxa"/>
              <w:bottom w:w="105" w:type="dxa"/>
              <w:right w:w="125" w:type="dxa"/>
            </w:tcMar>
          </w:tcPr>
          <w:p w14:paraId="601EAD9B" w14:textId="77777777" w:rsidR="00AA07BE" w:rsidRDefault="00557E1F">
            <w:pPr>
              <w:spacing w:after="50" w:line="255" w:lineRule="auto"/>
            </w:pPr>
            <w:r>
              <w:rPr>
                <w:sz w:val="19"/>
                <w:szCs w:val="19"/>
              </w:rPr>
              <w:t>Altered mobility or reaction–diffusion behavior</w:t>
            </w:r>
          </w:p>
        </w:tc>
        <w:tc>
          <w:tcPr>
            <w:tcW w:w="3120" w:type="dxa"/>
            <w:tcMar>
              <w:top w:w="105" w:type="dxa"/>
              <w:left w:w="125" w:type="dxa"/>
              <w:bottom w:w="105" w:type="dxa"/>
              <w:right w:w="125" w:type="dxa"/>
            </w:tcMar>
          </w:tcPr>
          <w:p w14:paraId="13F70906" w14:textId="245E1661" w:rsidR="00AA07BE" w:rsidRDefault="00557E1F">
            <w:pPr>
              <w:spacing w:after="50" w:line="255" w:lineRule="auto"/>
            </w:pPr>
            <w:r>
              <w:rPr>
                <w:sz w:val="19"/>
                <w:szCs w:val="19"/>
              </w:rPr>
              <w:t>Binding, photophysics and geometry can contribute</w:t>
            </w:r>
            <w:hyperlink r:id="rId68" w:history="1">
              <w:r>
                <w:rPr>
                  <w:color w:val="087B78"/>
                  <w:sz w:val="18"/>
                  <w:szCs w:val="18"/>
                </w:rPr>
                <w:t xml:space="preserve"> [4]</w:t>
              </w:r>
            </w:hyperlink>
            <w:hyperlink r:id="rId69" w:history="1">
              <w:r>
                <w:rPr>
                  <w:color w:val="087B78"/>
                  <w:sz w:val="18"/>
                  <w:szCs w:val="18"/>
                </w:rPr>
                <w:t xml:space="preserve"> [5]</w:t>
              </w:r>
            </w:hyperlink>
          </w:p>
        </w:tc>
      </w:tr>
      <w:tr w:rsidR="00AA07BE" w14:paraId="398AA262" w14:textId="77777777">
        <w:tblPrEx>
          <w:tblCellMar>
            <w:top w:w="0" w:type="dxa"/>
            <w:bottom w:w="0" w:type="dxa"/>
          </w:tblCellMar>
        </w:tblPrEx>
        <w:trPr>
          <w:cantSplit/>
        </w:trPr>
        <w:tc>
          <w:tcPr>
            <w:tcW w:w="3120" w:type="dxa"/>
            <w:tcMar>
              <w:top w:w="105" w:type="dxa"/>
              <w:left w:w="125" w:type="dxa"/>
              <w:bottom w:w="105" w:type="dxa"/>
              <w:right w:w="125" w:type="dxa"/>
            </w:tcMar>
          </w:tcPr>
          <w:p w14:paraId="3B75AD09" w14:textId="77777777" w:rsidR="00AA07BE" w:rsidRDefault="00557E1F">
            <w:pPr>
              <w:spacing w:after="50" w:line="255" w:lineRule="auto"/>
            </w:pPr>
            <w:r>
              <w:rPr>
                <w:sz w:val="19"/>
                <w:szCs w:val="19"/>
              </w:rPr>
              <w:t>Tracking-population shift</w:t>
            </w:r>
          </w:p>
        </w:tc>
        <w:tc>
          <w:tcPr>
            <w:tcW w:w="3120" w:type="dxa"/>
            <w:tcMar>
              <w:top w:w="105" w:type="dxa"/>
              <w:left w:w="125" w:type="dxa"/>
              <w:bottom w:w="105" w:type="dxa"/>
              <w:right w:w="125" w:type="dxa"/>
            </w:tcMar>
          </w:tcPr>
          <w:p w14:paraId="2C7C18C6" w14:textId="77777777" w:rsidR="00AA07BE" w:rsidRDefault="00557E1F">
            <w:pPr>
              <w:spacing w:after="50" w:line="255" w:lineRule="auto"/>
            </w:pPr>
            <w:r>
              <w:rPr>
                <w:sz w:val="19"/>
                <w:szCs w:val="19"/>
              </w:rPr>
              <w:t>Different detected molecular dynamics</w:t>
            </w:r>
          </w:p>
        </w:tc>
        <w:tc>
          <w:tcPr>
            <w:tcW w:w="3120" w:type="dxa"/>
            <w:tcMar>
              <w:top w:w="105" w:type="dxa"/>
              <w:left w:w="125" w:type="dxa"/>
              <w:bottom w:w="105" w:type="dxa"/>
              <w:right w:w="125" w:type="dxa"/>
            </w:tcMar>
          </w:tcPr>
          <w:p w14:paraId="2FCF29FD" w14:textId="6EF25A8D" w:rsidR="00AA07BE" w:rsidRDefault="00557E1F">
            <w:pPr>
              <w:spacing w:after="50" w:line="255" w:lineRule="auto"/>
            </w:pPr>
            <w:r>
              <w:rPr>
                <w:sz w:val="19"/>
                <w:szCs w:val="19"/>
              </w:rPr>
              <w:t>Blur and defocalization require correction</w:t>
            </w:r>
            <w:hyperlink r:id="rId70" w:history="1">
              <w:r>
                <w:rPr>
                  <w:color w:val="087B78"/>
                  <w:sz w:val="18"/>
                  <w:szCs w:val="18"/>
                </w:rPr>
                <w:t xml:space="preserve"> [14]</w:t>
              </w:r>
            </w:hyperlink>
          </w:p>
        </w:tc>
      </w:tr>
      <w:tr w:rsidR="00AA07BE" w14:paraId="2905D129" w14:textId="77777777">
        <w:tblPrEx>
          <w:tblCellMar>
            <w:top w:w="0" w:type="dxa"/>
            <w:bottom w:w="0" w:type="dxa"/>
          </w:tblCellMar>
        </w:tblPrEx>
        <w:trPr>
          <w:cantSplit/>
        </w:trPr>
        <w:tc>
          <w:tcPr>
            <w:tcW w:w="3120" w:type="dxa"/>
            <w:tcMar>
              <w:top w:w="105" w:type="dxa"/>
              <w:left w:w="125" w:type="dxa"/>
              <w:bottom w:w="105" w:type="dxa"/>
              <w:right w:w="125" w:type="dxa"/>
            </w:tcMar>
          </w:tcPr>
          <w:p w14:paraId="16844A6B" w14:textId="77777777" w:rsidR="00AA07BE" w:rsidRDefault="00557E1F">
            <w:pPr>
              <w:spacing w:after="50" w:line="255" w:lineRule="auto"/>
            </w:pPr>
            <w:r>
              <w:rPr>
                <w:sz w:val="19"/>
                <w:szCs w:val="19"/>
              </w:rPr>
              <w:lastRenderedPageBreak/>
              <w:t>Nucleolar RNA redistribution</w:t>
            </w:r>
          </w:p>
        </w:tc>
        <w:tc>
          <w:tcPr>
            <w:tcW w:w="3120" w:type="dxa"/>
            <w:tcMar>
              <w:top w:w="105" w:type="dxa"/>
              <w:left w:w="125" w:type="dxa"/>
              <w:bottom w:w="105" w:type="dxa"/>
              <w:right w:w="125" w:type="dxa"/>
            </w:tcMar>
          </w:tcPr>
          <w:p w14:paraId="6C27A2EA" w14:textId="77777777" w:rsidR="00AA07BE" w:rsidRDefault="00557E1F">
            <w:pPr>
              <w:spacing w:after="50" w:line="255" w:lineRule="auto"/>
            </w:pPr>
            <w:r>
              <w:rPr>
                <w:sz w:val="19"/>
                <w:szCs w:val="19"/>
              </w:rPr>
              <w:t>Changed processing-associated compartment trajectory</w:t>
            </w:r>
          </w:p>
        </w:tc>
        <w:tc>
          <w:tcPr>
            <w:tcW w:w="3120" w:type="dxa"/>
            <w:tcMar>
              <w:top w:w="105" w:type="dxa"/>
              <w:left w:w="125" w:type="dxa"/>
              <w:bottom w:w="105" w:type="dxa"/>
              <w:right w:w="125" w:type="dxa"/>
            </w:tcMar>
          </w:tcPr>
          <w:p w14:paraId="47A1E61D" w14:textId="366BAB0A" w:rsidR="00AA07BE" w:rsidRDefault="00557E1F">
            <w:pPr>
              <w:spacing w:after="50" w:line="255" w:lineRule="auto"/>
            </w:pPr>
            <w:r>
              <w:rPr>
                <w:sz w:val="19"/>
                <w:szCs w:val="19"/>
              </w:rPr>
              <w:t>Not equivalent to bulk mRNA export</w:t>
            </w:r>
            <w:hyperlink r:id="rId71" w:history="1">
              <w:r>
                <w:rPr>
                  <w:color w:val="087B78"/>
                  <w:sz w:val="18"/>
                  <w:szCs w:val="18"/>
                </w:rPr>
                <w:t xml:space="preserve"> [7]</w:t>
              </w:r>
            </w:hyperlink>
          </w:p>
        </w:tc>
      </w:tr>
      <w:tr w:rsidR="00AA07BE" w14:paraId="77296FBA" w14:textId="77777777">
        <w:tblPrEx>
          <w:tblCellMar>
            <w:top w:w="0" w:type="dxa"/>
            <w:bottom w:w="0" w:type="dxa"/>
          </w:tblCellMar>
        </w:tblPrEx>
        <w:trPr>
          <w:cantSplit/>
        </w:trPr>
        <w:tc>
          <w:tcPr>
            <w:tcW w:w="3120" w:type="dxa"/>
            <w:tcMar>
              <w:top w:w="105" w:type="dxa"/>
              <w:left w:w="125" w:type="dxa"/>
              <w:bottom w:w="105" w:type="dxa"/>
              <w:right w:w="125" w:type="dxa"/>
            </w:tcMar>
          </w:tcPr>
          <w:p w14:paraId="5F35D794" w14:textId="77777777" w:rsidR="00AA07BE" w:rsidRDefault="00557E1F">
            <w:pPr>
              <w:spacing w:after="50" w:line="255" w:lineRule="auto"/>
            </w:pPr>
            <w:r>
              <w:rPr>
                <w:sz w:val="19"/>
                <w:szCs w:val="19"/>
              </w:rPr>
              <w:t>Pressure-dependent volume equilibration</w:t>
            </w:r>
          </w:p>
        </w:tc>
        <w:tc>
          <w:tcPr>
            <w:tcW w:w="3120" w:type="dxa"/>
            <w:tcMar>
              <w:top w:w="105" w:type="dxa"/>
              <w:left w:w="125" w:type="dxa"/>
              <w:bottom w:w="105" w:type="dxa"/>
              <w:right w:w="125" w:type="dxa"/>
            </w:tcMar>
          </w:tcPr>
          <w:p w14:paraId="2F9C1FC2" w14:textId="77777777" w:rsidR="00AA07BE" w:rsidRDefault="00557E1F">
            <w:pPr>
              <w:spacing w:after="50" w:line="255" w:lineRule="auto"/>
            </w:pPr>
            <w:r>
              <w:rPr>
                <w:sz w:val="19"/>
                <w:szCs w:val="19"/>
              </w:rPr>
              <w:t>Fluid flow through NPCs under the examined conditions</w:t>
            </w:r>
          </w:p>
        </w:tc>
        <w:tc>
          <w:tcPr>
            <w:tcW w:w="3120" w:type="dxa"/>
            <w:tcMar>
              <w:top w:w="105" w:type="dxa"/>
              <w:left w:w="125" w:type="dxa"/>
              <w:bottom w:w="105" w:type="dxa"/>
              <w:right w:w="125" w:type="dxa"/>
            </w:tcMar>
          </w:tcPr>
          <w:p w14:paraId="137B2AE6" w14:textId="595159CC" w:rsidR="00AA07BE" w:rsidRDefault="00557E1F">
            <w:pPr>
              <w:spacing w:after="50" w:line="255" w:lineRule="auto"/>
            </w:pPr>
            <w:r>
              <w:rPr>
                <w:sz w:val="19"/>
                <w:szCs w:val="19"/>
              </w:rPr>
              <w:t>Distinct driving force from concentration diffusion</w:t>
            </w:r>
            <w:hyperlink r:id="rId72" w:history="1">
              <w:r>
                <w:rPr>
                  <w:color w:val="087B78"/>
                  <w:sz w:val="18"/>
                  <w:szCs w:val="18"/>
                </w:rPr>
                <w:t xml:space="preserve"> [9]</w:t>
              </w:r>
            </w:hyperlink>
          </w:p>
        </w:tc>
      </w:tr>
    </w:tbl>
    <w:p w14:paraId="0BB018ED" w14:textId="77777777" w:rsidR="00AA07BE" w:rsidRDefault="00AA07BE">
      <w:pPr>
        <w:spacing w:after="170"/>
      </w:pPr>
    </w:p>
    <w:p w14:paraId="7DB8F45E" w14:textId="4E129B8A" w:rsidR="00AA07BE" w:rsidRDefault="00557E1F">
      <w:r>
        <w:t xml:space="preserve">An integrated transport experiment follows the substrate through the stages relevant to its function. For a nuclear protein, this may require exchange kinetics and chromatin occupancy. For an RNA, it may require processing-state information together with localization and export. Structural imaging can identify altered compartments or pores, while biochemical and dynamic measurements determine whether those changes affect the particular route. This avoids attributing a broad nuclear-retention phenotype to a </w:t>
      </w:r>
      <w:r>
        <w:t>single gate defect when maturation, binding and compartment partitioning provide alternative mechanisms.</w:t>
      </w:r>
      <w:hyperlink r:id="rId73" w:history="1">
        <w:r>
          <w:rPr>
            <w:color w:val="087B78"/>
            <w:sz w:val="18"/>
            <w:szCs w:val="18"/>
          </w:rPr>
          <w:t xml:space="preserve"> [2]</w:t>
        </w:r>
      </w:hyperlink>
      <w:hyperlink r:id="rId74" w:history="1">
        <w:r>
          <w:rPr>
            <w:color w:val="087B78"/>
            <w:sz w:val="18"/>
            <w:szCs w:val="18"/>
          </w:rPr>
          <w:t xml:space="preserve"> [3]</w:t>
        </w:r>
      </w:hyperlink>
      <w:hyperlink r:id="rId75" w:history="1">
        <w:r>
          <w:rPr>
            <w:color w:val="087B78"/>
            <w:sz w:val="18"/>
            <w:szCs w:val="18"/>
          </w:rPr>
          <w:t xml:space="preserve"> [5]</w:t>
        </w:r>
      </w:hyperlink>
      <w:hyperlink r:id="rId76" w:history="1">
        <w:r>
          <w:rPr>
            <w:color w:val="087B78"/>
            <w:sz w:val="18"/>
            <w:szCs w:val="18"/>
          </w:rPr>
          <w:t xml:space="preserve"> [7]</w:t>
        </w:r>
      </w:hyperlink>
      <w:hyperlink r:id="rId77" w:history="1">
        <w:r>
          <w:rPr>
            <w:color w:val="087B78"/>
            <w:sz w:val="18"/>
            <w:szCs w:val="18"/>
          </w:rPr>
          <w:t xml:space="preserve"> [17]</w:t>
        </w:r>
      </w:hyperlink>
    </w:p>
    <w:p w14:paraId="3B83A3CC" w14:textId="77777777" w:rsidR="00AA07BE" w:rsidRDefault="00557E1F">
      <w:pPr>
        <w:pStyle w:val="Heading1"/>
      </w:pPr>
      <w:bookmarkStart w:id="10" w:name="_Toc242668394"/>
      <w:r>
        <w:t>10. Current synthesis and unanswered connections</w:t>
      </w:r>
      <w:bookmarkEnd w:id="10"/>
    </w:p>
    <w:p w14:paraId="442FA772" w14:textId="179D313D" w:rsidR="00AA07BE" w:rsidRDefault="00557E1F">
      <w:r>
        <w:t>Nuclear transport is a network of route-specific processes linking a selective boundary to a heterogeneous reaction environment. Recent primary work shows that the barrier is dynamic, fluid flow has a distinct pressure-driven mode, RNA processing shapes nucleolar trajectories and composition contributes to nuclear volume control. The next step is to connect those mechanisms within the same living system and determine their sequence during regulation. Tracking molecular identity and processing state, togethe</w:t>
      </w:r>
      <w:r>
        <w:t>r with matched structural and physical measurements, will provide a more useful explanation than one global transport rate assigned to the entire nucleus.</w:t>
      </w:r>
      <w:hyperlink r:id="rId78" w:history="1">
        <w:r>
          <w:rPr>
            <w:color w:val="087B78"/>
            <w:sz w:val="18"/>
            <w:szCs w:val="18"/>
          </w:rPr>
          <w:t xml:space="preserve"> [8]</w:t>
        </w:r>
      </w:hyperlink>
      <w:hyperlink r:id="rId79" w:history="1">
        <w:r>
          <w:rPr>
            <w:color w:val="087B78"/>
            <w:sz w:val="18"/>
            <w:szCs w:val="18"/>
          </w:rPr>
          <w:t xml:space="preserve"> [9]</w:t>
        </w:r>
      </w:hyperlink>
      <w:hyperlink r:id="rId80" w:history="1">
        <w:r>
          <w:rPr>
            <w:color w:val="087B78"/>
            <w:sz w:val="18"/>
            <w:szCs w:val="18"/>
          </w:rPr>
          <w:t xml:space="preserve"> [7]</w:t>
        </w:r>
      </w:hyperlink>
      <w:hyperlink r:id="rId81" w:history="1">
        <w:r>
          <w:rPr>
            <w:color w:val="087B78"/>
            <w:sz w:val="18"/>
            <w:szCs w:val="18"/>
          </w:rPr>
          <w:t xml:space="preserve"> [10]</w:t>
        </w:r>
      </w:hyperlink>
      <w:hyperlink r:id="rId82" w:history="1">
        <w:r>
          <w:rPr>
            <w:color w:val="087B78"/>
            <w:sz w:val="18"/>
            <w:szCs w:val="18"/>
          </w:rPr>
          <w:t xml:space="preserve"> [4]</w:t>
        </w:r>
      </w:hyperlink>
      <w:hyperlink r:id="rId83" w:history="1">
        <w:r>
          <w:rPr>
            <w:color w:val="087B78"/>
            <w:sz w:val="18"/>
            <w:szCs w:val="18"/>
          </w:rPr>
          <w:t xml:space="preserve"> [3]</w:t>
        </w:r>
      </w:hyperlink>
    </w:p>
    <w:p w14:paraId="73378E30" w14:textId="77777777" w:rsidR="00AA07BE" w:rsidRDefault="00557E1F">
      <w:pPr>
        <w:pStyle w:val="Heading1"/>
      </w:pPr>
      <w:bookmarkStart w:id="11" w:name="_Toc242668395"/>
      <w:r>
        <w:t>References</w:t>
      </w:r>
      <w:bookmarkEnd w:id="11"/>
    </w:p>
    <w:p w14:paraId="3556B61C" w14:textId="559CBE23" w:rsidR="00AA07BE" w:rsidRDefault="00557E1F">
      <w:pPr>
        <w:keepLines/>
        <w:spacing w:after="90" w:line="245" w:lineRule="auto"/>
      </w:pPr>
      <w:r>
        <w:rPr>
          <w:b/>
          <w:bCs/>
          <w:sz w:val="20"/>
          <w:szCs w:val="20"/>
        </w:rPr>
        <w:t xml:space="preserve">[1] Benjamin L. Timney, Barak Raveh, Roxana Mironska et al. (2016). </w:t>
      </w:r>
      <w:r>
        <w:rPr>
          <w:sz w:val="20"/>
          <w:szCs w:val="20"/>
        </w:rPr>
        <w:t xml:space="preserve">Simple rules for passive diffusion through the nuclear pore complex. Journal of Cell Biology. </w:t>
      </w:r>
      <w:hyperlink r:id="rId84" w:history="1">
        <w:r>
          <w:rPr>
            <w:color w:val="087B78"/>
            <w:sz w:val="20"/>
            <w:szCs w:val="20"/>
            <w:u w:val="single"/>
          </w:rPr>
          <w:t>10.1083/jcb.201601004</w:t>
        </w:r>
      </w:hyperlink>
    </w:p>
    <w:p w14:paraId="5A950E96" w14:textId="54878924" w:rsidR="00AA07BE" w:rsidRDefault="00557E1F">
      <w:pPr>
        <w:keepLines/>
        <w:spacing w:after="90" w:line="245" w:lineRule="auto"/>
      </w:pPr>
      <w:r>
        <w:rPr>
          <w:b/>
          <w:bCs/>
          <w:sz w:val="20"/>
          <w:szCs w:val="20"/>
        </w:rPr>
        <w:t xml:space="preserve">[2] Elisa Izaurralde, Ulrike Kutay, Cayetano von Kobbe et al. (1997). </w:t>
      </w:r>
      <w:r>
        <w:rPr>
          <w:sz w:val="20"/>
          <w:szCs w:val="20"/>
        </w:rPr>
        <w:t xml:space="preserve">The asymmetric distribution of the constituents of the Ran system is essential for transport into and out of the nucleus. The EMBO Journal. </w:t>
      </w:r>
      <w:hyperlink r:id="rId85" w:history="1">
        <w:r>
          <w:rPr>
            <w:color w:val="087B78"/>
            <w:sz w:val="20"/>
            <w:szCs w:val="20"/>
            <w:u w:val="single"/>
          </w:rPr>
          <w:t>10.1093/emboj/16.21.6535</w:t>
        </w:r>
      </w:hyperlink>
    </w:p>
    <w:p w14:paraId="235D7619" w14:textId="4F2636EB" w:rsidR="00AA07BE" w:rsidRDefault="00557E1F">
      <w:pPr>
        <w:keepLines/>
        <w:spacing w:after="90" w:line="245" w:lineRule="auto"/>
      </w:pPr>
      <w:r>
        <w:rPr>
          <w:b/>
          <w:bCs/>
          <w:sz w:val="20"/>
          <w:szCs w:val="20"/>
        </w:rPr>
        <w:t xml:space="preserve">[3] Kristen N. Noble, Elizabeth Tran, Abel R. Alcázar-Román et al. (2011). </w:t>
      </w:r>
      <w:r>
        <w:rPr>
          <w:sz w:val="20"/>
          <w:szCs w:val="20"/>
        </w:rPr>
        <w:t xml:space="preserve">The Dbp5 cycle at the nuclear pore complex during mRNA export II: nucleotide cycling and mRNP remodeling by Dbp5 are controlled by Nup159 and Gle1. Genes &amp; Development. </w:t>
      </w:r>
      <w:hyperlink r:id="rId86" w:history="1">
        <w:r>
          <w:rPr>
            <w:color w:val="087B78"/>
            <w:sz w:val="20"/>
            <w:szCs w:val="20"/>
            <w:u w:val="single"/>
          </w:rPr>
          <w:t>10.1101/gad.2040611</w:t>
        </w:r>
      </w:hyperlink>
    </w:p>
    <w:p w14:paraId="53885C3F" w14:textId="41F287AB" w:rsidR="00AA07BE" w:rsidRDefault="00557E1F">
      <w:pPr>
        <w:keepLines/>
        <w:spacing w:after="90" w:line="245" w:lineRule="auto"/>
      </w:pPr>
      <w:r>
        <w:rPr>
          <w:b/>
          <w:bCs/>
          <w:sz w:val="20"/>
          <w:szCs w:val="20"/>
        </w:rPr>
        <w:t xml:space="preserve">[4] Nicolas Dross, Corentin Spriet, Monika Zwerger et al. (2009). </w:t>
      </w:r>
      <w:r>
        <w:rPr>
          <w:sz w:val="20"/>
          <w:szCs w:val="20"/>
        </w:rPr>
        <w:t xml:space="preserve">Mapping eGFP Oligomer Mobility in Living Cell Nuclei. PLOS ONE. </w:t>
      </w:r>
      <w:hyperlink r:id="rId87" w:history="1">
        <w:r>
          <w:rPr>
            <w:color w:val="087B78"/>
            <w:sz w:val="20"/>
            <w:szCs w:val="20"/>
            <w:u w:val="single"/>
          </w:rPr>
          <w:t>10.1371/journal.pone.0005041</w:t>
        </w:r>
      </w:hyperlink>
    </w:p>
    <w:p w14:paraId="3147BB73" w14:textId="3EC245D0" w:rsidR="00AA07BE" w:rsidRDefault="00557E1F">
      <w:pPr>
        <w:keepLines/>
        <w:spacing w:after="90" w:line="245" w:lineRule="auto"/>
      </w:pPr>
      <w:r>
        <w:rPr>
          <w:b/>
          <w:bCs/>
          <w:sz w:val="20"/>
          <w:szCs w:val="20"/>
        </w:rPr>
        <w:t xml:space="preserve">[5] Brian L. Sprague, Robert L. Pego, Diana A. Stavreva et al. (2004). </w:t>
      </w:r>
      <w:r>
        <w:rPr>
          <w:sz w:val="20"/>
          <w:szCs w:val="20"/>
        </w:rPr>
        <w:t xml:space="preserve">Analysis of Binding Reactions by Fluorescence Recovery after Photobleaching. Biophysical Journal. </w:t>
      </w:r>
      <w:hyperlink r:id="rId88" w:history="1">
        <w:r>
          <w:rPr>
            <w:color w:val="087B78"/>
            <w:sz w:val="20"/>
            <w:szCs w:val="20"/>
            <w:u w:val="single"/>
          </w:rPr>
          <w:t>10.1529/biophysj.103.026765</w:t>
        </w:r>
      </w:hyperlink>
    </w:p>
    <w:p w14:paraId="27EEE719" w14:textId="2FA7D23B" w:rsidR="00AA07BE" w:rsidRDefault="00557E1F">
      <w:pPr>
        <w:keepLines/>
        <w:spacing w:after="90" w:line="245" w:lineRule="auto"/>
      </w:pPr>
      <w:r>
        <w:rPr>
          <w:b/>
          <w:bCs/>
          <w:sz w:val="20"/>
          <w:szCs w:val="20"/>
        </w:rPr>
        <w:t xml:space="preserve">[6] Marina Feric, Nilesh Vaidya, Tyler S. Harmon et al. (2016). </w:t>
      </w:r>
      <w:r>
        <w:rPr>
          <w:sz w:val="20"/>
          <w:szCs w:val="20"/>
        </w:rPr>
        <w:t xml:space="preserve">Coexisting Liquid Phases Underlie Nucleolar Subcompartments. Cell. </w:t>
      </w:r>
      <w:hyperlink r:id="rId89" w:history="1">
        <w:r>
          <w:rPr>
            <w:color w:val="087B78"/>
            <w:sz w:val="20"/>
            <w:szCs w:val="20"/>
            <w:u w:val="single"/>
          </w:rPr>
          <w:t>10.1016/j.cell.2016.04.047</w:t>
        </w:r>
      </w:hyperlink>
    </w:p>
    <w:p w14:paraId="13246607" w14:textId="2865C59B" w:rsidR="00AA07BE" w:rsidRDefault="00557E1F">
      <w:pPr>
        <w:keepLines/>
        <w:spacing w:after="90" w:line="245" w:lineRule="auto"/>
      </w:pPr>
      <w:r>
        <w:rPr>
          <w:b/>
          <w:bCs/>
          <w:sz w:val="20"/>
          <w:szCs w:val="20"/>
        </w:rPr>
        <w:lastRenderedPageBreak/>
        <w:t xml:space="preserve">[7] Sofia A. Quinodoz, Lifei Jiang, Aya A. Abu-Alfa et al. (2025). </w:t>
      </w:r>
      <w:r>
        <w:rPr>
          <w:sz w:val="20"/>
          <w:szCs w:val="20"/>
        </w:rPr>
        <w:t xml:space="preserve">Mapping and engineering RNA-driven architecture of the multiphase nucleolus. Nature. </w:t>
      </w:r>
      <w:hyperlink r:id="rId90" w:history="1">
        <w:r>
          <w:rPr>
            <w:color w:val="087B78"/>
            <w:sz w:val="20"/>
            <w:szCs w:val="20"/>
            <w:u w:val="single"/>
          </w:rPr>
          <w:t>10.1038/s41586-025-09207-4</w:t>
        </w:r>
      </w:hyperlink>
    </w:p>
    <w:p w14:paraId="766ADA01" w14:textId="2300A835" w:rsidR="00AA07BE" w:rsidRDefault="00557E1F">
      <w:pPr>
        <w:keepLines/>
        <w:spacing w:after="90" w:line="245" w:lineRule="auto"/>
      </w:pPr>
      <w:r>
        <w:rPr>
          <w:b/>
          <w:bCs/>
          <w:sz w:val="20"/>
          <w:szCs w:val="20"/>
        </w:rPr>
        <w:t xml:space="preserve">[8] Toshiya Kozai, Javier Fernandez-Martinez, Larisa E. Kapinos et al. (2025). </w:t>
      </w:r>
      <w:r>
        <w:rPr>
          <w:sz w:val="20"/>
          <w:szCs w:val="20"/>
        </w:rPr>
        <w:t xml:space="preserve">Karyopherins remodel the dynamic organization of the nuclear pore complex transport barrier. Nature Cell Biology. </w:t>
      </w:r>
      <w:hyperlink r:id="rId91" w:history="1">
        <w:r>
          <w:rPr>
            <w:color w:val="087B78"/>
            <w:sz w:val="20"/>
            <w:szCs w:val="20"/>
            <w:u w:val="single"/>
          </w:rPr>
          <w:t>10.1038/s41556-025-01812-9</w:t>
        </w:r>
      </w:hyperlink>
    </w:p>
    <w:p w14:paraId="7C3A52CB" w14:textId="570CD43C" w:rsidR="00AA07BE" w:rsidRDefault="00557E1F">
      <w:pPr>
        <w:keepLines/>
        <w:spacing w:after="90" w:line="245" w:lineRule="auto"/>
      </w:pPr>
      <w:r>
        <w:rPr>
          <w:b/>
          <w:bCs/>
          <w:sz w:val="20"/>
          <w:szCs w:val="20"/>
        </w:rPr>
        <w:t xml:space="preserve">[9] Patrick C. Hoffmann, Hyuntae Kim, Aleksandra Obarska-Kosińska et al. (2024). </w:t>
      </w:r>
      <w:r>
        <w:rPr>
          <w:sz w:val="20"/>
          <w:szCs w:val="20"/>
        </w:rPr>
        <w:t xml:space="preserve">Nuclear pore permeability and fluid flow are modulated by its dilation state. Molecular Cell. </w:t>
      </w:r>
      <w:hyperlink r:id="rId92" w:history="1">
        <w:r>
          <w:rPr>
            <w:color w:val="087B78"/>
            <w:sz w:val="20"/>
            <w:szCs w:val="20"/>
            <w:u w:val="single"/>
          </w:rPr>
          <w:t>10.1016/j.molcel.2024.11.038</w:t>
        </w:r>
      </w:hyperlink>
    </w:p>
    <w:p w14:paraId="64872E74" w14:textId="2F9A369C" w:rsidR="00AA07BE" w:rsidRDefault="00557E1F">
      <w:pPr>
        <w:keepLines/>
        <w:spacing w:after="90" w:line="245" w:lineRule="auto"/>
      </w:pPr>
      <w:r>
        <w:rPr>
          <w:b/>
          <w:bCs/>
          <w:sz w:val="20"/>
          <w:szCs w:val="20"/>
        </w:rPr>
        <w:t xml:space="preserve">[10] Abin Biswas, Omar Muñoz, Kyoohyun Kim et al. (2025). </w:t>
      </w:r>
      <w:r>
        <w:rPr>
          <w:sz w:val="20"/>
          <w:szCs w:val="20"/>
        </w:rPr>
        <w:t xml:space="preserve">Conserved nucleocytoplasmic density homeostasis drives cellular organization across eukaryotes. Nature Communications. </w:t>
      </w:r>
      <w:hyperlink r:id="rId93" w:history="1">
        <w:r>
          <w:rPr>
            <w:color w:val="087B78"/>
            <w:sz w:val="20"/>
            <w:szCs w:val="20"/>
            <w:u w:val="single"/>
          </w:rPr>
          <w:t>10.1038/s41467-025-62605-0</w:t>
        </w:r>
      </w:hyperlink>
    </w:p>
    <w:p w14:paraId="310E09F5" w14:textId="59D84248" w:rsidR="00AA07BE" w:rsidRDefault="00557E1F">
      <w:pPr>
        <w:keepLines/>
        <w:spacing w:after="90" w:line="245" w:lineRule="auto"/>
      </w:pPr>
      <w:r>
        <w:rPr>
          <w:b/>
          <w:bCs/>
          <w:sz w:val="20"/>
          <w:szCs w:val="20"/>
        </w:rPr>
        <w:t xml:space="preserve">[11] Dagmar Mohr, Steffen Frey, Torsten Fischer et al. (2009). </w:t>
      </w:r>
      <w:r>
        <w:rPr>
          <w:sz w:val="20"/>
          <w:szCs w:val="20"/>
        </w:rPr>
        <w:t xml:space="preserve">Characterisation of the passive permeability barrier of nuclear pore complexes. The EMBO Journal. </w:t>
      </w:r>
      <w:hyperlink r:id="rId94" w:history="1">
        <w:r>
          <w:rPr>
            <w:color w:val="087B78"/>
            <w:sz w:val="20"/>
            <w:szCs w:val="20"/>
            <w:u w:val="single"/>
          </w:rPr>
          <w:t>10.1038/emboj.2009.200</w:t>
        </w:r>
      </w:hyperlink>
    </w:p>
    <w:p w14:paraId="02A0D27A" w14:textId="67220A10" w:rsidR="00AA07BE" w:rsidRDefault="00557E1F">
      <w:pPr>
        <w:keepLines/>
        <w:spacing w:after="90" w:line="245" w:lineRule="auto"/>
      </w:pPr>
      <w:r>
        <w:rPr>
          <w:b/>
          <w:bCs/>
          <w:sz w:val="20"/>
          <w:szCs w:val="20"/>
        </w:rPr>
        <w:t xml:space="preserve">[12] Fabian Erdel, Michael Baum, Karsten Rippe (2015). </w:t>
      </w:r>
      <w:r>
        <w:rPr>
          <w:sz w:val="20"/>
          <w:szCs w:val="20"/>
        </w:rPr>
        <w:t xml:space="preserve">The viscoelastic properties of chromatin and the nucleoplasm revealed by scale-dependent protein mobility. Journal of Physics: Condensed Matter. </w:t>
      </w:r>
      <w:hyperlink r:id="rId95" w:history="1">
        <w:r>
          <w:rPr>
            <w:color w:val="087B78"/>
            <w:sz w:val="20"/>
            <w:szCs w:val="20"/>
            <w:u w:val="single"/>
          </w:rPr>
          <w:t>10.1088/0953-8984/27/6/064115</w:t>
        </w:r>
      </w:hyperlink>
    </w:p>
    <w:p w14:paraId="6EB736F5" w14:textId="49BD14EF" w:rsidR="00AA07BE" w:rsidRDefault="00557E1F">
      <w:pPr>
        <w:keepLines/>
        <w:spacing w:after="90" w:line="245" w:lineRule="auto"/>
      </w:pPr>
      <w:r>
        <w:rPr>
          <w:b/>
          <w:bCs/>
          <w:sz w:val="20"/>
          <w:szCs w:val="20"/>
        </w:rPr>
        <w:t xml:space="preserve">[13] Aurélien Bancaud, Sébastien Huet, Nathalie Daigle et al. (2009). </w:t>
      </w:r>
      <w:r>
        <w:rPr>
          <w:sz w:val="20"/>
          <w:szCs w:val="20"/>
        </w:rPr>
        <w:t xml:space="preserve">Molecular crowding affects diffusion and binding of nuclear proteins in heterochromatin and reveals the fractal organization of chromatin. The EMBO Journal. </w:t>
      </w:r>
      <w:hyperlink r:id="rId96" w:history="1">
        <w:r>
          <w:rPr>
            <w:color w:val="087B78"/>
            <w:sz w:val="20"/>
            <w:szCs w:val="20"/>
            <w:u w:val="single"/>
          </w:rPr>
          <w:t>10.1038/emboj.2009.340</w:t>
        </w:r>
      </w:hyperlink>
    </w:p>
    <w:p w14:paraId="05C44E65" w14:textId="211D20D7" w:rsidR="00AA07BE" w:rsidRDefault="00557E1F">
      <w:pPr>
        <w:keepLines/>
        <w:spacing w:after="90" w:line="245" w:lineRule="auto"/>
      </w:pPr>
      <w:r>
        <w:rPr>
          <w:b/>
          <w:bCs/>
          <w:sz w:val="20"/>
          <w:szCs w:val="20"/>
        </w:rPr>
        <w:t xml:space="preserve">[14] Anders S. Hansen, Maxime Woringer, Jonathan B. Grimm et al. (2018). </w:t>
      </w:r>
      <w:r>
        <w:rPr>
          <w:sz w:val="20"/>
          <w:szCs w:val="20"/>
        </w:rPr>
        <w:t xml:space="preserve">Robust model-based analysis of single-particle tracking experiments with Spot-On. eLife. </w:t>
      </w:r>
      <w:hyperlink r:id="rId97" w:history="1">
        <w:r>
          <w:rPr>
            <w:color w:val="087B78"/>
            <w:sz w:val="20"/>
            <w:szCs w:val="20"/>
            <w:u w:val="single"/>
          </w:rPr>
          <w:t>10.7554/eLife.33125</w:t>
        </w:r>
      </w:hyperlink>
    </w:p>
    <w:p w14:paraId="570026C5" w14:textId="0B2167C3" w:rsidR="00AA07BE" w:rsidRDefault="00557E1F">
      <w:pPr>
        <w:keepLines/>
        <w:spacing w:after="90" w:line="245" w:lineRule="auto"/>
      </w:pPr>
      <w:r>
        <w:rPr>
          <w:b/>
          <w:bCs/>
          <w:sz w:val="20"/>
          <w:szCs w:val="20"/>
        </w:rPr>
        <w:t xml:space="preserve">[15] Alberto Elosegui-Artola, Ion Andreu, Amy E. M. Beedle et al. (2017). </w:t>
      </w:r>
      <w:r>
        <w:rPr>
          <w:sz w:val="20"/>
          <w:szCs w:val="20"/>
        </w:rPr>
        <w:t xml:space="preserve">Force Triggers YAP Nuclear Entry by Regulating Transport across Nuclear Pores. Cell. </w:t>
      </w:r>
      <w:hyperlink r:id="rId98" w:history="1">
        <w:r>
          <w:rPr>
            <w:color w:val="087B78"/>
            <w:sz w:val="20"/>
            <w:szCs w:val="20"/>
            <w:u w:val="single"/>
          </w:rPr>
          <w:t>10.1016/j.cell.2017.10.008</w:t>
        </w:r>
      </w:hyperlink>
    </w:p>
    <w:p w14:paraId="3BDC489B" w14:textId="7349FCF4" w:rsidR="00AA07BE" w:rsidRDefault="00557E1F">
      <w:pPr>
        <w:keepLines/>
        <w:spacing w:after="90" w:line="245" w:lineRule="auto"/>
      </w:pPr>
      <w:r>
        <w:rPr>
          <w:b/>
          <w:bCs/>
          <w:sz w:val="20"/>
          <w:szCs w:val="20"/>
        </w:rPr>
        <w:t xml:space="preserve">[16] Fazlur Rashid, Sadia Amin Kabbo, Ning Wang (2024). </w:t>
      </w:r>
      <w:r>
        <w:rPr>
          <w:sz w:val="20"/>
          <w:szCs w:val="20"/>
        </w:rPr>
        <w:t xml:space="preserve">Mechanomemory of nucleoplasm and RNA polymerase II after chromatin stretching by a microinjected magnetic nanoparticle force. Cell Reports. </w:t>
      </w:r>
      <w:hyperlink r:id="rId99" w:history="1">
        <w:r>
          <w:rPr>
            <w:color w:val="087B78"/>
            <w:sz w:val="20"/>
            <w:szCs w:val="20"/>
            <w:u w:val="single"/>
          </w:rPr>
          <w:t>10.1016/j.celrep.2024.114462</w:t>
        </w:r>
      </w:hyperlink>
    </w:p>
    <w:p w14:paraId="0CDA3183" w14:textId="00359645" w:rsidR="00AA07BE" w:rsidRDefault="00557E1F">
      <w:pPr>
        <w:keepLines/>
        <w:spacing w:after="90" w:line="245" w:lineRule="auto"/>
      </w:pPr>
      <w:r>
        <w:rPr>
          <w:b/>
          <w:bCs/>
          <w:sz w:val="20"/>
          <w:szCs w:val="20"/>
        </w:rPr>
        <w:t xml:space="preserve">[17] Kimberly J. Morgan, Emma Carley, Alyssa N. Coyne, Jeffrey D. Rothstein, C. Patrick Lusk, Megan C. King (2025). </w:t>
      </w:r>
      <w:r>
        <w:rPr>
          <w:sz w:val="20"/>
          <w:szCs w:val="20"/>
        </w:rPr>
        <w:t xml:space="preserve">Visualizing nuclear pore complex plasticity with pan-expansion microscopy. Journal of Cell Biology. </w:t>
      </w:r>
      <w:hyperlink r:id="rId100" w:history="1">
        <w:r>
          <w:rPr>
            <w:color w:val="087B78"/>
            <w:sz w:val="20"/>
            <w:szCs w:val="20"/>
            <w:u w:val="single"/>
          </w:rPr>
          <w:t>10.1083/jcb.202409120</w:t>
        </w:r>
      </w:hyperlink>
    </w:p>
    <w:p w14:paraId="29AA21D8" w14:textId="77777777" w:rsidR="00AA07BE" w:rsidRDefault="00557E1F">
      <w:pPr>
        <w:pStyle w:val="Heading1"/>
      </w:pPr>
      <w:bookmarkStart w:id="12" w:name="_Toc242668396"/>
      <w:r>
        <w:t>Evidence scope</w:t>
      </w:r>
      <w:bookmarkEnd w:id="12"/>
    </w:p>
    <w:p w14:paraId="7EE1183B" w14:textId="77777777" w:rsidR="00AA07BE" w:rsidRDefault="00557E1F">
      <w:pPr>
        <w:keepLines/>
        <w:spacing w:after="160" w:line="270" w:lineRule="auto"/>
      </w:pPr>
      <w:r>
        <w:t>This review integrates published primary research with a foundational methods review where needed. Source access ranges from primary abstracts to the selected main Results and Methods identified in each reference record. It is a scholarly synthesis rather than an independent reanalysis of experimental data. Conclusions retain the biological system, measurement scale and model assumptions of the cited studies.</w:t>
      </w:r>
    </w:p>
    <w:sectPr w:rsidR="00AA07BE">
      <w:headerReference w:type="default" r:id="rId101"/>
      <w:footerReference w:type="default" r:id="rId102"/>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65A0A" w14:textId="77777777" w:rsidR="00557E1F" w:rsidRDefault="00557E1F">
      <w:pPr>
        <w:spacing w:after="0" w:line="240" w:lineRule="auto"/>
      </w:pPr>
      <w:r>
        <w:separator/>
      </w:r>
    </w:p>
  </w:endnote>
  <w:endnote w:type="continuationSeparator" w:id="0">
    <w:p w14:paraId="45046EF4" w14:textId="77777777" w:rsidR="00557E1F" w:rsidRDefault="00557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523D" w14:textId="77777777" w:rsidR="00AA07BE" w:rsidRDefault="00557E1F">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E37D38">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E37D38">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2FD14" w14:textId="77777777" w:rsidR="00557E1F" w:rsidRDefault="00557E1F">
      <w:pPr>
        <w:spacing w:after="0" w:line="240" w:lineRule="auto"/>
      </w:pPr>
      <w:r>
        <w:separator/>
      </w:r>
    </w:p>
  </w:footnote>
  <w:footnote w:type="continuationSeparator" w:id="0">
    <w:p w14:paraId="022AAE81" w14:textId="77777777" w:rsidR="00557E1F" w:rsidRDefault="00557E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0A74" w14:textId="77777777" w:rsidR="00AA07BE" w:rsidRDefault="00557E1F">
    <w:pPr>
      <w:pBdr>
        <w:bottom w:val="single" w:sz="4" w:space="0" w:color="B8D1D0"/>
      </w:pBdr>
    </w:pPr>
    <w:r>
      <w:rPr>
        <w:color w:val="527077"/>
        <w:sz w:val="17"/>
        <w:szCs w:val="17"/>
      </w:rPr>
      <w:t>Nuclear Transport and Compartment Dynamics: Gates, Search and Processing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0F26"/>
    <w:multiLevelType w:val="hybridMultilevel"/>
    <w:tmpl w:val="7FE28462"/>
    <w:lvl w:ilvl="0" w:tplc="1A5A3248">
      <w:start w:val="1"/>
      <w:numFmt w:val="bullet"/>
      <w:lvlText w:val="●"/>
      <w:lvlJc w:val="left"/>
      <w:pPr>
        <w:ind w:left="720" w:hanging="360"/>
      </w:pPr>
    </w:lvl>
    <w:lvl w:ilvl="1" w:tplc="73003936">
      <w:start w:val="1"/>
      <w:numFmt w:val="bullet"/>
      <w:lvlText w:val="○"/>
      <w:lvlJc w:val="left"/>
      <w:pPr>
        <w:ind w:left="1440" w:hanging="360"/>
      </w:pPr>
    </w:lvl>
    <w:lvl w:ilvl="2" w:tplc="2A7AE97E">
      <w:start w:val="1"/>
      <w:numFmt w:val="bullet"/>
      <w:lvlText w:val="■"/>
      <w:lvlJc w:val="left"/>
      <w:pPr>
        <w:ind w:left="2160" w:hanging="360"/>
      </w:pPr>
    </w:lvl>
    <w:lvl w:ilvl="3" w:tplc="4AB223E6">
      <w:start w:val="1"/>
      <w:numFmt w:val="bullet"/>
      <w:lvlText w:val="●"/>
      <w:lvlJc w:val="left"/>
      <w:pPr>
        <w:ind w:left="2880" w:hanging="360"/>
      </w:pPr>
    </w:lvl>
    <w:lvl w:ilvl="4" w:tplc="AFD64C20">
      <w:start w:val="1"/>
      <w:numFmt w:val="bullet"/>
      <w:lvlText w:val="○"/>
      <w:lvlJc w:val="left"/>
      <w:pPr>
        <w:ind w:left="3600" w:hanging="360"/>
      </w:pPr>
    </w:lvl>
    <w:lvl w:ilvl="5" w:tplc="BF363168">
      <w:start w:val="1"/>
      <w:numFmt w:val="bullet"/>
      <w:lvlText w:val="■"/>
      <w:lvlJc w:val="left"/>
      <w:pPr>
        <w:ind w:left="4320" w:hanging="360"/>
      </w:pPr>
    </w:lvl>
    <w:lvl w:ilvl="6" w:tplc="BD785CB8">
      <w:start w:val="1"/>
      <w:numFmt w:val="bullet"/>
      <w:lvlText w:val="●"/>
      <w:lvlJc w:val="left"/>
      <w:pPr>
        <w:ind w:left="5040" w:hanging="360"/>
      </w:pPr>
    </w:lvl>
    <w:lvl w:ilvl="7" w:tplc="7FE058BA">
      <w:start w:val="1"/>
      <w:numFmt w:val="bullet"/>
      <w:lvlText w:val="●"/>
      <w:lvlJc w:val="left"/>
      <w:pPr>
        <w:ind w:left="5760" w:hanging="360"/>
      </w:pPr>
    </w:lvl>
    <w:lvl w:ilvl="8" w:tplc="595C877C">
      <w:start w:val="1"/>
      <w:numFmt w:val="bullet"/>
      <w:lvlText w:val="●"/>
      <w:lvlJc w:val="left"/>
      <w:pPr>
        <w:ind w:left="6480" w:hanging="360"/>
      </w:pPr>
    </w:lvl>
  </w:abstractNum>
  <w:abstractNum w:abstractNumId="1" w15:restartNumberingAfterBreak="0">
    <w:nsid w:val="5490558A"/>
    <w:multiLevelType w:val="hybridMultilevel"/>
    <w:tmpl w:val="918ACB0C"/>
    <w:lvl w:ilvl="0" w:tplc="3F94665A">
      <w:start w:val="1"/>
      <w:numFmt w:val="bullet"/>
      <w:lvlText w:val="•"/>
      <w:lvlJc w:val="left"/>
      <w:pPr>
        <w:ind w:left="340" w:hanging="170"/>
      </w:pPr>
    </w:lvl>
    <w:lvl w:ilvl="1" w:tplc="FD2E6332">
      <w:numFmt w:val="decimal"/>
      <w:lvlText w:val=""/>
      <w:lvlJc w:val="left"/>
    </w:lvl>
    <w:lvl w:ilvl="2" w:tplc="DB282BE2">
      <w:numFmt w:val="decimal"/>
      <w:lvlText w:val=""/>
      <w:lvlJc w:val="left"/>
    </w:lvl>
    <w:lvl w:ilvl="3" w:tplc="F9802470">
      <w:numFmt w:val="decimal"/>
      <w:lvlText w:val=""/>
      <w:lvlJc w:val="left"/>
    </w:lvl>
    <w:lvl w:ilvl="4" w:tplc="59A2120E">
      <w:numFmt w:val="decimal"/>
      <w:lvlText w:val=""/>
      <w:lvlJc w:val="left"/>
    </w:lvl>
    <w:lvl w:ilvl="5" w:tplc="1A0826C4">
      <w:numFmt w:val="decimal"/>
      <w:lvlText w:val=""/>
      <w:lvlJc w:val="left"/>
    </w:lvl>
    <w:lvl w:ilvl="6" w:tplc="A826601A">
      <w:numFmt w:val="decimal"/>
      <w:lvlText w:val=""/>
      <w:lvlJc w:val="left"/>
    </w:lvl>
    <w:lvl w:ilvl="7" w:tplc="5154762C">
      <w:numFmt w:val="decimal"/>
      <w:lvlText w:val=""/>
      <w:lvlJc w:val="left"/>
    </w:lvl>
    <w:lvl w:ilvl="8" w:tplc="FE5234FE">
      <w:numFmt w:val="decimal"/>
      <w:lvlText w:val=""/>
      <w:lvlJc w:val="left"/>
    </w:lvl>
  </w:abstractNum>
  <w:num w:numId="1" w16cid:durableId="1950580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7BE"/>
    <w:rsid w:val="00557E1F"/>
    <w:rsid w:val="00685F5C"/>
    <w:rsid w:val="00AA07BE"/>
    <w:rsid w:val="00E37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B10BAF"/>
  <w15:docId w15:val="{EB3C62B7-7843-48D7-A46B-F12E9EB81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E37D3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83/jcb.201601004" TargetMode="External"/><Relationship Id="rId21" Type="http://schemas.openxmlformats.org/officeDocument/2006/relationships/hyperlink" Target="https://doi.org/10.1016/j.molcel.2024.11.038" TargetMode="External"/><Relationship Id="rId42" Type="http://schemas.openxmlformats.org/officeDocument/2006/relationships/hyperlink" Target="https://doi.org/10.1529/biophysj.103.026765" TargetMode="External"/><Relationship Id="rId47" Type="http://schemas.openxmlformats.org/officeDocument/2006/relationships/hyperlink" Target="https://doi.org/10.1016/j.cell.2016.04.047" TargetMode="External"/><Relationship Id="rId63" Type="http://schemas.openxmlformats.org/officeDocument/2006/relationships/hyperlink" Target="https://doi.org/10.1083/jcb.201601004" TargetMode="External"/><Relationship Id="rId68" Type="http://schemas.openxmlformats.org/officeDocument/2006/relationships/hyperlink" Target="https://doi.org/10.1371/journal.pone.0005041" TargetMode="External"/><Relationship Id="rId84" Type="http://schemas.openxmlformats.org/officeDocument/2006/relationships/hyperlink" Target="https://doi.org/10.1083/jcb.201601004" TargetMode="External"/><Relationship Id="rId89" Type="http://schemas.openxmlformats.org/officeDocument/2006/relationships/hyperlink" Target="https://doi.org/10.1016/j.cell.2016.04.047" TargetMode="External"/><Relationship Id="rId16" Type="http://schemas.openxmlformats.org/officeDocument/2006/relationships/hyperlink" Target="https://doi.org/10.1038/s41586-025-09207-4" TargetMode="External"/><Relationship Id="rId11" Type="http://schemas.openxmlformats.org/officeDocument/2006/relationships/hyperlink" Target="https://doi.org/10.1529/biophysj.103.026765" TargetMode="External"/><Relationship Id="rId32" Type="http://schemas.openxmlformats.org/officeDocument/2006/relationships/hyperlink" Target="https://doi.org/10.1083/jcb.201601004" TargetMode="External"/><Relationship Id="rId37" Type="http://schemas.openxmlformats.org/officeDocument/2006/relationships/hyperlink" Target="https://doi.org/10.1101/gad.2040611" TargetMode="External"/><Relationship Id="rId53" Type="http://schemas.openxmlformats.org/officeDocument/2006/relationships/hyperlink" Target="https://doi.org/10.1038/s41556-025-01812-9" TargetMode="External"/><Relationship Id="rId58" Type="http://schemas.openxmlformats.org/officeDocument/2006/relationships/hyperlink" Target="https://doi.org/10.1016/j.celrep.2024.114462" TargetMode="External"/><Relationship Id="rId74" Type="http://schemas.openxmlformats.org/officeDocument/2006/relationships/hyperlink" Target="https://doi.org/10.1101/gad.2040611" TargetMode="External"/><Relationship Id="rId79" Type="http://schemas.openxmlformats.org/officeDocument/2006/relationships/hyperlink" Target="https://doi.org/10.1016/j.molcel.2024.11.038" TargetMode="External"/><Relationship Id="rId102" Type="http://schemas.openxmlformats.org/officeDocument/2006/relationships/footer" Target="footer1.xml"/><Relationship Id="rId5" Type="http://schemas.openxmlformats.org/officeDocument/2006/relationships/footnotes" Target="footnotes.xml"/><Relationship Id="rId90" Type="http://schemas.openxmlformats.org/officeDocument/2006/relationships/hyperlink" Target="https://doi.org/10.1038/s41586-025-09207-4" TargetMode="External"/><Relationship Id="rId95" Type="http://schemas.openxmlformats.org/officeDocument/2006/relationships/hyperlink" Target="https://doi.org/10.1088/0953-8984/27/6/064115" TargetMode="External"/><Relationship Id="rId22" Type="http://schemas.openxmlformats.org/officeDocument/2006/relationships/hyperlink" Target="https://doi.org/10.1038/s41586-025-09207-4" TargetMode="External"/><Relationship Id="rId27" Type="http://schemas.openxmlformats.org/officeDocument/2006/relationships/hyperlink" Target="https://doi.org/10.1038/emboj.2009.200" TargetMode="External"/><Relationship Id="rId43" Type="http://schemas.openxmlformats.org/officeDocument/2006/relationships/hyperlink" Target="https://doi.org/10.7554/eLife.33125" TargetMode="External"/><Relationship Id="rId48" Type="http://schemas.openxmlformats.org/officeDocument/2006/relationships/hyperlink" Target="https://doi.org/10.1038/s41586-025-09207-4" TargetMode="External"/><Relationship Id="rId64" Type="http://schemas.openxmlformats.org/officeDocument/2006/relationships/hyperlink" Target="https://doi.org/10.1038/emboj.2009.200" TargetMode="External"/><Relationship Id="rId69" Type="http://schemas.openxmlformats.org/officeDocument/2006/relationships/hyperlink" Target="https://doi.org/10.1529/biophysj.103.026765" TargetMode="External"/><Relationship Id="rId80" Type="http://schemas.openxmlformats.org/officeDocument/2006/relationships/hyperlink" Target="https://doi.org/10.1038/s41586-025-09207-4" TargetMode="External"/><Relationship Id="rId85" Type="http://schemas.openxmlformats.org/officeDocument/2006/relationships/hyperlink" Target="https://doi.org/10.1093/emboj/16.21.6535" TargetMode="External"/><Relationship Id="rId12" Type="http://schemas.openxmlformats.org/officeDocument/2006/relationships/hyperlink" Target="https://doi.org/10.1016/j.cell.2016.04.047" TargetMode="External"/><Relationship Id="rId17" Type="http://schemas.openxmlformats.org/officeDocument/2006/relationships/hyperlink" Target="https://doi.org/10.1038/s41467-025-62605-0" TargetMode="External"/><Relationship Id="rId25" Type="http://schemas.openxmlformats.org/officeDocument/2006/relationships/hyperlink" Target="https://doi.org/10.1016/j.cell.2016.04.047" TargetMode="External"/><Relationship Id="rId33" Type="http://schemas.openxmlformats.org/officeDocument/2006/relationships/hyperlink" Target="https://doi.org/10.1038/s41556-025-01812-9" TargetMode="External"/><Relationship Id="rId38" Type="http://schemas.openxmlformats.org/officeDocument/2006/relationships/hyperlink" Target="https://doi.org/10.1371/journal.pone.0005041" TargetMode="External"/><Relationship Id="rId46" Type="http://schemas.openxmlformats.org/officeDocument/2006/relationships/hyperlink" Target="https://doi.org/10.1016/j.cell.2016.04.047" TargetMode="External"/><Relationship Id="rId59" Type="http://schemas.openxmlformats.org/officeDocument/2006/relationships/hyperlink" Target="https://doi.org/10.1038/s41467-025-62605-0" TargetMode="External"/><Relationship Id="rId67" Type="http://schemas.openxmlformats.org/officeDocument/2006/relationships/hyperlink" Target="https://doi.org/10.1101/gad.2040611" TargetMode="External"/><Relationship Id="rId103" Type="http://schemas.openxmlformats.org/officeDocument/2006/relationships/fontTable" Target="fontTable.xml"/><Relationship Id="rId20" Type="http://schemas.openxmlformats.org/officeDocument/2006/relationships/hyperlink" Target="https://doi.org/10.1371/journal.pone.0005041" TargetMode="External"/><Relationship Id="rId41" Type="http://schemas.openxmlformats.org/officeDocument/2006/relationships/hyperlink" Target="https://doi.org/10.1529/biophysj.103.026765" TargetMode="External"/><Relationship Id="rId54" Type="http://schemas.openxmlformats.org/officeDocument/2006/relationships/hyperlink" Target="https://doi.org/10.1093/emboj/16.21.6535" TargetMode="External"/><Relationship Id="rId62" Type="http://schemas.openxmlformats.org/officeDocument/2006/relationships/hyperlink" Target="https://doi.org/10.1093/emboj/16.21.6535" TargetMode="External"/><Relationship Id="rId70" Type="http://schemas.openxmlformats.org/officeDocument/2006/relationships/hyperlink" Target="https://doi.org/10.7554/eLife.33125" TargetMode="External"/><Relationship Id="rId75" Type="http://schemas.openxmlformats.org/officeDocument/2006/relationships/hyperlink" Target="https://doi.org/10.1529/biophysj.103.026765" TargetMode="External"/><Relationship Id="rId83" Type="http://schemas.openxmlformats.org/officeDocument/2006/relationships/hyperlink" Target="https://doi.org/10.1101/gad.2040611" TargetMode="External"/><Relationship Id="rId88" Type="http://schemas.openxmlformats.org/officeDocument/2006/relationships/hyperlink" Target="https://doi.org/10.1529/biophysj.103.026765" TargetMode="External"/><Relationship Id="rId91" Type="http://schemas.openxmlformats.org/officeDocument/2006/relationships/hyperlink" Target="https://doi.org/10.1038/s41556-025-01812-9" TargetMode="External"/><Relationship Id="rId96" Type="http://schemas.openxmlformats.org/officeDocument/2006/relationships/hyperlink" Target="https://doi.org/10.1038/emboj.2009.34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molcel.2024.11.038" TargetMode="External"/><Relationship Id="rId23" Type="http://schemas.openxmlformats.org/officeDocument/2006/relationships/hyperlink" Target="https://doi.org/10.1371/journal.pone.0005041" TargetMode="External"/><Relationship Id="rId28" Type="http://schemas.openxmlformats.org/officeDocument/2006/relationships/hyperlink" Target="https://doi.org/10.1093/emboj/16.21.6535" TargetMode="External"/><Relationship Id="rId36" Type="http://schemas.openxmlformats.org/officeDocument/2006/relationships/hyperlink" Target="https://doi.org/10.1038/s41586-025-09207-4" TargetMode="External"/><Relationship Id="rId49" Type="http://schemas.openxmlformats.org/officeDocument/2006/relationships/hyperlink" Target="https://doi.org/10.1016/j.cell.2016.04.047" TargetMode="External"/><Relationship Id="rId57" Type="http://schemas.openxmlformats.org/officeDocument/2006/relationships/hyperlink" Target="https://doi.org/10.1016/j.cell.2017.10.008" TargetMode="External"/><Relationship Id="rId10" Type="http://schemas.openxmlformats.org/officeDocument/2006/relationships/hyperlink" Target="https://doi.org/10.1371/journal.pone.0005041" TargetMode="External"/><Relationship Id="rId31" Type="http://schemas.openxmlformats.org/officeDocument/2006/relationships/hyperlink" Target="https://doi.org/10.1093/emboj/16.21.6535" TargetMode="External"/><Relationship Id="rId44" Type="http://schemas.openxmlformats.org/officeDocument/2006/relationships/hyperlink" Target="https://doi.org/10.1016/j.cell.2016.04.047" TargetMode="External"/><Relationship Id="rId52" Type="http://schemas.openxmlformats.org/officeDocument/2006/relationships/hyperlink" Target="https://doi.org/10.1038/s41586-025-09207-4" TargetMode="External"/><Relationship Id="rId60" Type="http://schemas.openxmlformats.org/officeDocument/2006/relationships/hyperlink" Target="https://doi.org/10.1016/j.molcel.2024.11.038" TargetMode="External"/><Relationship Id="rId65" Type="http://schemas.openxmlformats.org/officeDocument/2006/relationships/hyperlink" Target="https://doi.org/10.1093/emboj/16.21.6535" TargetMode="External"/><Relationship Id="rId73" Type="http://schemas.openxmlformats.org/officeDocument/2006/relationships/hyperlink" Target="https://doi.org/10.1093/emboj/16.21.6535" TargetMode="External"/><Relationship Id="rId78" Type="http://schemas.openxmlformats.org/officeDocument/2006/relationships/hyperlink" Target="https://doi.org/10.1038/s41556-025-01812-9" TargetMode="External"/><Relationship Id="rId81" Type="http://schemas.openxmlformats.org/officeDocument/2006/relationships/hyperlink" Target="https://doi.org/10.1038/s41467-025-62605-0" TargetMode="External"/><Relationship Id="rId86" Type="http://schemas.openxmlformats.org/officeDocument/2006/relationships/hyperlink" Target="https://doi.org/10.1101/gad.2040611" TargetMode="External"/><Relationship Id="rId94" Type="http://schemas.openxmlformats.org/officeDocument/2006/relationships/hyperlink" Target="https://doi.org/10.1038/emboj.2009.200" TargetMode="External"/><Relationship Id="rId99" Type="http://schemas.openxmlformats.org/officeDocument/2006/relationships/hyperlink" Target="https://doi.org/10.1016/j.celrep.2024.114462" TargetMode="External"/><Relationship Id="rId10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101/gad.2040611" TargetMode="External"/><Relationship Id="rId13" Type="http://schemas.openxmlformats.org/officeDocument/2006/relationships/hyperlink" Target="https://doi.org/10.1038/s41586-025-09207-4" TargetMode="External"/><Relationship Id="rId18" Type="http://schemas.openxmlformats.org/officeDocument/2006/relationships/hyperlink" Target="https://doi.org/10.1093/emboj/16.21.6535" TargetMode="External"/><Relationship Id="rId39" Type="http://schemas.openxmlformats.org/officeDocument/2006/relationships/hyperlink" Target="https://doi.org/10.1088/0953-8984/27/6/064115" TargetMode="External"/><Relationship Id="rId34" Type="http://schemas.openxmlformats.org/officeDocument/2006/relationships/hyperlink" Target="https://doi.org/10.1101/gad.2040611" TargetMode="External"/><Relationship Id="rId50" Type="http://schemas.openxmlformats.org/officeDocument/2006/relationships/hyperlink" Target="https://doi.org/10.1529/biophysj.103.026765" TargetMode="External"/><Relationship Id="rId55" Type="http://schemas.openxmlformats.org/officeDocument/2006/relationships/hyperlink" Target="https://doi.org/10.1101/gad.2040611" TargetMode="External"/><Relationship Id="rId76" Type="http://schemas.openxmlformats.org/officeDocument/2006/relationships/hyperlink" Target="https://doi.org/10.1038/s41586-025-09207-4" TargetMode="External"/><Relationship Id="rId97" Type="http://schemas.openxmlformats.org/officeDocument/2006/relationships/hyperlink" Target="https://doi.org/10.7554/eLife.33125" TargetMode="External"/><Relationship Id="rId104" Type="http://schemas.openxmlformats.org/officeDocument/2006/relationships/theme" Target="theme/theme1.xml"/><Relationship Id="rId7" Type="http://schemas.openxmlformats.org/officeDocument/2006/relationships/hyperlink" Target="https://doi.org/10.1083/jcb.201601004" TargetMode="External"/><Relationship Id="rId71" Type="http://schemas.openxmlformats.org/officeDocument/2006/relationships/hyperlink" Target="https://doi.org/10.1038/s41586-025-09207-4" TargetMode="External"/><Relationship Id="rId92" Type="http://schemas.openxmlformats.org/officeDocument/2006/relationships/hyperlink" Target="https://doi.org/10.1016/j.molcel.2024.11.038" TargetMode="External"/><Relationship Id="rId2" Type="http://schemas.openxmlformats.org/officeDocument/2006/relationships/styles" Target="styles.xml"/><Relationship Id="rId29" Type="http://schemas.openxmlformats.org/officeDocument/2006/relationships/hyperlink" Target="https://doi.org/10.1083/jcb.201601004" TargetMode="External"/><Relationship Id="rId24" Type="http://schemas.openxmlformats.org/officeDocument/2006/relationships/hyperlink" Target="https://doi.org/10.1529/biophysj.103.026765" TargetMode="External"/><Relationship Id="rId40" Type="http://schemas.openxmlformats.org/officeDocument/2006/relationships/hyperlink" Target="https://doi.org/10.1038/emboj.2009.340" TargetMode="External"/><Relationship Id="rId45" Type="http://schemas.openxmlformats.org/officeDocument/2006/relationships/hyperlink" Target="https://doi.org/10.1038/s41586-025-09207-4" TargetMode="External"/><Relationship Id="rId66" Type="http://schemas.openxmlformats.org/officeDocument/2006/relationships/hyperlink" Target="https://doi.org/10.1101/gad.2040611" TargetMode="External"/><Relationship Id="rId87" Type="http://schemas.openxmlformats.org/officeDocument/2006/relationships/hyperlink" Target="https://doi.org/10.1371/journal.pone.0005041" TargetMode="External"/><Relationship Id="rId61" Type="http://schemas.openxmlformats.org/officeDocument/2006/relationships/hyperlink" Target="https://doi.org/10.1083/jcb.201601004" TargetMode="External"/><Relationship Id="rId82" Type="http://schemas.openxmlformats.org/officeDocument/2006/relationships/hyperlink" Target="https://doi.org/10.1371/journal.pone.0005041" TargetMode="External"/><Relationship Id="rId19" Type="http://schemas.openxmlformats.org/officeDocument/2006/relationships/hyperlink" Target="https://doi.org/10.1101/gad.2040611" TargetMode="External"/><Relationship Id="rId14" Type="http://schemas.openxmlformats.org/officeDocument/2006/relationships/hyperlink" Target="https://doi.org/10.1038/s41556-025-01812-9" TargetMode="External"/><Relationship Id="rId30" Type="http://schemas.openxmlformats.org/officeDocument/2006/relationships/hyperlink" Target="https://doi.org/10.1529/biophysj.103.026765" TargetMode="External"/><Relationship Id="rId35" Type="http://schemas.openxmlformats.org/officeDocument/2006/relationships/hyperlink" Target="https://doi.org/10.1093/emboj/16.21.6535" TargetMode="External"/><Relationship Id="rId56" Type="http://schemas.openxmlformats.org/officeDocument/2006/relationships/hyperlink" Target="https://doi.org/10.1529/biophysj.103.026765" TargetMode="External"/><Relationship Id="rId77" Type="http://schemas.openxmlformats.org/officeDocument/2006/relationships/hyperlink" Target="https://doi.org/10.1083/jcb.202409120" TargetMode="External"/><Relationship Id="rId100" Type="http://schemas.openxmlformats.org/officeDocument/2006/relationships/hyperlink" Target="https://doi.org/10.1083/jcb.202409120" TargetMode="External"/><Relationship Id="rId8" Type="http://schemas.openxmlformats.org/officeDocument/2006/relationships/hyperlink" Target="https://doi.org/10.1093/emboj/16.21.6535" TargetMode="External"/><Relationship Id="rId51" Type="http://schemas.openxmlformats.org/officeDocument/2006/relationships/hyperlink" Target="https://doi.org/10.1038/s41586-025-09207-4" TargetMode="External"/><Relationship Id="rId72" Type="http://schemas.openxmlformats.org/officeDocument/2006/relationships/hyperlink" Target="https://doi.org/10.1016/j.molcel.2024.11.038" TargetMode="External"/><Relationship Id="rId93" Type="http://schemas.openxmlformats.org/officeDocument/2006/relationships/hyperlink" Target="https://doi.org/10.1038/s41467-025-62605-0" TargetMode="External"/><Relationship Id="rId98" Type="http://schemas.openxmlformats.org/officeDocument/2006/relationships/hyperlink" Target="https://doi.org/10.1016/j.cell.2017.10.008"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2844</Words>
  <Characters>17984</Characters>
  <Application>Microsoft Office Word</Application>
  <DocSecurity>0</DocSecurity>
  <Lines>289</Lines>
  <Paragraphs>95</Paragraphs>
  <ScaleCrop>false</ScaleCrop>
  <Company/>
  <LinksUpToDate>false</LinksUpToDate>
  <CharactersWithSpaces>20731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Transport and Compartment Dynamics: Gates, Search and Processing</dc:title>
  <dc:subject>A unified review that preserves the distinction between boundary exchange and internal movement</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