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AD5B" w14:textId="77777777" w:rsidR="004B17AA" w:rsidRDefault="00A060E8">
      <w:pPr>
        <w:pStyle w:val="Title"/>
      </w:pPr>
      <w:r>
        <w:t>Nuclear Viscosity: Fluid Resistance, Structural Relaxation and Biological State</w:t>
      </w:r>
    </w:p>
    <w:p w14:paraId="57203A3F" w14:textId="77777777" w:rsidR="004B17AA" w:rsidRDefault="00A060E8">
      <w:pPr>
        <w:pStyle w:val="Subtitle"/>
      </w:pPr>
      <w:r>
        <w:t>A current account of what mobility and mechanical experiments measure</w:t>
      </w:r>
    </w:p>
    <w:p w14:paraId="0A6779F4" w14:textId="77777777" w:rsidR="004B17AA" w:rsidRDefault="00A060E8">
      <w:pPr>
        <w:spacing w:before="200" w:after="320"/>
      </w:pPr>
      <w:r>
        <w:rPr>
          <w:color w:val="087B78"/>
          <w:sz w:val="20"/>
          <w:szCs w:val="20"/>
        </w:rPr>
        <w:t>CellNucleus · Current research review · 12 October 2026</w:t>
      </w:r>
    </w:p>
    <w:p w14:paraId="3EBE2ACE" w14:textId="77777777" w:rsidR="004B17AA" w:rsidRDefault="00A060E8">
      <w:pPr>
        <w:pStyle w:val="Heading1"/>
      </w:pPr>
      <w:bookmarkStart w:id="0" w:name="_Toc242668387"/>
      <w:r>
        <w:t>Abstract</w:t>
      </w:r>
      <w:bookmarkEnd w:id="0"/>
    </w:p>
    <w:p w14:paraId="207CFE46" w14:textId="686D2FE6" w:rsidR="004B17AA" w:rsidRDefault="00A060E8">
      <w:r>
        <w:t>Nuclear viscosity is meaningful only after identifying the material, scale and inference model. Small soluble tracers, chromatin-bound proteins, reconstituted nucleolar droplets and whole nuclei experience different constraints. Their diffusion coefficients, recovery times, moduli and relaxation times are not interchangeable. Primary studies now resolve local force responses, frequency-dependent behavior and metabolic contributions alongside older molecular-mobility measurements. Together they support a het</w:t>
      </w:r>
      <w:r>
        <w:t>erogeneous nuclear interior with response that depends on probe coupling and biological state, rather than a single viscosity that characterizes every nuclear process.</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76338A4F" w14:textId="53598077" w:rsidR="004B17AA" w:rsidRDefault="00A060E8">
      <w:r>
        <w:t>This review distinguishes fluid viscosity from binding kinetics and composite mechanics, then explains how each can change during nuclear regulation. It retains the separation between living-cell observations and purified-material experiments. Recent work on targeted chromatin loading, isolated/live comparisons and active remodeling provides a framework for interpreting apparently conflicting descriptions of the nucleus. The useful question is which component resists motion or dissipates an imposed load, un</w:t>
      </w:r>
      <w:r>
        <w:t>der which conditions, and on which time scale.</w:t>
      </w:r>
      <w:hyperlink r:id="rId13" w:history="1">
        <w:r>
          <w:rPr>
            <w:color w:val="087B78"/>
            <w:sz w:val="18"/>
            <w:szCs w:val="18"/>
          </w:rPr>
          <w:t xml:space="preserve"> [7]</w:t>
        </w:r>
      </w:hyperlink>
      <w:hyperlink r:id="rId14" w:history="1">
        <w:r>
          <w:rPr>
            <w:color w:val="087B78"/>
            <w:sz w:val="18"/>
            <w:szCs w:val="18"/>
          </w:rPr>
          <w:t xml:space="preserve"> [8]</w:t>
        </w:r>
      </w:hyperlink>
      <w:hyperlink r:id="rId15" w:history="1">
        <w:r>
          <w:rPr>
            <w:color w:val="087B78"/>
            <w:sz w:val="18"/>
            <w:szCs w:val="18"/>
          </w:rPr>
          <w:t xml:space="preserve"> [4]</w:t>
        </w:r>
      </w:hyperlink>
      <w:hyperlink r:id="rId16" w:history="1">
        <w:r>
          <w:rPr>
            <w:color w:val="087B78"/>
            <w:sz w:val="18"/>
            <w:szCs w:val="18"/>
          </w:rPr>
          <w:t xml:space="preserve"> [5]</w:t>
        </w:r>
      </w:hyperlink>
      <w:hyperlink r:id="rId17" w:history="1">
        <w:r>
          <w:rPr>
            <w:color w:val="087B78"/>
            <w:sz w:val="18"/>
            <w:szCs w:val="18"/>
          </w:rPr>
          <w:t xml:space="preserve"> [6]</w:t>
        </w:r>
      </w:hyperlink>
    </w:p>
    <w:p w14:paraId="324DF275" w14:textId="77777777" w:rsidR="004B17AA" w:rsidRDefault="00A060E8">
      <w:pPr>
        <w:pageBreakBefore/>
        <w:spacing w:before="330"/>
      </w:pPr>
      <w:r>
        <w:rPr>
          <w:b/>
          <w:bCs/>
          <w:color w:val="173B4C"/>
          <w:sz w:val="32"/>
          <w:szCs w:val="32"/>
        </w:rPr>
        <w:lastRenderedPageBreak/>
        <w:t>Contents</w:t>
      </w:r>
    </w:p>
    <w:sdt>
      <w:sdtPr>
        <w:alias w:val="Contents"/>
        <w:id w:val="624198060"/>
      </w:sdtPr>
      <w:sdtEndPr/>
      <w:sdtContent>
        <w:p w14:paraId="77F1DA05" w14:textId="1280B777" w:rsidR="00AE540F" w:rsidRDefault="00A060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87" w:history="1">
            <w:r w:rsidR="00AE540F" w:rsidRPr="000211D8">
              <w:rPr>
                <w:rStyle w:val="Hyperlink"/>
                <w:noProof/>
              </w:rPr>
              <w:t>Abstract</w:t>
            </w:r>
            <w:r w:rsidR="00AE540F">
              <w:rPr>
                <w:noProof/>
              </w:rPr>
              <w:tab/>
            </w:r>
            <w:r w:rsidR="00AE540F">
              <w:rPr>
                <w:noProof/>
              </w:rPr>
              <w:fldChar w:fldCharType="begin"/>
            </w:r>
            <w:r w:rsidR="00AE540F">
              <w:rPr>
                <w:noProof/>
              </w:rPr>
              <w:instrText xml:space="preserve"> PAGEREF _Toc242668387 \h </w:instrText>
            </w:r>
            <w:r w:rsidR="00AE540F">
              <w:rPr>
                <w:noProof/>
              </w:rPr>
            </w:r>
            <w:r w:rsidR="00AE540F">
              <w:rPr>
                <w:noProof/>
              </w:rPr>
              <w:fldChar w:fldCharType="separate"/>
            </w:r>
            <w:r w:rsidR="00AE540F">
              <w:rPr>
                <w:noProof/>
              </w:rPr>
              <w:t>1</w:t>
            </w:r>
            <w:r w:rsidR="00AE540F">
              <w:rPr>
                <w:noProof/>
              </w:rPr>
              <w:fldChar w:fldCharType="end"/>
            </w:r>
          </w:hyperlink>
        </w:p>
        <w:p w14:paraId="1445F265" w14:textId="1415CE61"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8" w:history="1">
            <w:r w:rsidRPr="000211D8">
              <w:rPr>
                <w:rStyle w:val="Hyperlink"/>
                <w:noProof/>
              </w:rPr>
              <w:t>1. Define the quantity and its units</w:t>
            </w:r>
            <w:r>
              <w:rPr>
                <w:noProof/>
              </w:rPr>
              <w:tab/>
            </w:r>
            <w:r>
              <w:rPr>
                <w:noProof/>
              </w:rPr>
              <w:fldChar w:fldCharType="begin"/>
            </w:r>
            <w:r>
              <w:rPr>
                <w:noProof/>
              </w:rPr>
              <w:instrText xml:space="preserve"> PAGEREF _Toc242668388 \h </w:instrText>
            </w:r>
            <w:r>
              <w:rPr>
                <w:noProof/>
              </w:rPr>
            </w:r>
            <w:r>
              <w:rPr>
                <w:noProof/>
              </w:rPr>
              <w:fldChar w:fldCharType="separate"/>
            </w:r>
            <w:r>
              <w:rPr>
                <w:noProof/>
              </w:rPr>
              <w:t>2</w:t>
            </w:r>
            <w:r>
              <w:rPr>
                <w:noProof/>
              </w:rPr>
              <w:fldChar w:fldCharType="end"/>
            </w:r>
          </w:hyperlink>
        </w:p>
        <w:p w14:paraId="5A70DAD7" w14:textId="0EC24CD0"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9" w:history="1">
            <w:r w:rsidRPr="000211D8">
              <w:rPr>
                <w:rStyle w:val="Hyperlink"/>
                <w:noProof/>
              </w:rPr>
              <w:t>2. When diffusion can estimate viscosity</w:t>
            </w:r>
            <w:r>
              <w:rPr>
                <w:noProof/>
              </w:rPr>
              <w:tab/>
            </w:r>
            <w:r>
              <w:rPr>
                <w:noProof/>
              </w:rPr>
              <w:fldChar w:fldCharType="begin"/>
            </w:r>
            <w:r>
              <w:rPr>
                <w:noProof/>
              </w:rPr>
              <w:instrText xml:space="preserve"> PAGEREF _Toc242668389 \h </w:instrText>
            </w:r>
            <w:r>
              <w:rPr>
                <w:noProof/>
              </w:rPr>
            </w:r>
            <w:r>
              <w:rPr>
                <w:noProof/>
              </w:rPr>
              <w:fldChar w:fldCharType="separate"/>
            </w:r>
            <w:r>
              <w:rPr>
                <w:noProof/>
              </w:rPr>
              <w:t>3</w:t>
            </w:r>
            <w:r>
              <w:rPr>
                <w:noProof/>
              </w:rPr>
              <w:fldChar w:fldCharType="end"/>
            </w:r>
          </w:hyperlink>
        </w:p>
        <w:p w14:paraId="36885541" w14:textId="38ED49E0"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0" w:history="1">
            <w:r w:rsidRPr="000211D8">
              <w:rPr>
                <w:rStyle w:val="Hyperlink"/>
                <w:noProof/>
              </w:rPr>
              <w:t>3. Spatial scale changes the physical answer</w:t>
            </w:r>
            <w:r>
              <w:rPr>
                <w:noProof/>
              </w:rPr>
              <w:tab/>
            </w:r>
            <w:r>
              <w:rPr>
                <w:noProof/>
              </w:rPr>
              <w:fldChar w:fldCharType="begin"/>
            </w:r>
            <w:r>
              <w:rPr>
                <w:noProof/>
              </w:rPr>
              <w:instrText xml:space="preserve"> PAGEREF _Toc242668390 \h </w:instrText>
            </w:r>
            <w:r>
              <w:rPr>
                <w:noProof/>
              </w:rPr>
            </w:r>
            <w:r>
              <w:rPr>
                <w:noProof/>
              </w:rPr>
              <w:fldChar w:fldCharType="separate"/>
            </w:r>
            <w:r>
              <w:rPr>
                <w:noProof/>
              </w:rPr>
              <w:t>3</w:t>
            </w:r>
            <w:r>
              <w:rPr>
                <w:noProof/>
              </w:rPr>
              <w:fldChar w:fldCharType="end"/>
            </w:r>
          </w:hyperlink>
        </w:p>
        <w:p w14:paraId="273B6EB7" w14:textId="36AB43CB"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1" w:history="1">
            <w:r w:rsidRPr="000211D8">
              <w:rPr>
                <w:rStyle w:val="Hyperlink"/>
                <w:noProof/>
              </w:rPr>
              <w:t>4. Binding can imitate increased fluid resistance</w:t>
            </w:r>
            <w:r>
              <w:rPr>
                <w:noProof/>
              </w:rPr>
              <w:tab/>
            </w:r>
            <w:r>
              <w:rPr>
                <w:noProof/>
              </w:rPr>
              <w:fldChar w:fldCharType="begin"/>
            </w:r>
            <w:r>
              <w:rPr>
                <w:noProof/>
              </w:rPr>
              <w:instrText xml:space="preserve"> PAGEREF _Toc242668391 \h </w:instrText>
            </w:r>
            <w:r>
              <w:rPr>
                <w:noProof/>
              </w:rPr>
            </w:r>
            <w:r>
              <w:rPr>
                <w:noProof/>
              </w:rPr>
              <w:fldChar w:fldCharType="separate"/>
            </w:r>
            <w:r>
              <w:rPr>
                <w:noProof/>
              </w:rPr>
              <w:t>3</w:t>
            </w:r>
            <w:r>
              <w:rPr>
                <w:noProof/>
              </w:rPr>
              <w:fldChar w:fldCharType="end"/>
            </w:r>
          </w:hyperlink>
        </w:p>
        <w:p w14:paraId="2E131CA0" w14:textId="3CBAF530"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2" w:history="1">
            <w:r w:rsidRPr="000211D8">
              <w:rPr>
                <w:rStyle w:val="Hyperlink"/>
                <w:noProof/>
              </w:rPr>
              <w:t>5. Crowding, concentration and viscosity should be separated</w:t>
            </w:r>
            <w:r>
              <w:rPr>
                <w:noProof/>
              </w:rPr>
              <w:tab/>
            </w:r>
            <w:r>
              <w:rPr>
                <w:noProof/>
              </w:rPr>
              <w:fldChar w:fldCharType="begin"/>
            </w:r>
            <w:r>
              <w:rPr>
                <w:noProof/>
              </w:rPr>
              <w:instrText xml:space="preserve"> PAGEREF _Toc242668392 \h </w:instrText>
            </w:r>
            <w:r>
              <w:rPr>
                <w:noProof/>
              </w:rPr>
            </w:r>
            <w:r>
              <w:rPr>
                <w:noProof/>
              </w:rPr>
              <w:fldChar w:fldCharType="separate"/>
            </w:r>
            <w:r>
              <w:rPr>
                <w:noProof/>
              </w:rPr>
              <w:t>4</w:t>
            </w:r>
            <w:r>
              <w:rPr>
                <w:noProof/>
              </w:rPr>
              <w:fldChar w:fldCharType="end"/>
            </w:r>
          </w:hyperlink>
        </w:p>
        <w:p w14:paraId="2E3DFE2B" w14:textId="6D985B59"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3" w:history="1">
            <w:r w:rsidRPr="000211D8">
              <w:rPr>
                <w:rStyle w:val="Hyperlink"/>
                <w:noProof/>
              </w:rPr>
              <w:t>6. What the nucleolar droplet benchmark establishes</w:t>
            </w:r>
            <w:r>
              <w:rPr>
                <w:noProof/>
              </w:rPr>
              <w:tab/>
            </w:r>
            <w:r>
              <w:rPr>
                <w:noProof/>
              </w:rPr>
              <w:fldChar w:fldCharType="begin"/>
            </w:r>
            <w:r>
              <w:rPr>
                <w:noProof/>
              </w:rPr>
              <w:instrText xml:space="preserve"> PAGEREF _Toc242668393 \h </w:instrText>
            </w:r>
            <w:r>
              <w:rPr>
                <w:noProof/>
              </w:rPr>
            </w:r>
            <w:r>
              <w:rPr>
                <w:noProof/>
              </w:rPr>
              <w:fldChar w:fldCharType="separate"/>
            </w:r>
            <w:r>
              <w:rPr>
                <w:noProof/>
              </w:rPr>
              <w:t>4</w:t>
            </w:r>
            <w:r>
              <w:rPr>
                <w:noProof/>
              </w:rPr>
              <w:fldChar w:fldCharType="end"/>
            </w:r>
          </w:hyperlink>
        </w:p>
        <w:p w14:paraId="1B4C7B82" w14:textId="4717639B"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4" w:history="1">
            <w:r w:rsidRPr="000211D8">
              <w:rPr>
                <w:rStyle w:val="Hyperlink"/>
                <w:noProof/>
              </w:rPr>
              <w:t>7. Direct loading probes local viscoelastic response</w:t>
            </w:r>
            <w:r>
              <w:rPr>
                <w:noProof/>
              </w:rPr>
              <w:tab/>
            </w:r>
            <w:r>
              <w:rPr>
                <w:noProof/>
              </w:rPr>
              <w:fldChar w:fldCharType="begin"/>
            </w:r>
            <w:r>
              <w:rPr>
                <w:noProof/>
              </w:rPr>
              <w:instrText xml:space="preserve"> PAGEREF _Toc242668394 \h </w:instrText>
            </w:r>
            <w:r>
              <w:rPr>
                <w:noProof/>
              </w:rPr>
            </w:r>
            <w:r>
              <w:rPr>
                <w:noProof/>
              </w:rPr>
              <w:fldChar w:fldCharType="separate"/>
            </w:r>
            <w:r>
              <w:rPr>
                <w:noProof/>
              </w:rPr>
              <w:t>5</w:t>
            </w:r>
            <w:r>
              <w:rPr>
                <w:noProof/>
              </w:rPr>
              <w:fldChar w:fldCharType="end"/>
            </w:r>
          </w:hyperlink>
        </w:p>
        <w:p w14:paraId="602AF36E" w14:textId="44A7E1D4"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5" w:history="1">
            <w:r w:rsidRPr="000211D8">
              <w:rPr>
                <w:rStyle w:val="Hyperlink"/>
                <w:noProof/>
              </w:rPr>
              <w:t>8. Passive viscosity is insufficient for an active nucleus</w:t>
            </w:r>
            <w:r>
              <w:rPr>
                <w:noProof/>
              </w:rPr>
              <w:tab/>
            </w:r>
            <w:r>
              <w:rPr>
                <w:noProof/>
              </w:rPr>
              <w:fldChar w:fldCharType="begin"/>
            </w:r>
            <w:r>
              <w:rPr>
                <w:noProof/>
              </w:rPr>
              <w:instrText xml:space="preserve"> PAGEREF _Toc242668395 \h </w:instrText>
            </w:r>
            <w:r>
              <w:rPr>
                <w:noProof/>
              </w:rPr>
            </w:r>
            <w:r>
              <w:rPr>
                <w:noProof/>
              </w:rPr>
              <w:fldChar w:fldCharType="separate"/>
            </w:r>
            <w:r>
              <w:rPr>
                <w:noProof/>
              </w:rPr>
              <w:t>5</w:t>
            </w:r>
            <w:r>
              <w:rPr>
                <w:noProof/>
              </w:rPr>
              <w:fldChar w:fldCharType="end"/>
            </w:r>
          </w:hyperlink>
        </w:p>
        <w:p w14:paraId="6AC9AE8E" w14:textId="545BB45B"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6" w:history="1">
            <w:r w:rsidRPr="000211D8">
              <w:rPr>
                <w:rStyle w:val="Hyperlink"/>
                <w:noProof/>
              </w:rPr>
              <w:t>9. Interpreting commonly reported nuclear quantities</w:t>
            </w:r>
            <w:r>
              <w:rPr>
                <w:noProof/>
              </w:rPr>
              <w:tab/>
            </w:r>
            <w:r>
              <w:rPr>
                <w:noProof/>
              </w:rPr>
              <w:fldChar w:fldCharType="begin"/>
            </w:r>
            <w:r>
              <w:rPr>
                <w:noProof/>
              </w:rPr>
              <w:instrText xml:space="preserve"> PAGEREF _Toc242668396 \h </w:instrText>
            </w:r>
            <w:r>
              <w:rPr>
                <w:noProof/>
              </w:rPr>
            </w:r>
            <w:r>
              <w:rPr>
                <w:noProof/>
              </w:rPr>
              <w:fldChar w:fldCharType="separate"/>
            </w:r>
            <w:r>
              <w:rPr>
                <w:noProof/>
              </w:rPr>
              <w:t>6</w:t>
            </w:r>
            <w:r>
              <w:rPr>
                <w:noProof/>
              </w:rPr>
              <w:fldChar w:fldCharType="end"/>
            </w:r>
          </w:hyperlink>
        </w:p>
        <w:p w14:paraId="563A777E" w14:textId="1F1D5D97"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7" w:history="1">
            <w:r w:rsidRPr="000211D8">
              <w:rPr>
                <w:rStyle w:val="Hyperlink"/>
                <w:noProof/>
              </w:rPr>
              <w:t>10. A coherent current picture</w:t>
            </w:r>
            <w:r>
              <w:rPr>
                <w:noProof/>
              </w:rPr>
              <w:tab/>
            </w:r>
            <w:r>
              <w:rPr>
                <w:noProof/>
              </w:rPr>
              <w:fldChar w:fldCharType="begin"/>
            </w:r>
            <w:r>
              <w:rPr>
                <w:noProof/>
              </w:rPr>
              <w:instrText xml:space="preserve"> PAGEREF _Toc242668397 \h </w:instrText>
            </w:r>
            <w:r>
              <w:rPr>
                <w:noProof/>
              </w:rPr>
            </w:r>
            <w:r>
              <w:rPr>
                <w:noProof/>
              </w:rPr>
              <w:fldChar w:fldCharType="separate"/>
            </w:r>
            <w:r>
              <w:rPr>
                <w:noProof/>
              </w:rPr>
              <w:t>6</w:t>
            </w:r>
            <w:r>
              <w:rPr>
                <w:noProof/>
              </w:rPr>
              <w:fldChar w:fldCharType="end"/>
            </w:r>
          </w:hyperlink>
        </w:p>
        <w:p w14:paraId="1C070AFF" w14:textId="35F58258"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8" w:history="1">
            <w:r w:rsidRPr="000211D8">
              <w:rPr>
                <w:rStyle w:val="Hyperlink"/>
                <w:noProof/>
              </w:rPr>
              <w:t>References</w:t>
            </w:r>
            <w:r>
              <w:rPr>
                <w:noProof/>
              </w:rPr>
              <w:tab/>
            </w:r>
            <w:r>
              <w:rPr>
                <w:noProof/>
              </w:rPr>
              <w:fldChar w:fldCharType="begin"/>
            </w:r>
            <w:r>
              <w:rPr>
                <w:noProof/>
              </w:rPr>
              <w:instrText xml:space="preserve"> PAGEREF _Toc242668398 \h </w:instrText>
            </w:r>
            <w:r>
              <w:rPr>
                <w:noProof/>
              </w:rPr>
            </w:r>
            <w:r>
              <w:rPr>
                <w:noProof/>
              </w:rPr>
              <w:fldChar w:fldCharType="separate"/>
            </w:r>
            <w:r>
              <w:rPr>
                <w:noProof/>
              </w:rPr>
              <w:t>7</w:t>
            </w:r>
            <w:r>
              <w:rPr>
                <w:noProof/>
              </w:rPr>
              <w:fldChar w:fldCharType="end"/>
            </w:r>
          </w:hyperlink>
        </w:p>
        <w:p w14:paraId="553D9388" w14:textId="6A169783" w:rsidR="00AE540F" w:rsidRDefault="00AE54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9" w:history="1">
            <w:r w:rsidRPr="000211D8">
              <w:rPr>
                <w:rStyle w:val="Hyperlink"/>
                <w:noProof/>
              </w:rPr>
              <w:t>Evidence scope</w:t>
            </w:r>
            <w:r>
              <w:rPr>
                <w:noProof/>
              </w:rPr>
              <w:tab/>
            </w:r>
            <w:r>
              <w:rPr>
                <w:noProof/>
              </w:rPr>
              <w:fldChar w:fldCharType="begin"/>
            </w:r>
            <w:r>
              <w:rPr>
                <w:noProof/>
              </w:rPr>
              <w:instrText xml:space="preserve"> PAGEREF _Toc242668399 \h </w:instrText>
            </w:r>
            <w:r>
              <w:rPr>
                <w:noProof/>
              </w:rPr>
            </w:r>
            <w:r>
              <w:rPr>
                <w:noProof/>
              </w:rPr>
              <w:fldChar w:fldCharType="separate"/>
            </w:r>
            <w:r>
              <w:rPr>
                <w:noProof/>
              </w:rPr>
              <w:t>8</w:t>
            </w:r>
            <w:r>
              <w:rPr>
                <w:noProof/>
              </w:rPr>
              <w:fldChar w:fldCharType="end"/>
            </w:r>
          </w:hyperlink>
        </w:p>
        <w:p w14:paraId="1183D286" w14:textId="36519968" w:rsidR="004B17AA" w:rsidRDefault="00A060E8">
          <w:r>
            <w:fldChar w:fldCharType="end"/>
          </w:r>
        </w:p>
      </w:sdtContent>
    </w:sdt>
    <w:p w14:paraId="09300891" w14:textId="77777777" w:rsidR="004B17AA" w:rsidRDefault="00A060E8">
      <w:pPr>
        <w:pStyle w:val="Heading1"/>
      </w:pPr>
      <w:bookmarkStart w:id="1" w:name="_Toc242668388"/>
      <w:r>
        <w:t>1. Define the quantity and its units</w:t>
      </w:r>
      <w:bookmarkEnd w:id="1"/>
    </w:p>
    <w:p w14:paraId="12C56AC3" w14:textId="6E42E315" w:rsidR="004B17AA" w:rsidRDefault="00A060E8">
      <w:r>
        <w:t>For a simple Newtonian fluid, shear viscosity relates shear stress to shear rate. It measures resistance to flow, with SI units Pa·s. An elastic modulus relates stress to strain and is measured in Pa. A diffusion coefficient describes the rate at which positional variance grows and is measured in length squared per time. These quantities answer different questions even when estimated from the same experiment. In viscoelastic material, storage and loss moduli vary with frequency; a loss-related effective vis</w:t>
      </w:r>
      <w:r>
        <w:t>cosity can be expressed as G″/ω only under the specified oscillatory convention, with angular frequency ω in radians per second. Reporting frequency and model is therefore part of reporting the quantity.</w:t>
      </w:r>
      <w:hyperlink r:id="rId18" w:history="1">
        <w:r>
          <w:rPr>
            <w:color w:val="087B78"/>
            <w:sz w:val="18"/>
            <w:szCs w:val="18"/>
          </w:rPr>
          <w:t xml:space="preserve"> [9]</w:t>
        </w:r>
      </w:hyperlink>
      <w:hyperlink r:id="rId19" w:history="1">
        <w:r>
          <w:rPr>
            <w:color w:val="087B78"/>
            <w:sz w:val="18"/>
            <w:szCs w:val="18"/>
          </w:rPr>
          <w:t xml:space="preserve"> [5]</w:t>
        </w:r>
      </w:hyperlink>
      <w:hyperlink r:id="rId20" w:history="1">
        <w:r>
          <w:rPr>
            <w:color w:val="087B78"/>
            <w:sz w:val="18"/>
            <w:szCs w:val="18"/>
          </w:rPr>
          <w:t xml:space="preserve"> [4]</w:t>
        </w:r>
      </w:hyperlink>
    </w:p>
    <w:p w14:paraId="3A9D6447" w14:textId="18AE0C90" w:rsidR="004B17AA" w:rsidRDefault="00A060E8">
      <w:r>
        <w:t>A force–extension spring constant is another distinct observable. It depends on specimen geometry and the way force is transmitted, whereas a modulus represents a stress–strain relation under a constitutive model. The two deformation regimes described by Stephens and colleagues show how changing strain recruits different nuclear components. A nucleus can resist a large deformation strongly while still permitting rapid movement of small proteins through local fluid spaces. Conversely, a protein can move slow</w:t>
      </w:r>
      <w:r>
        <w:t>ly because it binds chromatin, even when the surrounding solvent is relatively mobile. Neither observation is paradoxical once the relevant physical quantity is preserved.</w:t>
      </w:r>
      <w:hyperlink r:id="rId21" w:history="1">
        <w:r>
          <w:rPr>
            <w:color w:val="087B78"/>
            <w:sz w:val="18"/>
            <w:szCs w:val="18"/>
          </w:rPr>
          <w:t xml:space="preserve"> [7]</w:t>
        </w:r>
      </w:hyperlink>
      <w:hyperlink r:id="rId22" w:history="1">
        <w:r>
          <w:rPr>
            <w:color w:val="087B78"/>
            <w:sz w:val="18"/>
            <w:szCs w:val="18"/>
          </w:rPr>
          <w:t xml:space="preserve"> [1]</w:t>
        </w:r>
      </w:hyperlink>
      <w:hyperlink r:id="rId23" w:history="1">
        <w:r>
          <w:rPr>
            <w:color w:val="087B78"/>
            <w:sz w:val="18"/>
            <w:szCs w:val="18"/>
          </w:rPr>
          <w:t xml:space="preserve"> [10]</w:t>
        </w:r>
      </w:hyperlink>
    </w:p>
    <w:p w14:paraId="431CBC6D" w14:textId="77777777" w:rsidR="004B17AA" w:rsidRDefault="00A060E8">
      <w:pPr>
        <w:pStyle w:val="Heading1"/>
      </w:pPr>
      <w:bookmarkStart w:id="2" w:name="_Toc242668389"/>
      <w:r>
        <w:lastRenderedPageBreak/>
        <w:t>2. When diffusion can estimate viscosity</w:t>
      </w:r>
      <w:bookmarkEnd w:id="2"/>
    </w:p>
    <w:p w14:paraId="40758A1F" w14:textId="3120773C" w:rsidR="004B17AA" w:rsidRDefault="00A060E8">
      <w:r>
        <w:t xml:space="preserve">The Stokes–Einstein relation connects Brownian diffusion of a spherical probe to viscosity: D = kBT/(6πηa), where a is hydrodynamic radius. This relation assumes a particular probe–fluid coupling and a Newtonian continuum at the relevant scale. It does not turn any slow trajectory into a material viscosity. The radius must be known, the probe must behave as intended, and motion caused by binding, confinement or active forces must be separated from the diffusive component. The relation is most interpretable </w:t>
      </w:r>
      <w:r>
        <w:t>when tested against reference materials and more than one probe size.</w:t>
      </w:r>
      <w:hyperlink r:id="rId24" w:history="1">
        <w:r>
          <w:rPr>
            <w:color w:val="087B78"/>
            <w:sz w:val="18"/>
            <w:szCs w:val="18"/>
          </w:rPr>
          <w:t xml:space="preserve"> [11]</w:t>
        </w:r>
      </w:hyperlink>
      <w:hyperlink r:id="rId25" w:history="1">
        <w:r>
          <w:rPr>
            <w:color w:val="087B78"/>
            <w:sz w:val="18"/>
            <w:szCs w:val="18"/>
          </w:rPr>
          <w:t xml:space="preserve"> [9]</w:t>
        </w:r>
      </w:hyperlink>
      <w:hyperlink r:id="rId26" w:history="1">
        <w:r>
          <w:rPr>
            <w:color w:val="087B78"/>
            <w:sz w:val="18"/>
            <w:szCs w:val="18"/>
          </w:rPr>
          <w:t xml:space="preserve"> [3]</w:t>
        </w:r>
      </w:hyperlink>
    </w:p>
    <w:p w14:paraId="7840B002" w14:textId="2B973755" w:rsidR="004B17AA" w:rsidRDefault="00A060E8">
      <w:r>
        <w:t>Inert-protein experiments provide a way to examine the accessible nuclear environment without intentionally attaching the probe to chromatin. Dross and colleagues found size-dependent eGFP-oligomer mobility using calibrated FCS, but even that analysis required a multi-component correlation model and treatment of photophysics. Erdel and colleagues combined different-sized fluorescent tracers with polymer simulations and described scale-dependent mobility consistent with an obstacle network. These findings su</w:t>
      </w:r>
      <w:r>
        <w:t>pport a structured transport environment. Converting them to one bulk solvent viscosity would discard the size and time dependence that the experiments were designed to reveal.</w:t>
      </w:r>
      <w:hyperlink r:id="rId27" w:history="1">
        <w:r>
          <w:rPr>
            <w:color w:val="087B78"/>
            <w:sz w:val="18"/>
            <w:szCs w:val="18"/>
          </w:rPr>
          <w:t xml:space="preserve"> [1]</w:t>
        </w:r>
      </w:hyperlink>
      <w:hyperlink r:id="rId28" w:history="1">
        <w:r>
          <w:rPr>
            <w:color w:val="087B78"/>
            <w:sz w:val="18"/>
            <w:szCs w:val="18"/>
          </w:rPr>
          <w:t xml:space="preserve"> [2]</w:t>
        </w:r>
      </w:hyperlink>
    </w:p>
    <w:p w14:paraId="64AD3A61" w14:textId="77777777" w:rsidR="004B17AA" w:rsidRDefault="00A060E8">
      <w:pPr>
        <w:pStyle w:val="Heading1"/>
      </w:pPr>
      <w:bookmarkStart w:id="3" w:name="_Toc242668390"/>
      <w:r>
        <w:t>3. Spatial scale changes the physical answer</w:t>
      </w:r>
      <w:bookmarkEnd w:id="3"/>
    </w:p>
    <w:p w14:paraId="64A58C9A" w14:textId="03A07D6F" w:rsidR="004B17AA" w:rsidRDefault="00A060E8">
      <w:r>
        <w:t>A nuclear probe encounters different surroundings as its displacement grows. At short distances it may primarily sample local solvent and nearby macromolecules; over longer distances it can encounter chromatin, boundaries and compartment interfaces. The differently sized GFP probes studied by Erdel and colleagues showed an intermediate range with viscoelastic-like behavior that depended on probe size. Their random-obstacle interpretation differed from a simple fixed-fractal description. This illustrates why</w:t>
      </w:r>
      <w:r>
        <w:t xml:space="preserve"> an apparent viscosity inferred over one observation interval should not be extrapolated without qualification to all distances, all probes or every nuclear region.</w:t>
      </w:r>
      <w:hyperlink r:id="rId29" w:history="1">
        <w:r>
          <w:rPr>
            <w:color w:val="087B78"/>
            <w:sz w:val="18"/>
            <w:szCs w:val="18"/>
          </w:rPr>
          <w:t xml:space="preserve"> [2]</w:t>
        </w:r>
      </w:hyperlink>
      <w:hyperlink r:id="rId30" w:history="1">
        <w:r>
          <w:rPr>
            <w:color w:val="087B78"/>
            <w:sz w:val="18"/>
            <w:szCs w:val="18"/>
          </w:rPr>
          <w:t xml:space="preserve"> [10]</w:t>
        </w:r>
      </w:hyperlink>
    </w:p>
    <w:p w14:paraId="3E0FE954" w14:textId="4699D979" w:rsidR="004B17AA" w:rsidRDefault="00A060E8">
      <w:r>
        <w:t>The same scale dependence matters for nuclear-body measurements. A soluble molecule exchanging with a nucleolus reports partitioning and mobility through a particular phase, whereas a droplet fusion event reports collective shape relaxation. A large deformation of the nuclear envelope recruits boundary and internal-network mechanics. These measurements can be related through explicit models, but they are not multiple independent readings of the same viscosity. A physical comparison should first establish wh</w:t>
      </w:r>
      <w:r>
        <w:t>ether the probe measures solvent drag, motion through obstacles, transient molecular occupancy or deformation of an extended network. Only then does a numerical comparison become informative.</w:t>
      </w:r>
      <w:hyperlink r:id="rId31" w:history="1">
        <w:r>
          <w:rPr>
            <w:color w:val="087B78"/>
            <w:sz w:val="18"/>
            <w:szCs w:val="18"/>
          </w:rPr>
          <w:t xml:space="preserve"> [3]</w:t>
        </w:r>
      </w:hyperlink>
      <w:hyperlink r:id="rId32" w:history="1">
        <w:r>
          <w:rPr>
            <w:color w:val="087B78"/>
            <w:sz w:val="18"/>
            <w:szCs w:val="18"/>
          </w:rPr>
          <w:t xml:space="preserve"> [7]</w:t>
        </w:r>
      </w:hyperlink>
      <w:hyperlink r:id="rId33" w:history="1">
        <w:r>
          <w:rPr>
            <w:color w:val="087B78"/>
            <w:sz w:val="18"/>
            <w:szCs w:val="18"/>
          </w:rPr>
          <w:t xml:space="preserve"> [9]</w:t>
        </w:r>
      </w:hyperlink>
    </w:p>
    <w:p w14:paraId="03771F40" w14:textId="77777777" w:rsidR="004B17AA" w:rsidRDefault="00A060E8">
      <w:pPr>
        <w:pStyle w:val="Heading1"/>
      </w:pPr>
      <w:bookmarkStart w:id="4" w:name="_Toc242668391"/>
      <w:r>
        <w:t>4. Binding can imitate increased fluid resistance</w:t>
      </w:r>
      <w:bookmarkEnd w:id="4"/>
    </w:p>
    <w:p w14:paraId="0BF684AA" w14:textId="2CB87D69" w:rsidR="004B17AA" w:rsidRDefault="00A060E8">
      <w:r>
        <w:t xml:space="preserve">DNA-binding and chromatin-associated proteins alternate between movement and occupancy of binding sites. Their apparent mobility can therefore decrease when the bound fraction rises, when residence times increase or when access to sites changes. Bancaud and colleagues distinguished </w:t>
      </w:r>
      <w:r>
        <w:lastRenderedPageBreak/>
        <w:t>hindrance and transient trapping in their study of nuclear proteins and chromatin organization. Sprague and colleagues developed a reaction–diffusion analysis of FRAP that makes these processes explicit. A slower recovery or trajectory distribution is evidence of altered molecular dynamics, but assigning it specifically to viscosity requires showing that binding changes do not account for the observation.</w:t>
      </w:r>
      <w:hyperlink r:id="rId34" w:history="1">
        <w:r>
          <w:rPr>
            <w:color w:val="087B78"/>
            <w:sz w:val="18"/>
            <w:szCs w:val="18"/>
          </w:rPr>
          <w:t xml:space="preserve"> [10]</w:t>
        </w:r>
      </w:hyperlink>
      <w:hyperlink r:id="rId35" w:history="1">
        <w:r>
          <w:rPr>
            <w:color w:val="087B78"/>
            <w:sz w:val="18"/>
            <w:szCs w:val="18"/>
          </w:rPr>
          <w:t xml:space="preserve"> [12]</w:t>
        </w:r>
      </w:hyperlink>
    </w:p>
    <w:p w14:paraId="0B4C19E5" w14:textId="47460D2E" w:rsidR="004B17AA" w:rsidRDefault="00A060E8">
      <w:r>
        <w:t xml:space="preserve">Single-molecule analysis can constrain these alternatives when labeling and acquisition are controlled. Spot-On demonstrated that focal-volume escape and motion blur can selectively remove rapidly moving molecules, producing an apparent excess of slow molecules. Changes in density or imaging conditions can likewise alter tracking assignments. For viscosity comparisons, the acquisition settings should be matched or their effects incorporated in the model. A reported change in diffusion should be accompanied </w:t>
      </w:r>
      <w:r>
        <w:t>by the population definition and confidence in that definition, rather than presented as a direct measurement of the entire nuclear fluid.</w:t>
      </w:r>
      <w:hyperlink r:id="rId36" w:history="1">
        <w:r>
          <w:rPr>
            <w:color w:val="087B78"/>
            <w:sz w:val="18"/>
            <w:szCs w:val="18"/>
          </w:rPr>
          <w:t xml:space="preserve"> [13]</w:t>
        </w:r>
      </w:hyperlink>
    </w:p>
    <w:p w14:paraId="018A1926" w14:textId="77777777" w:rsidR="004B17AA" w:rsidRDefault="00A060E8">
      <w:pPr>
        <w:pStyle w:val="Heading1"/>
      </w:pPr>
      <w:bookmarkStart w:id="5" w:name="_Toc242668392"/>
      <w:r>
        <w:t>5. Crowding, concentration and viscosity should be separated</w:t>
      </w:r>
      <w:bookmarkEnd w:id="5"/>
    </w:p>
    <w:p w14:paraId="29F367B3" w14:textId="114A8BF0" w:rsidR="004B17AA" w:rsidRDefault="00A060E8">
      <w:r>
        <w:t>Crowding describes how surrounding macromolecules affect the space and interactions accessible to a test molecule. It can influence diffusion and molecular association, but crowding-sensor output is not itself viscosity. Murade and Shubeita used an oligonucleotide FRET sensor to distinguish cellular compartments and examine responses to osmotic stress and chromatin perturbation. The signal reports behavior of that calibrated sensor. In contrast, FCS reports fluctuations of a fluorescent probe moving through</w:t>
      </w:r>
      <w:r>
        <w:t xml:space="preserve"> an observation volume. Comparing these measurements can identify related environmental changes, but one should not rename a FRET ratio as a viscometric parameter.</w:t>
      </w:r>
      <w:hyperlink r:id="rId37" w:history="1">
        <w:r>
          <w:rPr>
            <w:color w:val="087B78"/>
            <w:sz w:val="18"/>
            <w:szCs w:val="18"/>
          </w:rPr>
          <w:t xml:space="preserve"> [14]</w:t>
        </w:r>
      </w:hyperlink>
      <w:hyperlink r:id="rId38" w:history="1">
        <w:r>
          <w:rPr>
            <w:color w:val="087B78"/>
            <w:sz w:val="18"/>
            <w:szCs w:val="18"/>
          </w:rPr>
          <w:t xml:space="preserve"> [1]</w:t>
        </w:r>
      </w:hyperlink>
    </w:p>
    <w:p w14:paraId="79DE0DE6" w14:textId="4B30EFF0" w:rsidR="004B17AA" w:rsidRDefault="00A060E8">
      <w:r>
        <w:t xml:space="preserve">Recent density-homeostasis work by Biswas and colleagues connects nuclear volume to transport-generated colloid osmotic pressure and chromatin contributions. This offers a mechanistic route by which imported macromolecules and chromatin state can alter concentration and physical organization. Dry-mass density, osmotic pressure and viscosity nevertheless remain distinct quantities. The study does not imply that a larger nucleus must have a particular viscosity, or that density alone identifies local binding </w:t>
      </w:r>
      <w:r>
        <w:t>kinetics. Its contribution is to make the regulation of volume and composition part of the physical description of the nucleus.</w:t>
      </w:r>
      <w:hyperlink r:id="rId39" w:history="1">
        <w:r>
          <w:rPr>
            <w:color w:val="087B78"/>
            <w:sz w:val="18"/>
            <w:szCs w:val="18"/>
          </w:rPr>
          <w:t xml:space="preserve"> [15]</w:t>
        </w:r>
      </w:hyperlink>
      <w:hyperlink r:id="rId40" w:history="1">
        <w:r>
          <w:rPr>
            <w:color w:val="087B78"/>
            <w:sz w:val="18"/>
            <w:szCs w:val="18"/>
          </w:rPr>
          <w:t xml:space="preserve"> [2]</w:t>
        </w:r>
      </w:hyperlink>
    </w:p>
    <w:p w14:paraId="56C82E05" w14:textId="77777777" w:rsidR="004B17AA" w:rsidRDefault="00A060E8">
      <w:pPr>
        <w:pStyle w:val="Heading1"/>
      </w:pPr>
      <w:bookmarkStart w:id="6" w:name="_Toc242668393"/>
      <w:r>
        <w:t>6. What the nucleolar droplet benchmark establishes</w:t>
      </w:r>
      <w:bookmarkEnd w:id="6"/>
    </w:p>
    <w:p w14:paraId="589A68FB" w14:textId="3712E22E" w:rsidR="004B17AA" w:rsidRDefault="00A060E8">
      <w:r>
        <w:t>Feric and colleagues provided a traceable experimental example by separating in-vivo nucleolar organization from reconstituted protein-droplet measurements. In the latter, 50-nm-radius particles were used as probes. Their approximately diffusive motion in NPM1 droplets supported a reported viscosity of 0.74 ± 0.06 Pa·s under the experimental conditions. Tracer motion in FIB1 droplets was more subdiffusive, indicating a different response. This is a component-specific in-vitro material result, not an estimat</w:t>
      </w:r>
      <w:r>
        <w:t>e for the entire living nucleoplasm and not a measurement of NPM1-protein diffusion inside a whole nucleus.</w:t>
      </w:r>
      <w:hyperlink r:id="rId41" w:history="1">
        <w:r>
          <w:rPr>
            <w:color w:val="087B78"/>
            <w:sz w:val="18"/>
            <w:szCs w:val="18"/>
          </w:rPr>
          <w:t xml:space="preserve"> [3]</w:t>
        </w:r>
      </w:hyperlink>
    </w:p>
    <w:p w14:paraId="36BA45FE" w14:textId="13505BE3" w:rsidR="004B17AA" w:rsidRDefault="00A060E8">
      <w:r>
        <w:lastRenderedPageBreak/>
        <w:t>Fusion analysis in the same work involved viscosity relative to surface tension. A round shape or coalescence event does not supply viscosity alone because the restoring force is interfacial and the relaxation time also depends on size. Changes in composition can affect both dissipation and interface behavior. A comparison of nuclear-body dynamics therefore needs the fitted parameter and model, rather than only a visually similar fusion movie. The nucleolar example is valuable precisely because it shows how</w:t>
      </w:r>
      <w:r>
        <w:t xml:space="preserve"> multiple readouts can characterize related material properties without being reducible to one numerical fluid constant.</w:t>
      </w:r>
      <w:hyperlink r:id="rId42" w:history="1">
        <w:r>
          <w:rPr>
            <w:color w:val="087B78"/>
            <w:sz w:val="18"/>
            <w:szCs w:val="18"/>
          </w:rPr>
          <w:t xml:space="preserve"> [3]</w:t>
        </w:r>
      </w:hyperlink>
      <w:hyperlink r:id="rId43" w:history="1">
        <w:r>
          <w:rPr>
            <w:color w:val="087B78"/>
            <w:sz w:val="18"/>
            <w:szCs w:val="18"/>
          </w:rPr>
          <w:t xml:space="preserve"> [9]</w:t>
        </w:r>
      </w:hyperlink>
    </w:p>
    <w:p w14:paraId="231BEED4" w14:textId="77777777" w:rsidR="004B17AA" w:rsidRDefault="00A060E8">
      <w:pPr>
        <w:pStyle w:val="Heading1"/>
      </w:pPr>
      <w:bookmarkStart w:id="7" w:name="_Toc242668394"/>
      <w:r>
        <w:t>7. Direct loading probes local viscoelastic response</w:t>
      </w:r>
      <w:bookmarkEnd w:id="7"/>
    </w:p>
    <w:p w14:paraId="01A5EE6C" w14:textId="579C3F73" w:rsidR="004B17AA" w:rsidRDefault="00A060E8">
      <w:r>
        <w:t>Targeted force experiments provide an alternative to mobility-derived inference. Rashid and colleagues used approximately 200-nm-diameter magnetic particles, with anti-H2B coating intended to couple them to chromatin. The measured response varied with loading frequency, and control particles with different coupling showed distinct behavior. This supplies evidence about the local structure actually loaded by the particle. It also explains why a material may appear gel-like in one force experiment while small</w:t>
      </w:r>
      <w:r>
        <w:t xml:space="preserve"> soluble probes diffuse through its interstitial environment. The observations sample different components, spatial scales and force-transmission routes.</w:t>
      </w:r>
      <w:hyperlink r:id="rId44" w:history="1">
        <w:r>
          <w:rPr>
            <w:color w:val="087B78"/>
            <w:sz w:val="18"/>
            <w:szCs w:val="18"/>
          </w:rPr>
          <w:t xml:space="preserve"> [4]</w:t>
        </w:r>
      </w:hyperlink>
      <w:hyperlink r:id="rId45" w:history="1">
        <w:r>
          <w:rPr>
            <w:color w:val="087B78"/>
            <w:sz w:val="18"/>
            <w:szCs w:val="18"/>
          </w:rPr>
          <w:t xml:space="preserve"> [1]</w:t>
        </w:r>
      </w:hyperlink>
    </w:p>
    <w:p w14:paraId="55B84993" w14:textId="4F0D9B4E" w:rsidR="004B17AA" w:rsidRDefault="00A060E8">
      <w:r>
        <w:t>A complementary 2024 optical-tweezer study by Bergamaschi and colleagues examined heterogeneous chromatin response in isolated nuclei and interpreted force–extension data using a hierarchical chain model. Its strain-stiffening observations should be discussed as deformation-dependent resistance rather than converted into a viscosity value. Taken together with the local magnetic experiment, it shows that spatially resolved force application and whole-nucleus deformation need not yield a common scalar paramet</w:t>
      </w:r>
      <w:r>
        <w:t>er. Their value lies in determining which structures bear the applied load and how response changes as deformation increases.</w:t>
      </w:r>
      <w:hyperlink r:id="rId46" w:history="1">
        <w:r>
          <w:rPr>
            <w:color w:val="087B78"/>
            <w:sz w:val="18"/>
            <w:szCs w:val="18"/>
          </w:rPr>
          <w:t xml:space="preserve"> [8]</w:t>
        </w:r>
      </w:hyperlink>
      <w:hyperlink r:id="rId47" w:history="1">
        <w:r>
          <w:rPr>
            <w:color w:val="087B78"/>
            <w:sz w:val="18"/>
            <w:szCs w:val="18"/>
          </w:rPr>
          <w:t xml:space="preserve"> [4]</w:t>
        </w:r>
      </w:hyperlink>
      <w:hyperlink r:id="rId48" w:history="1">
        <w:r>
          <w:rPr>
            <w:color w:val="087B78"/>
            <w:sz w:val="18"/>
            <w:szCs w:val="18"/>
          </w:rPr>
          <w:t xml:space="preserve"> [7]</w:t>
        </w:r>
      </w:hyperlink>
    </w:p>
    <w:p w14:paraId="19EB69EB" w14:textId="77777777" w:rsidR="004B17AA" w:rsidRDefault="00A060E8">
      <w:pPr>
        <w:pStyle w:val="Heading1"/>
      </w:pPr>
      <w:bookmarkStart w:id="8" w:name="_Toc242668395"/>
      <w:r>
        <w:t>8. Passive viscosity is insufficient for an active nucleus</w:t>
      </w:r>
      <w:bookmarkEnd w:id="8"/>
    </w:p>
    <w:p w14:paraId="774B0F52" w14:textId="59C842D2" w:rsidR="004B17AA" w:rsidRDefault="00A060E8">
      <w:r>
        <w:t>The work of Byfield and colleagues adds metabolic state to the interpretation of mechanical dissipation. Metabolically active karyoplasts underwent large deformations and dissipated substantial loading work. The responses changed after inhibition of ATP production and BRM/BRG1 remodeling activity. A mechanical circuit may reproduce some features of such data, but a fitted dashpot should not automatically be interpreted as a passive solvent viscosity when dissipation depends on ongoing molecular activity. Th</w:t>
      </w:r>
      <w:r>
        <w:t>e preparation retains nuclear material inside a plasma membrane and differs from a bare isolated nucleus, which matters when comparing its behavior with other assays.</w:t>
      </w:r>
      <w:hyperlink r:id="rId49" w:history="1">
        <w:r>
          <w:rPr>
            <w:color w:val="087B78"/>
            <w:sz w:val="18"/>
            <w:szCs w:val="18"/>
          </w:rPr>
          <w:t xml:space="preserve"> [6]</w:t>
        </w:r>
      </w:hyperlink>
    </w:p>
    <w:p w14:paraId="1597AA69" w14:textId="6C3460F1" w:rsidR="004B17AA" w:rsidRDefault="00A060E8">
      <w:r>
        <w:t>Pørtner and colleagues approached a different preparation question through frequency-dependent AFM on live and isolated MCF7 nuclei. The measured modulus trends were related by a scale factor, while loss tangent revealed differences not captured by modulus magnitude alone. Their Jeffreys-model analysis describes the tested spectra; it does not identify a universal nuclear constitutive law. Together, these recent studies show that isolation and metabolism can change which relaxation and dissipation processes</w:t>
      </w:r>
      <w:r>
        <w:t xml:space="preserve"> are present. A viscosity claim should therefore include </w:t>
      </w:r>
      <w:r>
        <w:lastRenderedPageBreak/>
        <w:t>preparation history and whether the system remains metabolically active during measurement.</w:t>
      </w:r>
      <w:hyperlink r:id="rId50" w:history="1">
        <w:r>
          <w:rPr>
            <w:color w:val="087B78"/>
            <w:sz w:val="18"/>
            <w:szCs w:val="18"/>
          </w:rPr>
          <w:t xml:space="preserve"> [5]</w:t>
        </w:r>
      </w:hyperlink>
      <w:hyperlink r:id="rId51" w:history="1">
        <w:r>
          <w:rPr>
            <w:color w:val="087B78"/>
            <w:sz w:val="18"/>
            <w:szCs w:val="18"/>
          </w:rPr>
          <w:t xml:space="preserve"> [6]</w:t>
        </w:r>
      </w:hyperlink>
    </w:p>
    <w:p w14:paraId="76714E17" w14:textId="77777777" w:rsidR="004B17AA" w:rsidRDefault="00A060E8">
      <w:pPr>
        <w:pStyle w:val="Heading1"/>
      </w:pPr>
      <w:bookmarkStart w:id="9" w:name="_Toc242668396"/>
      <w:r>
        <w:t>9. Interpreting commonly reported nuclear quantities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17AA" w14:paraId="7C642E60"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73CDC149" w14:textId="77777777" w:rsidR="004B17AA" w:rsidRDefault="00A060E8">
            <w:pPr>
              <w:spacing w:after="50" w:line="255" w:lineRule="auto"/>
            </w:pPr>
            <w:r>
              <w:rPr>
                <w:b/>
                <w:bCs/>
                <w:color w:val="173B4C"/>
                <w:sz w:val="19"/>
                <w:szCs w:val="19"/>
              </w:rPr>
              <w:t>Reported quantity</w:t>
            </w:r>
          </w:p>
        </w:tc>
        <w:tc>
          <w:tcPr>
            <w:tcW w:w="3120" w:type="dxa"/>
            <w:shd w:val="clear" w:color="auto" w:fill="EAF3F3"/>
            <w:tcMar>
              <w:top w:w="105" w:type="dxa"/>
              <w:left w:w="125" w:type="dxa"/>
              <w:bottom w:w="105" w:type="dxa"/>
              <w:right w:w="125" w:type="dxa"/>
            </w:tcMar>
          </w:tcPr>
          <w:p w14:paraId="377D1451" w14:textId="77777777" w:rsidR="004B17AA" w:rsidRDefault="00A060E8">
            <w:pPr>
              <w:spacing w:after="50" w:line="255" w:lineRule="auto"/>
            </w:pPr>
            <w:r>
              <w:rPr>
                <w:b/>
                <w:bCs/>
                <w:color w:val="173B4C"/>
                <w:sz w:val="19"/>
                <w:szCs w:val="19"/>
              </w:rPr>
              <w:t>What it describes</w:t>
            </w:r>
          </w:p>
        </w:tc>
        <w:tc>
          <w:tcPr>
            <w:tcW w:w="3120" w:type="dxa"/>
            <w:shd w:val="clear" w:color="auto" w:fill="EAF3F3"/>
            <w:tcMar>
              <w:top w:w="105" w:type="dxa"/>
              <w:left w:w="125" w:type="dxa"/>
              <w:bottom w:w="105" w:type="dxa"/>
              <w:right w:w="125" w:type="dxa"/>
            </w:tcMar>
          </w:tcPr>
          <w:p w14:paraId="54813892" w14:textId="77777777" w:rsidR="004B17AA" w:rsidRDefault="00A060E8">
            <w:pPr>
              <w:spacing w:after="50" w:line="255" w:lineRule="auto"/>
            </w:pPr>
            <w:r>
              <w:rPr>
                <w:b/>
                <w:bCs/>
                <w:color w:val="173B4C"/>
                <w:sz w:val="19"/>
                <w:szCs w:val="19"/>
              </w:rPr>
              <w:t>What it does not establish</w:t>
            </w:r>
          </w:p>
        </w:tc>
      </w:tr>
      <w:tr w:rsidR="004B17AA" w14:paraId="451B69B4" w14:textId="77777777">
        <w:tblPrEx>
          <w:tblCellMar>
            <w:top w:w="0" w:type="dxa"/>
            <w:bottom w:w="0" w:type="dxa"/>
          </w:tblCellMar>
        </w:tblPrEx>
        <w:trPr>
          <w:cantSplit/>
        </w:trPr>
        <w:tc>
          <w:tcPr>
            <w:tcW w:w="3120" w:type="dxa"/>
            <w:tcMar>
              <w:top w:w="105" w:type="dxa"/>
              <w:left w:w="125" w:type="dxa"/>
              <w:bottom w:w="105" w:type="dxa"/>
              <w:right w:w="125" w:type="dxa"/>
            </w:tcMar>
          </w:tcPr>
          <w:p w14:paraId="2A5403F3" w14:textId="77777777" w:rsidR="004B17AA" w:rsidRDefault="00A060E8">
            <w:pPr>
              <w:spacing w:after="50" w:line="255" w:lineRule="auto"/>
            </w:pPr>
            <w:r>
              <w:rPr>
                <w:sz w:val="19"/>
                <w:szCs w:val="19"/>
              </w:rPr>
              <w:t>Diffusion coefficient from FCS</w:t>
            </w:r>
          </w:p>
        </w:tc>
        <w:tc>
          <w:tcPr>
            <w:tcW w:w="3120" w:type="dxa"/>
            <w:tcMar>
              <w:top w:w="105" w:type="dxa"/>
              <w:left w:w="125" w:type="dxa"/>
              <w:bottom w:w="105" w:type="dxa"/>
              <w:right w:w="125" w:type="dxa"/>
            </w:tcMar>
          </w:tcPr>
          <w:p w14:paraId="74284A7B" w14:textId="77777777" w:rsidR="004B17AA" w:rsidRDefault="00A060E8">
            <w:pPr>
              <w:spacing w:after="50" w:line="255" w:lineRule="auto"/>
            </w:pPr>
            <w:r>
              <w:rPr>
                <w:sz w:val="19"/>
                <w:szCs w:val="19"/>
              </w:rPr>
              <w:t>Motion of defined fluorescent probes under a fitted fluctuation model</w:t>
            </w:r>
          </w:p>
        </w:tc>
        <w:tc>
          <w:tcPr>
            <w:tcW w:w="3120" w:type="dxa"/>
            <w:tcMar>
              <w:top w:w="105" w:type="dxa"/>
              <w:left w:w="125" w:type="dxa"/>
              <w:bottom w:w="105" w:type="dxa"/>
              <w:right w:w="125" w:type="dxa"/>
            </w:tcMar>
          </w:tcPr>
          <w:p w14:paraId="48BE3C48" w14:textId="08CE5888" w:rsidR="004B17AA" w:rsidRDefault="00A060E8">
            <w:pPr>
              <w:spacing w:after="50" w:line="255" w:lineRule="auto"/>
            </w:pPr>
            <w:r>
              <w:rPr>
                <w:sz w:val="19"/>
                <w:szCs w:val="19"/>
              </w:rPr>
              <w:t>A universal viscosity for chromatin and every nuclear compartment</w:t>
            </w:r>
            <w:hyperlink r:id="rId52" w:history="1">
              <w:r>
                <w:rPr>
                  <w:color w:val="087B78"/>
                  <w:sz w:val="18"/>
                  <w:szCs w:val="18"/>
                </w:rPr>
                <w:t xml:space="preserve"> [1]</w:t>
              </w:r>
            </w:hyperlink>
            <w:hyperlink r:id="rId53" w:history="1">
              <w:r>
                <w:rPr>
                  <w:color w:val="087B78"/>
                  <w:sz w:val="18"/>
                  <w:szCs w:val="18"/>
                </w:rPr>
                <w:t xml:space="preserve"> [2]</w:t>
              </w:r>
            </w:hyperlink>
          </w:p>
        </w:tc>
      </w:tr>
      <w:tr w:rsidR="004B17AA" w14:paraId="5063ABE3" w14:textId="77777777">
        <w:tblPrEx>
          <w:tblCellMar>
            <w:top w:w="0" w:type="dxa"/>
            <w:bottom w:w="0" w:type="dxa"/>
          </w:tblCellMar>
        </w:tblPrEx>
        <w:trPr>
          <w:cantSplit/>
        </w:trPr>
        <w:tc>
          <w:tcPr>
            <w:tcW w:w="3120" w:type="dxa"/>
            <w:tcMar>
              <w:top w:w="105" w:type="dxa"/>
              <w:left w:w="125" w:type="dxa"/>
              <w:bottom w:w="105" w:type="dxa"/>
              <w:right w:w="125" w:type="dxa"/>
            </w:tcMar>
          </w:tcPr>
          <w:p w14:paraId="47B2E62C" w14:textId="77777777" w:rsidR="004B17AA" w:rsidRDefault="00A060E8">
            <w:pPr>
              <w:spacing w:after="50" w:line="255" w:lineRule="auto"/>
            </w:pPr>
            <w:r>
              <w:rPr>
                <w:sz w:val="19"/>
                <w:szCs w:val="19"/>
              </w:rPr>
              <w:t>FRAP recovery time</w:t>
            </w:r>
          </w:p>
        </w:tc>
        <w:tc>
          <w:tcPr>
            <w:tcW w:w="3120" w:type="dxa"/>
            <w:tcMar>
              <w:top w:w="105" w:type="dxa"/>
              <w:left w:w="125" w:type="dxa"/>
              <w:bottom w:w="105" w:type="dxa"/>
              <w:right w:w="125" w:type="dxa"/>
            </w:tcMar>
          </w:tcPr>
          <w:p w14:paraId="35350046" w14:textId="77777777" w:rsidR="004B17AA" w:rsidRDefault="00A060E8">
            <w:pPr>
              <w:spacing w:after="50" w:line="255" w:lineRule="auto"/>
            </w:pPr>
            <w:r>
              <w:rPr>
                <w:sz w:val="19"/>
                <w:szCs w:val="19"/>
              </w:rPr>
              <w:t>Recovery shaped by transport, binding and bleaching geometry</w:t>
            </w:r>
          </w:p>
        </w:tc>
        <w:tc>
          <w:tcPr>
            <w:tcW w:w="3120" w:type="dxa"/>
            <w:tcMar>
              <w:top w:w="105" w:type="dxa"/>
              <w:left w:w="125" w:type="dxa"/>
              <w:bottom w:w="105" w:type="dxa"/>
              <w:right w:w="125" w:type="dxa"/>
            </w:tcMar>
          </w:tcPr>
          <w:p w14:paraId="4D58528C" w14:textId="486DE88A" w:rsidR="004B17AA" w:rsidRDefault="00A060E8">
            <w:pPr>
              <w:spacing w:after="50" w:line="255" w:lineRule="auto"/>
            </w:pPr>
            <w:r>
              <w:rPr>
                <w:sz w:val="19"/>
                <w:szCs w:val="19"/>
              </w:rPr>
              <w:t>A unique solvent viscosity or binding rate without model identification</w:t>
            </w:r>
            <w:hyperlink r:id="rId54" w:history="1">
              <w:r>
                <w:rPr>
                  <w:color w:val="087B78"/>
                  <w:sz w:val="18"/>
                  <w:szCs w:val="18"/>
                </w:rPr>
                <w:t xml:space="preserve"> [12]</w:t>
              </w:r>
            </w:hyperlink>
          </w:p>
        </w:tc>
      </w:tr>
      <w:tr w:rsidR="004B17AA" w14:paraId="5CF6F4C7" w14:textId="77777777">
        <w:tblPrEx>
          <w:tblCellMar>
            <w:top w:w="0" w:type="dxa"/>
            <w:bottom w:w="0" w:type="dxa"/>
          </w:tblCellMar>
        </w:tblPrEx>
        <w:trPr>
          <w:cantSplit/>
        </w:trPr>
        <w:tc>
          <w:tcPr>
            <w:tcW w:w="3120" w:type="dxa"/>
            <w:tcMar>
              <w:top w:w="105" w:type="dxa"/>
              <w:left w:w="125" w:type="dxa"/>
              <w:bottom w:w="105" w:type="dxa"/>
              <w:right w:w="125" w:type="dxa"/>
            </w:tcMar>
          </w:tcPr>
          <w:p w14:paraId="1AC5F3F1" w14:textId="77777777" w:rsidR="004B17AA" w:rsidRDefault="00A060E8">
            <w:pPr>
              <w:spacing w:after="50" w:line="255" w:lineRule="auto"/>
            </w:pPr>
            <w:r>
              <w:rPr>
                <w:sz w:val="19"/>
                <w:szCs w:val="19"/>
              </w:rPr>
              <w:t>Crowding-sensitive FRET ratio</w:t>
            </w:r>
          </w:p>
        </w:tc>
        <w:tc>
          <w:tcPr>
            <w:tcW w:w="3120" w:type="dxa"/>
            <w:tcMar>
              <w:top w:w="105" w:type="dxa"/>
              <w:left w:w="125" w:type="dxa"/>
              <w:bottom w:w="105" w:type="dxa"/>
              <w:right w:w="125" w:type="dxa"/>
            </w:tcMar>
          </w:tcPr>
          <w:p w14:paraId="372C1B2D" w14:textId="77777777" w:rsidR="004B17AA" w:rsidRDefault="00A060E8">
            <w:pPr>
              <w:spacing w:after="50" w:line="255" w:lineRule="auto"/>
            </w:pPr>
            <w:r>
              <w:rPr>
                <w:sz w:val="19"/>
                <w:szCs w:val="19"/>
              </w:rPr>
              <w:t>Environmental response of a particular sensor</w:t>
            </w:r>
          </w:p>
        </w:tc>
        <w:tc>
          <w:tcPr>
            <w:tcW w:w="3120" w:type="dxa"/>
            <w:tcMar>
              <w:top w:w="105" w:type="dxa"/>
              <w:left w:w="125" w:type="dxa"/>
              <w:bottom w:w="105" w:type="dxa"/>
              <w:right w:w="125" w:type="dxa"/>
            </w:tcMar>
          </w:tcPr>
          <w:p w14:paraId="321B50C9" w14:textId="2ADDB319" w:rsidR="004B17AA" w:rsidRDefault="00A060E8">
            <w:pPr>
              <w:spacing w:after="50" w:line="255" w:lineRule="auto"/>
            </w:pPr>
            <w:r>
              <w:rPr>
                <w:sz w:val="19"/>
                <w:szCs w:val="19"/>
              </w:rPr>
              <w:t>Viscosity, mass density and excluded volume as interchangeable values</w:t>
            </w:r>
            <w:hyperlink r:id="rId55" w:history="1">
              <w:r>
                <w:rPr>
                  <w:color w:val="087B78"/>
                  <w:sz w:val="18"/>
                  <w:szCs w:val="18"/>
                </w:rPr>
                <w:t xml:space="preserve"> [14]</w:t>
              </w:r>
            </w:hyperlink>
            <w:hyperlink r:id="rId56" w:history="1">
              <w:r>
                <w:rPr>
                  <w:color w:val="087B78"/>
                  <w:sz w:val="18"/>
                  <w:szCs w:val="18"/>
                </w:rPr>
                <w:t xml:space="preserve"> [16]</w:t>
              </w:r>
            </w:hyperlink>
          </w:p>
        </w:tc>
      </w:tr>
      <w:tr w:rsidR="004B17AA" w14:paraId="23B1976B" w14:textId="77777777">
        <w:tblPrEx>
          <w:tblCellMar>
            <w:top w:w="0" w:type="dxa"/>
            <w:bottom w:w="0" w:type="dxa"/>
          </w:tblCellMar>
        </w:tblPrEx>
        <w:trPr>
          <w:cantSplit/>
        </w:trPr>
        <w:tc>
          <w:tcPr>
            <w:tcW w:w="3120" w:type="dxa"/>
            <w:tcMar>
              <w:top w:w="105" w:type="dxa"/>
              <w:left w:w="125" w:type="dxa"/>
              <w:bottom w:w="105" w:type="dxa"/>
              <w:right w:w="125" w:type="dxa"/>
            </w:tcMar>
          </w:tcPr>
          <w:p w14:paraId="09195442" w14:textId="77777777" w:rsidR="004B17AA" w:rsidRDefault="00A060E8">
            <w:pPr>
              <w:spacing w:after="50" w:line="255" w:lineRule="auto"/>
            </w:pPr>
            <w:r>
              <w:rPr>
                <w:sz w:val="19"/>
                <w:szCs w:val="19"/>
              </w:rPr>
              <w:t>Force–extension slope</w:t>
            </w:r>
          </w:p>
        </w:tc>
        <w:tc>
          <w:tcPr>
            <w:tcW w:w="3120" w:type="dxa"/>
            <w:tcMar>
              <w:top w:w="105" w:type="dxa"/>
              <w:left w:w="125" w:type="dxa"/>
              <w:bottom w:w="105" w:type="dxa"/>
              <w:right w:w="125" w:type="dxa"/>
            </w:tcMar>
          </w:tcPr>
          <w:p w14:paraId="2BC212E9" w14:textId="77777777" w:rsidR="004B17AA" w:rsidRDefault="00A060E8">
            <w:pPr>
              <w:spacing w:after="50" w:line="255" w:lineRule="auto"/>
            </w:pPr>
            <w:r>
              <w:rPr>
                <w:sz w:val="19"/>
                <w:szCs w:val="19"/>
              </w:rPr>
              <w:t>Resistance in a specified specimen and deformation geometry</w:t>
            </w:r>
          </w:p>
        </w:tc>
        <w:tc>
          <w:tcPr>
            <w:tcW w:w="3120" w:type="dxa"/>
            <w:tcMar>
              <w:top w:w="105" w:type="dxa"/>
              <w:left w:w="125" w:type="dxa"/>
              <w:bottom w:w="105" w:type="dxa"/>
              <w:right w:w="125" w:type="dxa"/>
            </w:tcMar>
          </w:tcPr>
          <w:p w14:paraId="4F5C518E" w14:textId="789273D5" w:rsidR="004B17AA" w:rsidRDefault="00A060E8">
            <w:pPr>
              <w:spacing w:after="50" w:line="255" w:lineRule="auto"/>
            </w:pPr>
            <w:r>
              <w:rPr>
                <w:sz w:val="19"/>
                <w:szCs w:val="19"/>
              </w:rPr>
              <w:t>A geometry-independent modulus or fluid viscosity</w:t>
            </w:r>
            <w:hyperlink r:id="rId57" w:history="1">
              <w:r>
                <w:rPr>
                  <w:color w:val="087B78"/>
                  <w:sz w:val="18"/>
                  <w:szCs w:val="18"/>
                </w:rPr>
                <w:t xml:space="preserve"> [7]</w:t>
              </w:r>
            </w:hyperlink>
            <w:hyperlink r:id="rId58" w:history="1">
              <w:r>
                <w:rPr>
                  <w:color w:val="087B78"/>
                  <w:sz w:val="18"/>
                  <w:szCs w:val="18"/>
                </w:rPr>
                <w:t xml:space="preserve"> [8]</w:t>
              </w:r>
            </w:hyperlink>
          </w:p>
        </w:tc>
      </w:tr>
      <w:tr w:rsidR="004B17AA" w14:paraId="0C1F44D7" w14:textId="77777777">
        <w:tblPrEx>
          <w:tblCellMar>
            <w:top w:w="0" w:type="dxa"/>
            <w:bottom w:w="0" w:type="dxa"/>
          </w:tblCellMar>
        </w:tblPrEx>
        <w:trPr>
          <w:cantSplit/>
        </w:trPr>
        <w:tc>
          <w:tcPr>
            <w:tcW w:w="3120" w:type="dxa"/>
            <w:tcMar>
              <w:top w:w="105" w:type="dxa"/>
              <w:left w:w="125" w:type="dxa"/>
              <w:bottom w:w="105" w:type="dxa"/>
              <w:right w:w="125" w:type="dxa"/>
            </w:tcMar>
          </w:tcPr>
          <w:p w14:paraId="6F0AADBF" w14:textId="77777777" w:rsidR="004B17AA" w:rsidRDefault="00A060E8">
            <w:pPr>
              <w:spacing w:after="50" w:line="255" w:lineRule="auto"/>
            </w:pPr>
            <w:r>
              <w:rPr>
                <w:sz w:val="19"/>
                <w:szCs w:val="19"/>
              </w:rPr>
              <w:t>G′ and G″ or loss tangent</w:t>
            </w:r>
          </w:p>
        </w:tc>
        <w:tc>
          <w:tcPr>
            <w:tcW w:w="3120" w:type="dxa"/>
            <w:tcMar>
              <w:top w:w="105" w:type="dxa"/>
              <w:left w:w="125" w:type="dxa"/>
              <w:bottom w:w="105" w:type="dxa"/>
              <w:right w:w="125" w:type="dxa"/>
            </w:tcMar>
          </w:tcPr>
          <w:p w14:paraId="07B87C57" w14:textId="77777777" w:rsidR="004B17AA" w:rsidRDefault="00A060E8">
            <w:pPr>
              <w:spacing w:after="50" w:line="255" w:lineRule="auto"/>
            </w:pPr>
            <w:r>
              <w:rPr>
                <w:sz w:val="19"/>
                <w:szCs w:val="19"/>
              </w:rPr>
              <w:t>Stored and dissipative response at a specified loading frequency</w:t>
            </w:r>
          </w:p>
        </w:tc>
        <w:tc>
          <w:tcPr>
            <w:tcW w:w="3120" w:type="dxa"/>
            <w:tcMar>
              <w:top w:w="105" w:type="dxa"/>
              <w:left w:w="125" w:type="dxa"/>
              <w:bottom w:w="105" w:type="dxa"/>
              <w:right w:w="125" w:type="dxa"/>
            </w:tcMar>
          </w:tcPr>
          <w:p w14:paraId="4B86C423" w14:textId="6BABC4B9" w:rsidR="004B17AA" w:rsidRDefault="00A060E8">
            <w:pPr>
              <w:spacing w:after="50" w:line="255" w:lineRule="auto"/>
            </w:pPr>
            <w:r>
              <w:rPr>
                <w:sz w:val="19"/>
                <w:szCs w:val="19"/>
              </w:rPr>
              <w:t>One frequency-independent fluid constant</w:t>
            </w:r>
            <w:hyperlink r:id="rId59" w:history="1">
              <w:r>
                <w:rPr>
                  <w:color w:val="087B78"/>
                  <w:sz w:val="18"/>
                  <w:szCs w:val="18"/>
                </w:rPr>
                <w:t xml:space="preserve"> [4]</w:t>
              </w:r>
            </w:hyperlink>
            <w:hyperlink r:id="rId60" w:history="1">
              <w:r>
                <w:rPr>
                  <w:color w:val="087B78"/>
                  <w:sz w:val="18"/>
                  <w:szCs w:val="18"/>
                </w:rPr>
                <w:t xml:space="preserve"> [5]</w:t>
              </w:r>
            </w:hyperlink>
          </w:p>
        </w:tc>
      </w:tr>
      <w:tr w:rsidR="004B17AA" w14:paraId="1BB849B3" w14:textId="77777777">
        <w:tblPrEx>
          <w:tblCellMar>
            <w:top w:w="0" w:type="dxa"/>
            <w:bottom w:w="0" w:type="dxa"/>
          </w:tblCellMar>
        </w:tblPrEx>
        <w:trPr>
          <w:cantSplit/>
        </w:trPr>
        <w:tc>
          <w:tcPr>
            <w:tcW w:w="3120" w:type="dxa"/>
            <w:tcMar>
              <w:top w:w="105" w:type="dxa"/>
              <w:left w:w="125" w:type="dxa"/>
              <w:bottom w:w="105" w:type="dxa"/>
              <w:right w:w="125" w:type="dxa"/>
            </w:tcMar>
          </w:tcPr>
          <w:p w14:paraId="26A0A295" w14:textId="77777777" w:rsidR="004B17AA" w:rsidRDefault="00A060E8">
            <w:pPr>
              <w:spacing w:after="50" w:line="255" w:lineRule="auto"/>
            </w:pPr>
            <w:r>
              <w:rPr>
                <w:sz w:val="19"/>
                <w:szCs w:val="19"/>
              </w:rPr>
              <w:t>Droplet coalescence relaxation</w:t>
            </w:r>
          </w:p>
        </w:tc>
        <w:tc>
          <w:tcPr>
            <w:tcW w:w="3120" w:type="dxa"/>
            <w:tcMar>
              <w:top w:w="105" w:type="dxa"/>
              <w:left w:w="125" w:type="dxa"/>
              <w:bottom w:w="105" w:type="dxa"/>
              <w:right w:w="125" w:type="dxa"/>
            </w:tcMar>
          </w:tcPr>
          <w:p w14:paraId="7B89E3A0" w14:textId="77777777" w:rsidR="004B17AA" w:rsidRDefault="00A060E8">
            <w:pPr>
              <w:spacing w:after="50" w:line="255" w:lineRule="auto"/>
            </w:pPr>
            <w:r>
              <w:rPr>
                <w:sz w:val="19"/>
                <w:szCs w:val="19"/>
              </w:rPr>
              <w:t>Collective shape recovery under interfacial forces</w:t>
            </w:r>
          </w:p>
        </w:tc>
        <w:tc>
          <w:tcPr>
            <w:tcW w:w="3120" w:type="dxa"/>
            <w:tcMar>
              <w:top w:w="105" w:type="dxa"/>
              <w:left w:w="125" w:type="dxa"/>
              <w:bottom w:w="105" w:type="dxa"/>
              <w:right w:w="125" w:type="dxa"/>
            </w:tcMar>
          </w:tcPr>
          <w:p w14:paraId="73EE657C" w14:textId="1568467A" w:rsidR="004B17AA" w:rsidRDefault="00A060E8">
            <w:pPr>
              <w:spacing w:after="50" w:line="255" w:lineRule="auto"/>
            </w:pPr>
            <w:r>
              <w:rPr>
                <w:sz w:val="19"/>
                <w:szCs w:val="19"/>
              </w:rPr>
              <w:t>Viscosity alone when surface tension is unmeasured</w:t>
            </w:r>
            <w:hyperlink r:id="rId61" w:history="1">
              <w:r>
                <w:rPr>
                  <w:color w:val="087B78"/>
                  <w:sz w:val="18"/>
                  <w:szCs w:val="18"/>
                </w:rPr>
                <w:t xml:space="preserve"> [3]</w:t>
              </w:r>
            </w:hyperlink>
          </w:p>
        </w:tc>
      </w:tr>
      <w:tr w:rsidR="004B17AA" w14:paraId="023C6C21" w14:textId="77777777">
        <w:tblPrEx>
          <w:tblCellMar>
            <w:top w:w="0" w:type="dxa"/>
            <w:bottom w:w="0" w:type="dxa"/>
          </w:tblCellMar>
        </w:tblPrEx>
        <w:trPr>
          <w:cantSplit/>
        </w:trPr>
        <w:tc>
          <w:tcPr>
            <w:tcW w:w="3120" w:type="dxa"/>
            <w:tcMar>
              <w:top w:w="105" w:type="dxa"/>
              <w:left w:w="125" w:type="dxa"/>
              <w:bottom w:w="105" w:type="dxa"/>
              <w:right w:w="125" w:type="dxa"/>
            </w:tcMar>
          </w:tcPr>
          <w:p w14:paraId="07F0110D" w14:textId="77777777" w:rsidR="004B17AA" w:rsidRDefault="00A060E8">
            <w:pPr>
              <w:spacing w:after="50" w:line="255" w:lineRule="auto"/>
            </w:pPr>
            <w:r>
              <w:rPr>
                <w:sz w:val="19"/>
                <w:szCs w:val="19"/>
              </w:rPr>
              <w:t>Compression hysteresis</w:t>
            </w:r>
          </w:p>
        </w:tc>
        <w:tc>
          <w:tcPr>
            <w:tcW w:w="3120" w:type="dxa"/>
            <w:tcMar>
              <w:top w:w="105" w:type="dxa"/>
              <w:left w:w="125" w:type="dxa"/>
              <w:bottom w:w="105" w:type="dxa"/>
              <w:right w:w="125" w:type="dxa"/>
            </w:tcMar>
          </w:tcPr>
          <w:p w14:paraId="1FCADBF8" w14:textId="77777777" w:rsidR="004B17AA" w:rsidRDefault="00A060E8">
            <w:pPr>
              <w:spacing w:after="50" w:line="255" w:lineRule="auto"/>
            </w:pPr>
            <w:r>
              <w:rPr>
                <w:sz w:val="19"/>
                <w:szCs w:val="19"/>
              </w:rPr>
              <w:t>Dissipated loading work in the measured preparation</w:t>
            </w:r>
          </w:p>
        </w:tc>
        <w:tc>
          <w:tcPr>
            <w:tcW w:w="3120" w:type="dxa"/>
            <w:tcMar>
              <w:top w:w="105" w:type="dxa"/>
              <w:left w:w="125" w:type="dxa"/>
              <w:bottom w:w="105" w:type="dxa"/>
              <w:right w:w="125" w:type="dxa"/>
            </w:tcMar>
          </w:tcPr>
          <w:p w14:paraId="44656E11" w14:textId="14AE581A" w:rsidR="004B17AA" w:rsidRDefault="00A060E8">
            <w:pPr>
              <w:spacing w:after="50" w:line="255" w:lineRule="auto"/>
            </w:pPr>
            <w:r>
              <w:rPr>
                <w:sz w:val="19"/>
                <w:szCs w:val="19"/>
              </w:rPr>
              <w:t>Proof that dissipation is entirely passive</w:t>
            </w:r>
            <w:hyperlink r:id="rId62" w:history="1">
              <w:r>
                <w:rPr>
                  <w:color w:val="087B78"/>
                  <w:sz w:val="18"/>
                  <w:szCs w:val="18"/>
                </w:rPr>
                <w:t xml:space="preserve"> [6]</w:t>
              </w:r>
            </w:hyperlink>
          </w:p>
        </w:tc>
      </w:tr>
    </w:tbl>
    <w:p w14:paraId="630CDB51" w14:textId="77777777" w:rsidR="004B17AA" w:rsidRDefault="004B17AA">
      <w:pPr>
        <w:spacing w:after="170"/>
      </w:pPr>
    </w:p>
    <w:p w14:paraId="7F46AE81" w14:textId="14E36986" w:rsidR="004B17AA" w:rsidRDefault="00A060E8">
      <w:r>
        <w:t>A well-supported regulatory claim should identify the causal intervention and the matched observable. For example, a targeted chromatin force followed by a persistent mobility change is different evidence from a correlational association between nuclear size and concentration. One should test whether probe access, binding, material response and composition change together, and whether the original state returns after the intervention. This approach permits functional interpretation without assuming that eve</w:t>
      </w:r>
      <w:r>
        <w:t>ry perturbation acts by raising or lowering a single nuclear viscosity. It also makes disagreements between studies experimentally tractable rather than merely terminological.</w:t>
      </w:r>
      <w:hyperlink r:id="rId63" w:history="1">
        <w:r>
          <w:rPr>
            <w:color w:val="087B78"/>
            <w:sz w:val="18"/>
            <w:szCs w:val="18"/>
          </w:rPr>
          <w:t xml:space="preserve"> [4]</w:t>
        </w:r>
      </w:hyperlink>
      <w:hyperlink r:id="rId64" w:history="1">
        <w:r>
          <w:rPr>
            <w:color w:val="087B78"/>
            <w:sz w:val="18"/>
            <w:szCs w:val="18"/>
          </w:rPr>
          <w:t xml:space="preserve"> [15]</w:t>
        </w:r>
      </w:hyperlink>
      <w:hyperlink r:id="rId65" w:history="1">
        <w:r>
          <w:rPr>
            <w:color w:val="087B78"/>
            <w:sz w:val="18"/>
            <w:szCs w:val="18"/>
          </w:rPr>
          <w:t xml:space="preserve"> [12]</w:t>
        </w:r>
      </w:hyperlink>
      <w:hyperlink r:id="rId66" w:history="1">
        <w:r>
          <w:rPr>
            <w:color w:val="087B78"/>
            <w:sz w:val="18"/>
            <w:szCs w:val="18"/>
          </w:rPr>
          <w:t xml:space="preserve"> [13]</w:t>
        </w:r>
      </w:hyperlink>
    </w:p>
    <w:p w14:paraId="55A19A46" w14:textId="77777777" w:rsidR="004B17AA" w:rsidRDefault="00A060E8">
      <w:pPr>
        <w:pStyle w:val="Heading1"/>
      </w:pPr>
      <w:bookmarkStart w:id="10" w:name="_Toc242668397"/>
      <w:r>
        <w:t>10. A coherent current picture</w:t>
      </w:r>
      <w:bookmarkEnd w:id="10"/>
    </w:p>
    <w:p w14:paraId="33A862BF" w14:textId="066B031A" w:rsidR="004B17AA" w:rsidRDefault="00A060E8">
      <w:r>
        <w:t xml:space="preserve">The nuclear interior combines mobile fluid spaces, chromatin obstacles and networks, concentrated nuclear bodies and an enclosing mechanical boundary. Viscosity is one descriptor within that composite, useful when the relevant dissipative regime and probe coupling are </w:t>
      </w:r>
      <w:r>
        <w:lastRenderedPageBreak/>
        <w:t>established. Current primary evidence favors measuring mobility and mechanical response across scales and biological states, then linking them with explicit models. The strongest next steps are matched measurements of force response, soluble-probe mobility, binding populations and concentration. Such experiments can reveal when changing nuclear organization changes passive drag, active dissipation or both, while avoiding a universal value that conceals the mechanisms being studied.</w:t>
      </w:r>
      <w:hyperlink r:id="rId67" w:history="1">
        <w:r>
          <w:rPr>
            <w:color w:val="087B78"/>
            <w:sz w:val="18"/>
            <w:szCs w:val="18"/>
          </w:rPr>
          <w:t xml:space="preserve"> [2]</w:t>
        </w:r>
      </w:hyperlink>
      <w:hyperlink r:id="rId68" w:history="1">
        <w:r>
          <w:rPr>
            <w:color w:val="087B78"/>
            <w:sz w:val="18"/>
            <w:szCs w:val="18"/>
          </w:rPr>
          <w:t xml:space="preserve"> [3]</w:t>
        </w:r>
      </w:hyperlink>
      <w:hyperlink r:id="rId69" w:history="1">
        <w:r>
          <w:rPr>
            <w:color w:val="087B78"/>
            <w:sz w:val="18"/>
            <w:szCs w:val="18"/>
          </w:rPr>
          <w:t xml:space="preserve"> [7]</w:t>
        </w:r>
      </w:hyperlink>
      <w:hyperlink r:id="rId70" w:history="1">
        <w:r>
          <w:rPr>
            <w:color w:val="087B78"/>
            <w:sz w:val="18"/>
            <w:szCs w:val="18"/>
          </w:rPr>
          <w:t xml:space="preserve"> [4]</w:t>
        </w:r>
      </w:hyperlink>
      <w:hyperlink r:id="rId71" w:history="1">
        <w:r>
          <w:rPr>
            <w:color w:val="087B78"/>
            <w:sz w:val="18"/>
            <w:szCs w:val="18"/>
          </w:rPr>
          <w:t xml:space="preserve"> [5]</w:t>
        </w:r>
      </w:hyperlink>
      <w:hyperlink r:id="rId72" w:history="1">
        <w:r>
          <w:rPr>
            <w:color w:val="087B78"/>
            <w:sz w:val="18"/>
            <w:szCs w:val="18"/>
          </w:rPr>
          <w:t xml:space="preserve"> [6]</w:t>
        </w:r>
      </w:hyperlink>
    </w:p>
    <w:p w14:paraId="5DE101C4" w14:textId="5B98544E" w:rsidR="004B17AA" w:rsidRDefault="00A060E8">
      <w:r>
        <w:t>Biological significance should be assessed at the level of the process that is affected. A changed mobile fraction may alter the availability of a factor, while a changed mechanical relaxation can alter how the nucleus accommodates deformation. These effects may occur together but need not have a one-to-one relation. The targeted-force experiments connect particular mobility and polymerase readouts, whereas the karyoplast experiments connect metabolic perturbations with dissipation. Keeping the functional e</w:t>
      </w:r>
      <w:r>
        <w:t>ndpoint matched to the physical measurement provides a route to test causality without assuming that a general viscosity change explains every downstream consequence.</w:t>
      </w:r>
      <w:hyperlink r:id="rId73" w:history="1">
        <w:r>
          <w:rPr>
            <w:color w:val="087B78"/>
            <w:sz w:val="18"/>
            <w:szCs w:val="18"/>
          </w:rPr>
          <w:t xml:space="preserve"> [4]</w:t>
        </w:r>
      </w:hyperlink>
      <w:hyperlink r:id="rId74" w:history="1">
        <w:r>
          <w:rPr>
            <w:color w:val="087B78"/>
            <w:sz w:val="18"/>
            <w:szCs w:val="18"/>
          </w:rPr>
          <w:t xml:space="preserve"> [6]</w:t>
        </w:r>
      </w:hyperlink>
      <w:hyperlink r:id="rId75" w:history="1">
        <w:r>
          <w:rPr>
            <w:color w:val="087B78"/>
            <w:sz w:val="18"/>
            <w:szCs w:val="18"/>
          </w:rPr>
          <w:t xml:space="preserve"> [12]</w:t>
        </w:r>
      </w:hyperlink>
    </w:p>
    <w:p w14:paraId="1C0DA7E1" w14:textId="77777777" w:rsidR="004B17AA" w:rsidRDefault="00A060E8">
      <w:pPr>
        <w:pStyle w:val="Heading1"/>
      </w:pPr>
      <w:bookmarkStart w:id="11" w:name="_Toc242668398"/>
      <w:r>
        <w:t>References</w:t>
      </w:r>
      <w:bookmarkEnd w:id="11"/>
    </w:p>
    <w:p w14:paraId="52EE16E3" w14:textId="26EEE54D" w:rsidR="004B17AA" w:rsidRDefault="00A060E8">
      <w:pPr>
        <w:keepLines/>
        <w:spacing w:after="90" w:line="245" w:lineRule="auto"/>
      </w:pPr>
      <w:r>
        <w:rPr>
          <w:b/>
          <w:bCs/>
          <w:sz w:val="20"/>
          <w:szCs w:val="20"/>
        </w:rPr>
        <w:t xml:space="preserve">[1] Nicolas Dross, Corentin Spriet, Monika Zwerger et al. (2009). </w:t>
      </w:r>
      <w:r>
        <w:rPr>
          <w:sz w:val="20"/>
          <w:szCs w:val="20"/>
        </w:rPr>
        <w:t xml:space="preserve">Mapping eGFP Oligomer Mobility in Living Cell Nuclei. PLOS ONE. </w:t>
      </w:r>
      <w:hyperlink r:id="rId76" w:history="1">
        <w:r>
          <w:rPr>
            <w:color w:val="087B78"/>
            <w:sz w:val="20"/>
            <w:szCs w:val="20"/>
            <w:u w:val="single"/>
          </w:rPr>
          <w:t>10.1371/journal.pone.0005041</w:t>
        </w:r>
      </w:hyperlink>
    </w:p>
    <w:p w14:paraId="12F0EC7E" w14:textId="5C48CDA6" w:rsidR="004B17AA" w:rsidRDefault="00A060E8">
      <w:pPr>
        <w:keepLines/>
        <w:spacing w:after="90" w:line="245" w:lineRule="auto"/>
      </w:pPr>
      <w:r>
        <w:rPr>
          <w:b/>
          <w:bCs/>
          <w:sz w:val="20"/>
          <w:szCs w:val="20"/>
        </w:rPr>
        <w:t xml:space="preserve">[2] Fabian Erdel, Michael Baum, Karsten Rippe (2015). </w:t>
      </w:r>
      <w:r>
        <w:rPr>
          <w:sz w:val="20"/>
          <w:szCs w:val="20"/>
        </w:rPr>
        <w:t xml:space="preserve">The viscoelastic properties of chromatin and the nucleoplasm revealed by scale-dependent protein mobility. Journal of Physics: Condensed Matter. </w:t>
      </w:r>
      <w:hyperlink r:id="rId77" w:history="1">
        <w:r>
          <w:rPr>
            <w:color w:val="087B78"/>
            <w:sz w:val="20"/>
            <w:szCs w:val="20"/>
            <w:u w:val="single"/>
          </w:rPr>
          <w:t>10.1088/0953-8984/27/6/064115</w:t>
        </w:r>
      </w:hyperlink>
    </w:p>
    <w:p w14:paraId="3FAD5213" w14:textId="3A9F9033" w:rsidR="004B17AA" w:rsidRDefault="00A060E8">
      <w:pPr>
        <w:keepLines/>
        <w:spacing w:after="90" w:line="245" w:lineRule="auto"/>
      </w:pPr>
      <w:r>
        <w:rPr>
          <w:b/>
          <w:bCs/>
          <w:sz w:val="20"/>
          <w:szCs w:val="20"/>
        </w:rPr>
        <w:t xml:space="preserve">[3] Marina Feric, Nilesh Vaidya, Tyler S. Harmon et al. (2016). </w:t>
      </w:r>
      <w:r>
        <w:rPr>
          <w:sz w:val="20"/>
          <w:szCs w:val="20"/>
        </w:rPr>
        <w:t xml:space="preserve">Coexisting Liquid Phases Underlie Nucleolar Subcompartments. Cell. </w:t>
      </w:r>
      <w:hyperlink r:id="rId78" w:history="1">
        <w:r>
          <w:rPr>
            <w:color w:val="087B78"/>
            <w:sz w:val="20"/>
            <w:szCs w:val="20"/>
            <w:u w:val="single"/>
          </w:rPr>
          <w:t>10.1016/j.cell.2016.04.047</w:t>
        </w:r>
      </w:hyperlink>
    </w:p>
    <w:p w14:paraId="7732747F" w14:textId="3DA8628D" w:rsidR="004B17AA" w:rsidRDefault="00A060E8">
      <w:pPr>
        <w:keepLines/>
        <w:spacing w:after="90" w:line="245" w:lineRule="auto"/>
      </w:pPr>
      <w:r>
        <w:rPr>
          <w:b/>
          <w:bCs/>
          <w:sz w:val="20"/>
          <w:szCs w:val="20"/>
        </w:rPr>
        <w:t xml:space="preserve">[4] Fazlur Rashid, Sadia Amin Kabbo, Ning Wang (2024). </w:t>
      </w:r>
      <w:r>
        <w:rPr>
          <w:sz w:val="20"/>
          <w:szCs w:val="20"/>
        </w:rPr>
        <w:t xml:space="preserve">Mechanomemory of nucleoplasm and RNA polymerase II after chromatin stretching by a microinjected magnetic nanoparticle force. Cell Reports. </w:t>
      </w:r>
      <w:hyperlink r:id="rId79" w:history="1">
        <w:r>
          <w:rPr>
            <w:color w:val="087B78"/>
            <w:sz w:val="20"/>
            <w:szCs w:val="20"/>
            <w:u w:val="single"/>
          </w:rPr>
          <w:t>10.1016/j.celrep.2024.114462</w:t>
        </w:r>
      </w:hyperlink>
    </w:p>
    <w:p w14:paraId="65AC24EB" w14:textId="5652B9D9" w:rsidR="004B17AA" w:rsidRDefault="00A060E8">
      <w:pPr>
        <w:keepLines/>
        <w:spacing w:after="90" w:line="245" w:lineRule="auto"/>
      </w:pPr>
      <w:r>
        <w:rPr>
          <w:b/>
          <w:bCs/>
          <w:sz w:val="20"/>
          <w:szCs w:val="20"/>
        </w:rPr>
        <w:t xml:space="preserve">[5] Ellen Juel Pørtner, Anna Mularski, Tobias William Jarrett, Stine Lauritzen Sønder, Jesper Nylandsted, Adam Cohen Simonsen (2025). </w:t>
      </w:r>
      <w:r>
        <w:rPr>
          <w:sz w:val="20"/>
          <w:szCs w:val="20"/>
        </w:rPr>
        <w:t xml:space="preserve">Viscoelastic differences between isolated and live MCF7 cancer cell nuclei resolved with AFM microrheology. Journal of the Royal Society Interface. </w:t>
      </w:r>
      <w:hyperlink r:id="rId80" w:history="1">
        <w:r>
          <w:rPr>
            <w:color w:val="087B78"/>
            <w:sz w:val="20"/>
            <w:szCs w:val="20"/>
            <w:u w:val="single"/>
          </w:rPr>
          <w:t>10.1098/rsif.2024.0885</w:t>
        </w:r>
      </w:hyperlink>
    </w:p>
    <w:p w14:paraId="18114415" w14:textId="1B28D09A" w:rsidR="004B17AA" w:rsidRDefault="00A060E8">
      <w:pPr>
        <w:keepLines/>
        <w:spacing w:after="90" w:line="245" w:lineRule="auto"/>
      </w:pPr>
      <w:r>
        <w:rPr>
          <w:b/>
          <w:bCs/>
          <w:sz w:val="20"/>
          <w:szCs w:val="20"/>
        </w:rPr>
        <w:t xml:space="preserve">[6] Fitzroy J. Byfield, Behnaz Eftekhari, Kaeli Kaymak-Loveless et al. (2025). </w:t>
      </w:r>
      <w:r>
        <w:rPr>
          <w:sz w:val="20"/>
          <w:szCs w:val="20"/>
        </w:rPr>
        <w:t xml:space="preserve">Metabolically intact nuclei are fluidized by the activity of the chromatin remodeling motor BRG1. Biophysical Journal. </w:t>
      </w:r>
      <w:hyperlink r:id="rId81" w:history="1">
        <w:r>
          <w:rPr>
            <w:color w:val="087B78"/>
            <w:sz w:val="20"/>
            <w:szCs w:val="20"/>
            <w:u w:val="single"/>
          </w:rPr>
          <w:t>10.1016/j.bpj.2024.11.3322</w:t>
        </w:r>
      </w:hyperlink>
    </w:p>
    <w:p w14:paraId="696DA501" w14:textId="6D1346F4" w:rsidR="004B17AA" w:rsidRDefault="00A060E8">
      <w:pPr>
        <w:keepLines/>
        <w:spacing w:after="90" w:line="245" w:lineRule="auto"/>
      </w:pPr>
      <w:r>
        <w:rPr>
          <w:b/>
          <w:bCs/>
          <w:sz w:val="20"/>
          <w:szCs w:val="20"/>
        </w:rPr>
        <w:t xml:space="preserve">[7] Andrew D. Stephens, Edward J. Banigan, Stephen A. Adam et al. (2017). </w:t>
      </w:r>
      <w:r>
        <w:rPr>
          <w:sz w:val="20"/>
          <w:szCs w:val="20"/>
        </w:rPr>
        <w:t xml:space="preserve">Chromatin and lamin A determine two different mechanical response regimes of the cell nucleus. Molecular Biology of the Cell. </w:t>
      </w:r>
      <w:hyperlink r:id="rId82" w:history="1">
        <w:r>
          <w:rPr>
            <w:color w:val="087B78"/>
            <w:sz w:val="20"/>
            <w:szCs w:val="20"/>
            <w:u w:val="single"/>
          </w:rPr>
          <w:t>10.1091/mbc.E16-09-0653</w:t>
        </w:r>
      </w:hyperlink>
    </w:p>
    <w:p w14:paraId="2E600D3A" w14:textId="6DFD11A1" w:rsidR="004B17AA" w:rsidRDefault="00A060E8">
      <w:pPr>
        <w:keepLines/>
        <w:spacing w:after="90" w:line="245" w:lineRule="auto"/>
      </w:pPr>
      <w:r>
        <w:rPr>
          <w:b/>
          <w:bCs/>
          <w:sz w:val="20"/>
          <w:szCs w:val="20"/>
        </w:rPr>
        <w:t xml:space="preserve">[8] G. Bergamaschi, A. Biebricher, Hannes Witt, F. Byfield, Xamanie M R Seymonson, Cornelis Storm, P. Janmey, G. Wuite (2024). </w:t>
      </w:r>
      <w:r>
        <w:rPr>
          <w:sz w:val="20"/>
          <w:szCs w:val="20"/>
        </w:rPr>
        <w:t xml:space="preserve">Heterogeneous force response of chromatin in isolated nuclei.. Cell Reports. </w:t>
      </w:r>
      <w:hyperlink r:id="rId83" w:history="1">
        <w:r>
          <w:rPr>
            <w:color w:val="087B78"/>
            <w:sz w:val="20"/>
            <w:szCs w:val="20"/>
            <w:u w:val="single"/>
          </w:rPr>
          <w:t>10.1016/j.celrep.2024.114852</w:t>
        </w:r>
      </w:hyperlink>
    </w:p>
    <w:p w14:paraId="35E83932" w14:textId="5A4FF4DF" w:rsidR="004B17AA" w:rsidRDefault="00A060E8">
      <w:pPr>
        <w:keepLines/>
        <w:spacing w:after="90" w:line="245" w:lineRule="auto"/>
      </w:pPr>
      <w:r>
        <w:rPr>
          <w:b/>
          <w:bCs/>
          <w:sz w:val="20"/>
          <w:szCs w:val="20"/>
        </w:rPr>
        <w:t xml:space="preserve">[9] Todd M. Squires, Thomas G. Mason (2010). </w:t>
      </w:r>
      <w:r>
        <w:rPr>
          <w:sz w:val="20"/>
          <w:szCs w:val="20"/>
        </w:rPr>
        <w:t xml:space="preserve">Fluid Mechanics of Microrheology. Annual Review of Fluid Mechanics. </w:t>
      </w:r>
      <w:hyperlink r:id="rId84" w:history="1">
        <w:r>
          <w:rPr>
            <w:color w:val="087B78"/>
            <w:sz w:val="20"/>
            <w:szCs w:val="20"/>
            <w:u w:val="single"/>
          </w:rPr>
          <w:t>10.1146/annurev-fluid-121108-145608</w:t>
        </w:r>
      </w:hyperlink>
    </w:p>
    <w:p w14:paraId="28E705D0" w14:textId="57ADC5F5" w:rsidR="004B17AA" w:rsidRDefault="00A060E8">
      <w:pPr>
        <w:keepLines/>
        <w:spacing w:after="90" w:line="245" w:lineRule="auto"/>
      </w:pPr>
      <w:r>
        <w:rPr>
          <w:b/>
          <w:bCs/>
          <w:sz w:val="20"/>
          <w:szCs w:val="20"/>
        </w:rPr>
        <w:t xml:space="preserve">[10] Aurélien Bancaud, Sébastien Huet, Nathalie Daigle et al. (2009). </w:t>
      </w:r>
      <w:r>
        <w:rPr>
          <w:sz w:val="20"/>
          <w:szCs w:val="20"/>
        </w:rPr>
        <w:t xml:space="preserve">Molecular crowding affects diffusion and binding of nuclear proteins in heterochromatin and reveals the fractal organization of chromatin. The EMBO Journal. </w:t>
      </w:r>
      <w:hyperlink r:id="rId85" w:history="1">
        <w:r>
          <w:rPr>
            <w:color w:val="087B78"/>
            <w:sz w:val="20"/>
            <w:szCs w:val="20"/>
            <w:u w:val="single"/>
          </w:rPr>
          <w:t>10.1038/emboj.2009.340</w:t>
        </w:r>
      </w:hyperlink>
    </w:p>
    <w:p w14:paraId="41D6BD73" w14:textId="763DF851" w:rsidR="004B17AA" w:rsidRDefault="00A060E8">
      <w:pPr>
        <w:keepLines/>
        <w:spacing w:after="90" w:line="245" w:lineRule="auto"/>
      </w:pPr>
      <w:r>
        <w:rPr>
          <w:b/>
          <w:bCs/>
          <w:sz w:val="20"/>
          <w:szCs w:val="20"/>
        </w:rPr>
        <w:lastRenderedPageBreak/>
        <w:t xml:space="preserve">[11] Thomas G. Mason, David A. Weitz (1995). </w:t>
      </w:r>
      <w:r>
        <w:rPr>
          <w:sz w:val="20"/>
          <w:szCs w:val="20"/>
        </w:rPr>
        <w:t xml:space="preserve">Optical Measurements of Frequency-Dependent Linear Viscoelastic Moduli of Complex Fluids. Physical Review Letters. </w:t>
      </w:r>
      <w:hyperlink r:id="rId86" w:history="1">
        <w:r>
          <w:rPr>
            <w:color w:val="087B78"/>
            <w:sz w:val="20"/>
            <w:szCs w:val="20"/>
            <w:u w:val="single"/>
          </w:rPr>
          <w:t>10.1103/PhysRevLett.74.1250</w:t>
        </w:r>
      </w:hyperlink>
    </w:p>
    <w:p w14:paraId="662ECA27" w14:textId="4B75159D" w:rsidR="004B17AA" w:rsidRDefault="00A060E8">
      <w:pPr>
        <w:keepLines/>
        <w:spacing w:after="90" w:line="245" w:lineRule="auto"/>
      </w:pPr>
      <w:r>
        <w:rPr>
          <w:b/>
          <w:bCs/>
          <w:sz w:val="20"/>
          <w:szCs w:val="20"/>
        </w:rPr>
        <w:t xml:space="preserve">[12] Brian L. Sprague, Robert L. Pego, Diana A. Stavreva et al. (2004). </w:t>
      </w:r>
      <w:r>
        <w:rPr>
          <w:sz w:val="20"/>
          <w:szCs w:val="20"/>
        </w:rPr>
        <w:t xml:space="preserve">Analysis of Binding Reactions by Fluorescence Recovery after Photobleaching. Biophysical Journal. </w:t>
      </w:r>
      <w:hyperlink r:id="rId87" w:history="1">
        <w:r>
          <w:rPr>
            <w:color w:val="087B78"/>
            <w:sz w:val="20"/>
            <w:szCs w:val="20"/>
            <w:u w:val="single"/>
          </w:rPr>
          <w:t>10.1529/biophysj.103.026765</w:t>
        </w:r>
      </w:hyperlink>
    </w:p>
    <w:p w14:paraId="2C0E3128" w14:textId="3952D1B1" w:rsidR="004B17AA" w:rsidRDefault="00A060E8">
      <w:pPr>
        <w:keepLines/>
        <w:spacing w:after="90" w:line="245" w:lineRule="auto"/>
      </w:pPr>
      <w:r>
        <w:rPr>
          <w:b/>
          <w:bCs/>
          <w:sz w:val="20"/>
          <w:szCs w:val="20"/>
        </w:rPr>
        <w:t xml:space="preserve">[13] Anders S. Hansen, Maxime Woringer, Jonathan B. Grimm et al. (2018). </w:t>
      </w:r>
      <w:r>
        <w:rPr>
          <w:sz w:val="20"/>
          <w:szCs w:val="20"/>
        </w:rPr>
        <w:t xml:space="preserve">Robust model-based analysis of single-particle tracking experiments with Spot-On. eLife. </w:t>
      </w:r>
      <w:hyperlink r:id="rId88" w:history="1">
        <w:r>
          <w:rPr>
            <w:color w:val="087B78"/>
            <w:sz w:val="20"/>
            <w:szCs w:val="20"/>
            <w:u w:val="single"/>
          </w:rPr>
          <w:t>10.7554/eLife.33125</w:t>
        </w:r>
      </w:hyperlink>
    </w:p>
    <w:p w14:paraId="37809017" w14:textId="66520B7B" w:rsidR="004B17AA" w:rsidRDefault="00A060E8">
      <w:pPr>
        <w:keepLines/>
        <w:spacing w:after="90" w:line="245" w:lineRule="auto"/>
      </w:pPr>
      <w:r>
        <w:rPr>
          <w:b/>
          <w:bCs/>
          <w:sz w:val="20"/>
          <w:szCs w:val="20"/>
        </w:rPr>
        <w:t xml:space="preserve">[14] Chandrashekhar U. Murade, George T. Shubeita (2019). </w:t>
      </w:r>
      <w:r>
        <w:rPr>
          <w:sz w:val="20"/>
          <w:szCs w:val="20"/>
        </w:rPr>
        <w:t xml:space="preserve">A Molecular Sensor Reveals Differences in Macromolecular Crowding between the Cytoplasm and Nucleoplasm. ACS Sensors. </w:t>
      </w:r>
      <w:hyperlink r:id="rId89" w:history="1">
        <w:r>
          <w:rPr>
            <w:color w:val="087B78"/>
            <w:sz w:val="20"/>
            <w:szCs w:val="20"/>
            <w:u w:val="single"/>
          </w:rPr>
          <w:t>10.1021/acssensors.9b00569</w:t>
        </w:r>
      </w:hyperlink>
    </w:p>
    <w:p w14:paraId="5A24A3E9" w14:textId="3A4433FF" w:rsidR="004B17AA" w:rsidRDefault="00A060E8">
      <w:pPr>
        <w:keepLines/>
        <w:spacing w:after="90" w:line="245" w:lineRule="auto"/>
      </w:pPr>
      <w:r>
        <w:rPr>
          <w:b/>
          <w:bCs/>
          <w:sz w:val="20"/>
          <w:szCs w:val="20"/>
        </w:rPr>
        <w:t xml:space="preserve">[15] Abin Biswas, Omar Muñoz, Kyoohyun Kim et al. (2025). </w:t>
      </w:r>
      <w:r>
        <w:rPr>
          <w:sz w:val="20"/>
          <w:szCs w:val="20"/>
        </w:rPr>
        <w:t xml:space="preserve">Conserved nucleocytoplasmic density homeostasis drives cellular organization across eukaryotes. Nature Communications. </w:t>
      </w:r>
      <w:hyperlink r:id="rId90" w:history="1">
        <w:r>
          <w:rPr>
            <w:color w:val="087B78"/>
            <w:sz w:val="20"/>
            <w:szCs w:val="20"/>
            <w:u w:val="single"/>
          </w:rPr>
          <w:t>10.1038/s41467-025-62605-0</w:t>
        </w:r>
      </w:hyperlink>
    </w:p>
    <w:p w14:paraId="4AB10E84" w14:textId="34FA4F1E" w:rsidR="004B17AA" w:rsidRDefault="00A060E8">
      <w:pPr>
        <w:keepLines/>
        <w:spacing w:after="90" w:line="245" w:lineRule="auto"/>
      </w:pPr>
      <w:r>
        <w:rPr>
          <w:b/>
          <w:bCs/>
          <w:sz w:val="20"/>
          <w:szCs w:val="20"/>
        </w:rPr>
        <w:t xml:space="preserve">[16] Arnold J. Boersma, Inge S. Zuhorn, Bert Poolman (2015). </w:t>
      </w:r>
      <w:r>
        <w:rPr>
          <w:sz w:val="20"/>
          <w:szCs w:val="20"/>
        </w:rPr>
        <w:t xml:space="preserve">A sensor for quantification of macromolecular crowding in living cells. Nature Methods. </w:t>
      </w:r>
      <w:hyperlink r:id="rId91" w:history="1">
        <w:r>
          <w:rPr>
            <w:color w:val="087B78"/>
            <w:sz w:val="20"/>
            <w:szCs w:val="20"/>
            <w:u w:val="single"/>
          </w:rPr>
          <w:t>10.1038/nmeth.3257</w:t>
        </w:r>
      </w:hyperlink>
    </w:p>
    <w:p w14:paraId="0586B4E0" w14:textId="77777777" w:rsidR="004B17AA" w:rsidRDefault="00A060E8">
      <w:pPr>
        <w:pStyle w:val="Heading1"/>
      </w:pPr>
      <w:bookmarkStart w:id="12" w:name="_Toc242668399"/>
      <w:r>
        <w:t>Evidence scope</w:t>
      </w:r>
      <w:bookmarkEnd w:id="12"/>
    </w:p>
    <w:p w14:paraId="1BD59D77" w14:textId="77777777" w:rsidR="004B17AA" w:rsidRDefault="00A060E8">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4B17AA">
      <w:headerReference w:type="default" r:id="rId92"/>
      <w:footerReference w:type="default" r:id="rId93"/>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E5F5" w14:textId="77777777" w:rsidR="00A060E8" w:rsidRDefault="00A060E8">
      <w:pPr>
        <w:spacing w:after="0" w:line="240" w:lineRule="auto"/>
      </w:pPr>
      <w:r>
        <w:separator/>
      </w:r>
    </w:p>
  </w:endnote>
  <w:endnote w:type="continuationSeparator" w:id="0">
    <w:p w14:paraId="7D3A95FE" w14:textId="77777777" w:rsidR="00A060E8" w:rsidRDefault="00A06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75DB" w14:textId="77777777" w:rsidR="004B17AA" w:rsidRDefault="00A060E8">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AE540F">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AE540F">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6802" w14:textId="77777777" w:rsidR="00A060E8" w:rsidRDefault="00A060E8">
      <w:pPr>
        <w:spacing w:after="0" w:line="240" w:lineRule="auto"/>
      </w:pPr>
      <w:r>
        <w:separator/>
      </w:r>
    </w:p>
  </w:footnote>
  <w:footnote w:type="continuationSeparator" w:id="0">
    <w:p w14:paraId="5EDF1C45" w14:textId="77777777" w:rsidR="00A060E8" w:rsidRDefault="00A06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4E3E" w14:textId="77777777" w:rsidR="004B17AA" w:rsidRDefault="00A060E8">
    <w:pPr>
      <w:pBdr>
        <w:bottom w:val="single" w:sz="4" w:space="0" w:color="B8D1D0"/>
      </w:pBdr>
    </w:pPr>
    <w:r>
      <w:rPr>
        <w:color w:val="527077"/>
        <w:sz w:val="17"/>
        <w:szCs w:val="17"/>
      </w:rPr>
      <w:t>Nuclear Viscosity: Fluid Resistance, Structural Relaxation and Biolog…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5D0F"/>
    <w:multiLevelType w:val="hybridMultilevel"/>
    <w:tmpl w:val="AE64BA84"/>
    <w:lvl w:ilvl="0" w:tplc="EBAA79D0">
      <w:start w:val="1"/>
      <w:numFmt w:val="bullet"/>
      <w:lvlText w:val="•"/>
      <w:lvlJc w:val="left"/>
      <w:pPr>
        <w:ind w:left="340" w:hanging="170"/>
      </w:pPr>
    </w:lvl>
    <w:lvl w:ilvl="1" w:tplc="B1A0E234">
      <w:numFmt w:val="decimal"/>
      <w:lvlText w:val=""/>
      <w:lvlJc w:val="left"/>
    </w:lvl>
    <w:lvl w:ilvl="2" w:tplc="6DAC001A">
      <w:numFmt w:val="decimal"/>
      <w:lvlText w:val=""/>
      <w:lvlJc w:val="left"/>
    </w:lvl>
    <w:lvl w:ilvl="3" w:tplc="2F622E22">
      <w:numFmt w:val="decimal"/>
      <w:lvlText w:val=""/>
      <w:lvlJc w:val="left"/>
    </w:lvl>
    <w:lvl w:ilvl="4" w:tplc="29920F44">
      <w:numFmt w:val="decimal"/>
      <w:lvlText w:val=""/>
      <w:lvlJc w:val="left"/>
    </w:lvl>
    <w:lvl w:ilvl="5" w:tplc="DF5EC998">
      <w:numFmt w:val="decimal"/>
      <w:lvlText w:val=""/>
      <w:lvlJc w:val="left"/>
    </w:lvl>
    <w:lvl w:ilvl="6" w:tplc="78E67B90">
      <w:numFmt w:val="decimal"/>
      <w:lvlText w:val=""/>
      <w:lvlJc w:val="left"/>
    </w:lvl>
    <w:lvl w:ilvl="7" w:tplc="9F40F1B2">
      <w:numFmt w:val="decimal"/>
      <w:lvlText w:val=""/>
      <w:lvlJc w:val="left"/>
    </w:lvl>
    <w:lvl w:ilvl="8" w:tplc="DD4AD8E8">
      <w:numFmt w:val="decimal"/>
      <w:lvlText w:val=""/>
      <w:lvlJc w:val="left"/>
    </w:lvl>
  </w:abstractNum>
  <w:abstractNum w:abstractNumId="1" w15:restartNumberingAfterBreak="0">
    <w:nsid w:val="75AE7846"/>
    <w:multiLevelType w:val="hybridMultilevel"/>
    <w:tmpl w:val="4290FB20"/>
    <w:lvl w:ilvl="0" w:tplc="B5B8D4CE">
      <w:start w:val="1"/>
      <w:numFmt w:val="bullet"/>
      <w:lvlText w:val="●"/>
      <w:lvlJc w:val="left"/>
      <w:pPr>
        <w:ind w:left="720" w:hanging="360"/>
      </w:pPr>
    </w:lvl>
    <w:lvl w:ilvl="1" w:tplc="871CA4EE">
      <w:start w:val="1"/>
      <w:numFmt w:val="bullet"/>
      <w:lvlText w:val="○"/>
      <w:lvlJc w:val="left"/>
      <w:pPr>
        <w:ind w:left="1440" w:hanging="360"/>
      </w:pPr>
    </w:lvl>
    <w:lvl w:ilvl="2" w:tplc="CB9EED8A">
      <w:start w:val="1"/>
      <w:numFmt w:val="bullet"/>
      <w:lvlText w:val="■"/>
      <w:lvlJc w:val="left"/>
      <w:pPr>
        <w:ind w:left="2160" w:hanging="360"/>
      </w:pPr>
    </w:lvl>
    <w:lvl w:ilvl="3" w:tplc="72E8C6A0">
      <w:start w:val="1"/>
      <w:numFmt w:val="bullet"/>
      <w:lvlText w:val="●"/>
      <w:lvlJc w:val="left"/>
      <w:pPr>
        <w:ind w:left="2880" w:hanging="360"/>
      </w:pPr>
    </w:lvl>
    <w:lvl w:ilvl="4" w:tplc="97F66040">
      <w:start w:val="1"/>
      <w:numFmt w:val="bullet"/>
      <w:lvlText w:val="○"/>
      <w:lvlJc w:val="left"/>
      <w:pPr>
        <w:ind w:left="3600" w:hanging="360"/>
      </w:pPr>
    </w:lvl>
    <w:lvl w:ilvl="5" w:tplc="0AE2F866">
      <w:start w:val="1"/>
      <w:numFmt w:val="bullet"/>
      <w:lvlText w:val="■"/>
      <w:lvlJc w:val="left"/>
      <w:pPr>
        <w:ind w:left="4320" w:hanging="360"/>
      </w:pPr>
    </w:lvl>
    <w:lvl w:ilvl="6" w:tplc="27984F16">
      <w:start w:val="1"/>
      <w:numFmt w:val="bullet"/>
      <w:lvlText w:val="●"/>
      <w:lvlJc w:val="left"/>
      <w:pPr>
        <w:ind w:left="5040" w:hanging="360"/>
      </w:pPr>
    </w:lvl>
    <w:lvl w:ilvl="7" w:tplc="681A3624">
      <w:start w:val="1"/>
      <w:numFmt w:val="bullet"/>
      <w:lvlText w:val="●"/>
      <w:lvlJc w:val="left"/>
      <w:pPr>
        <w:ind w:left="5760" w:hanging="360"/>
      </w:pPr>
    </w:lvl>
    <w:lvl w:ilvl="8" w:tplc="5486F712">
      <w:start w:val="1"/>
      <w:numFmt w:val="bullet"/>
      <w:lvlText w:val="●"/>
      <w:lvlJc w:val="left"/>
      <w:pPr>
        <w:ind w:left="6480" w:hanging="360"/>
      </w:pPr>
    </w:lvl>
  </w:abstractNum>
  <w:num w:numId="1" w16cid:durableId="1469125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AA"/>
    <w:rsid w:val="004B17AA"/>
    <w:rsid w:val="009E1F59"/>
    <w:rsid w:val="00A060E8"/>
    <w:rsid w:val="00AE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03C7D"/>
  <w15:docId w15:val="{BE21F5AC-249D-4614-9D34-C47793AC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AE540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ell.2016.04.047" TargetMode="External"/><Relationship Id="rId21" Type="http://schemas.openxmlformats.org/officeDocument/2006/relationships/hyperlink" Target="https://doi.org/10.1091/mbc.E16-09-0653" TargetMode="External"/><Relationship Id="rId42" Type="http://schemas.openxmlformats.org/officeDocument/2006/relationships/hyperlink" Target="https://doi.org/10.1016/j.cell.2016.04.047" TargetMode="External"/><Relationship Id="rId47" Type="http://schemas.openxmlformats.org/officeDocument/2006/relationships/hyperlink" Target="https://doi.org/10.1016/j.celrep.2024.114462" TargetMode="External"/><Relationship Id="rId63" Type="http://schemas.openxmlformats.org/officeDocument/2006/relationships/hyperlink" Target="https://doi.org/10.1016/j.celrep.2024.114462" TargetMode="External"/><Relationship Id="rId68" Type="http://schemas.openxmlformats.org/officeDocument/2006/relationships/hyperlink" Target="https://doi.org/10.1016/j.cell.2016.04.047" TargetMode="External"/><Relationship Id="rId84" Type="http://schemas.openxmlformats.org/officeDocument/2006/relationships/hyperlink" Target="https://doi.org/10.1146/annurev-fluid-121108-145608" TargetMode="External"/><Relationship Id="rId89" Type="http://schemas.openxmlformats.org/officeDocument/2006/relationships/hyperlink" Target="https://doi.org/10.1021/acssensors.9b00569" TargetMode="External"/><Relationship Id="rId16" Type="http://schemas.openxmlformats.org/officeDocument/2006/relationships/hyperlink" Target="https://doi.org/10.1098/rsif.2024.0885" TargetMode="External"/><Relationship Id="rId11" Type="http://schemas.openxmlformats.org/officeDocument/2006/relationships/hyperlink" Target="https://doi.org/10.1098/rsif.2024.0885" TargetMode="External"/><Relationship Id="rId32" Type="http://schemas.openxmlformats.org/officeDocument/2006/relationships/hyperlink" Target="https://doi.org/10.1091/mbc.E16-09-0653" TargetMode="External"/><Relationship Id="rId37" Type="http://schemas.openxmlformats.org/officeDocument/2006/relationships/hyperlink" Target="https://doi.org/10.1021/acssensors.9b00569" TargetMode="External"/><Relationship Id="rId53" Type="http://schemas.openxmlformats.org/officeDocument/2006/relationships/hyperlink" Target="https://doi.org/10.1088/0953-8984/27/6/064115" TargetMode="External"/><Relationship Id="rId58" Type="http://schemas.openxmlformats.org/officeDocument/2006/relationships/hyperlink" Target="https://doi.org/10.1016/j.celrep.2024.114852" TargetMode="External"/><Relationship Id="rId74" Type="http://schemas.openxmlformats.org/officeDocument/2006/relationships/hyperlink" Target="https://doi.org/10.1016/j.bpj.2024.11.3322" TargetMode="External"/><Relationship Id="rId79" Type="http://schemas.openxmlformats.org/officeDocument/2006/relationships/hyperlink" Target="https://doi.org/10.1016/j.celrep.2024.114462" TargetMode="External"/><Relationship Id="rId5" Type="http://schemas.openxmlformats.org/officeDocument/2006/relationships/footnotes" Target="footnotes.xml"/><Relationship Id="rId90" Type="http://schemas.openxmlformats.org/officeDocument/2006/relationships/hyperlink" Target="https://doi.org/10.1038/s41467-025-62605-0" TargetMode="External"/><Relationship Id="rId95" Type="http://schemas.openxmlformats.org/officeDocument/2006/relationships/theme" Target="theme/theme1.xml"/><Relationship Id="rId22" Type="http://schemas.openxmlformats.org/officeDocument/2006/relationships/hyperlink" Target="https://doi.org/10.1371/journal.pone.0005041" TargetMode="External"/><Relationship Id="rId27" Type="http://schemas.openxmlformats.org/officeDocument/2006/relationships/hyperlink" Target="https://doi.org/10.1371/journal.pone.0005041" TargetMode="External"/><Relationship Id="rId43" Type="http://schemas.openxmlformats.org/officeDocument/2006/relationships/hyperlink" Target="https://doi.org/10.1146/annurev-fluid-121108-145608" TargetMode="External"/><Relationship Id="rId48" Type="http://schemas.openxmlformats.org/officeDocument/2006/relationships/hyperlink" Target="https://doi.org/10.1091/mbc.E16-09-0653" TargetMode="External"/><Relationship Id="rId64" Type="http://schemas.openxmlformats.org/officeDocument/2006/relationships/hyperlink" Target="https://doi.org/10.1038/s41467-025-62605-0" TargetMode="External"/><Relationship Id="rId69" Type="http://schemas.openxmlformats.org/officeDocument/2006/relationships/hyperlink" Target="https://doi.org/10.1091/mbc.E16-09-0653" TargetMode="External"/><Relationship Id="rId8" Type="http://schemas.openxmlformats.org/officeDocument/2006/relationships/hyperlink" Target="https://doi.org/10.1088/0953-8984/27/6/064115" TargetMode="External"/><Relationship Id="rId51" Type="http://schemas.openxmlformats.org/officeDocument/2006/relationships/hyperlink" Target="https://doi.org/10.1016/j.bpj.2024.11.3322" TargetMode="External"/><Relationship Id="rId72" Type="http://schemas.openxmlformats.org/officeDocument/2006/relationships/hyperlink" Target="https://doi.org/10.1016/j.bpj.2024.11.3322" TargetMode="External"/><Relationship Id="rId80" Type="http://schemas.openxmlformats.org/officeDocument/2006/relationships/hyperlink" Target="https://doi.org/10.1098/rsif.2024.0885" TargetMode="External"/><Relationship Id="rId85" Type="http://schemas.openxmlformats.org/officeDocument/2006/relationships/hyperlink" Target="https://doi.org/10.1038/emboj.2009.340"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16/j.bpj.2024.11.3322" TargetMode="External"/><Relationship Id="rId17" Type="http://schemas.openxmlformats.org/officeDocument/2006/relationships/hyperlink" Target="https://doi.org/10.1016/j.bpj.2024.11.3322" TargetMode="External"/><Relationship Id="rId25" Type="http://schemas.openxmlformats.org/officeDocument/2006/relationships/hyperlink" Target="https://doi.org/10.1146/annurev-fluid-121108-145608" TargetMode="External"/><Relationship Id="rId33" Type="http://schemas.openxmlformats.org/officeDocument/2006/relationships/hyperlink" Target="https://doi.org/10.1146/annurev-fluid-121108-145608" TargetMode="External"/><Relationship Id="rId38" Type="http://schemas.openxmlformats.org/officeDocument/2006/relationships/hyperlink" Target="https://doi.org/10.1371/journal.pone.0005041" TargetMode="External"/><Relationship Id="rId46" Type="http://schemas.openxmlformats.org/officeDocument/2006/relationships/hyperlink" Target="https://doi.org/10.1016/j.celrep.2024.114852" TargetMode="External"/><Relationship Id="rId59" Type="http://schemas.openxmlformats.org/officeDocument/2006/relationships/hyperlink" Target="https://doi.org/10.1016/j.celrep.2024.114462" TargetMode="External"/><Relationship Id="rId67" Type="http://schemas.openxmlformats.org/officeDocument/2006/relationships/hyperlink" Target="https://doi.org/10.1088/0953-8984/27/6/064115" TargetMode="External"/><Relationship Id="rId20" Type="http://schemas.openxmlformats.org/officeDocument/2006/relationships/hyperlink" Target="https://doi.org/10.1016/j.celrep.2024.114462" TargetMode="External"/><Relationship Id="rId41" Type="http://schemas.openxmlformats.org/officeDocument/2006/relationships/hyperlink" Target="https://doi.org/10.1016/j.cell.2016.04.047" TargetMode="External"/><Relationship Id="rId54" Type="http://schemas.openxmlformats.org/officeDocument/2006/relationships/hyperlink" Target="https://doi.org/10.1529/biophysj.103.026765" TargetMode="External"/><Relationship Id="rId62" Type="http://schemas.openxmlformats.org/officeDocument/2006/relationships/hyperlink" Target="https://doi.org/10.1016/j.bpj.2024.11.3322" TargetMode="External"/><Relationship Id="rId70" Type="http://schemas.openxmlformats.org/officeDocument/2006/relationships/hyperlink" Target="https://doi.org/10.1016/j.celrep.2024.114462" TargetMode="External"/><Relationship Id="rId75" Type="http://schemas.openxmlformats.org/officeDocument/2006/relationships/hyperlink" Target="https://doi.org/10.1529/biophysj.103.026765" TargetMode="External"/><Relationship Id="rId83" Type="http://schemas.openxmlformats.org/officeDocument/2006/relationships/hyperlink" Target="https://doi.org/10.1016/j.celrep.2024.114852" TargetMode="External"/><Relationship Id="rId88" Type="http://schemas.openxmlformats.org/officeDocument/2006/relationships/hyperlink" Target="https://doi.org/10.7554/eLife.33125" TargetMode="External"/><Relationship Id="rId91" Type="http://schemas.openxmlformats.org/officeDocument/2006/relationships/hyperlink" Target="https://doi.org/10.1038/nmeth.325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celrep.2024.114462" TargetMode="External"/><Relationship Id="rId23" Type="http://schemas.openxmlformats.org/officeDocument/2006/relationships/hyperlink" Target="https://doi.org/10.1038/emboj.2009.340" TargetMode="External"/><Relationship Id="rId28" Type="http://schemas.openxmlformats.org/officeDocument/2006/relationships/hyperlink" Target="https://doi.org/10.1088/0953-8984/27/6/064115" TargetMode="External"/><Relationship Id="rId36" Type="http://schemas.openxmlformats.org/officeDocument/2006/relationships/hyperlink" Target="https://doi.org/10.7554/eLife.33125" TargetMode="External"/><Relationship Id="rId49" Type="http://schemas.openxmlformats.org/officeDocument/2006/relationships/hyperlink" Target="https://doi.org/10.1016/j.bpj.2024.11.3322" TargetMode="External"/><Relationship Id="rId57" Type="http://schemas.openxmlformats.org/officeDocument/2006/relationships/hyperlink" Target="https://doi.org/10.1091/mbc.E16-09-0653" TargetMode="External"/><Relationship Id="rId10" Type="http://schemas.openxmlformats.org/officeDocument/2006/relationships/hyperlink" Target="https://doi.org/10.1016/j.celrep.2024.114462" TargetMode="External"/><Relationship Id="rId31" Type="http://schemas.openxmlformats.org/officeDocument/2006/relationships/hyperlink" Target="https://doi.org/10.1016/j.cell.2016.04.047" TargetMode="External"/><Relationship Id="rId44" Type="http://schemas.openxmlformats.org/officeDocument/2006/relationships/hyperlink" Target="https://doi.org/10.1016/j.celrep.2024.114462" TargetMode="External"/><Relationship Id="rId52" Type="http://schemas.openxmlformats.org/officeDocument/2006/relationships/hyperlink" Target="https://doi.org/10.1371/journal.pone.0005041" TargetMode="External"/><Relationship Id="rId60" Type="http://schemas.openxmlformats.org/officeDocument/2006/relationships/hyperlink" Target="https://doi.org/10.1098/rsif.2024.0885" TargetMode="External"/><Relationship Id="rId65" Type="http://schemas.openxmlformats.org/officeDocument/2006/relationships/hyperlink" Target="https://doi.org/10.1529/biophysj.103.026765" TargetMode="External"/><Relationship Id="rId73" Type="http://schemas.openxmlformats.org/officeDocument/2006/relationships/hyperlink" Target="https://doi.org/10.1016/j.celrep.2024.114462" TargetMode="External"/><Relationship Id="rId78" Type="http://schemas.openxmlformats.org/officeDocument/2006/relationships/hyperlink" Target="https://doi.org/10.1016/j.cell.2016.04.047" TargetMode="External"/><Relationship Id="rId81" Type="http://schemas.openxmlformats.org/officeDocument/2006/relationships/hyperlink" Target="https://doi.org/10.1016/j.bpj.2024.11.3322" TargetMode="External"/><Relationship Id="rId86" Type="http://schemas.openxmlformats.org/officeDocument/2006/relationships/hyperlink" Target="https://doi.org/10.1103/PhysRevLett.74.1250"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cell.2016.04.047" TargetMode="External"/><Relationship Id="rId13" Type="http://schemas.openxmlformats.org/officeDocument/2006/relationships/hyperlink" Target="https://doi.org/10.1091/mbc.E16-09-0653" TargetMode="External"/><Relationship Id="rId18" Type="http://schemas.openxmlformats.org/officeDocument/2006/relationships/hyperlink" Target="https://doi.org/10.1146/annurev-fluid-121108-145608" TargetMode="External"/><Relationship Id="rId39" Type="http://schemas.openxmlformats.org/officeDocument/2006/relationships/hyperlink" Target="https://doi.org/10.1038/s41467-025-62605-0" TargetMode="External"/><Relationship Id="rId34" Type="http://schemas.openxmlformats.org/officeDocument/2006/relationships/hyperlink" Target="https://doi.org/10.1038/emboj.2009.340" TargetMode="External"/><Relationship Id="rId50" Type="http://schemas.openxmlformats.org/officeDocument/2006/relationships/hyperlink" Target="https://doi.org/10.1098/rsif.2024.0885" TargetMode="External"/><Relationship Id="rId55" Type="http://schemas.openxmlformats.org/officeDocument/2006/relationships/hyperlink" Target="https://doi.org/10.1021/acssensors.9b00569" TargetMode="External"/><Relationship Id="rId76" Type="http://schemas.openxmlformats.org/officeDocument/2006/relationships/hyperlink" Target="https://doi.org/10.1371/journal.pone.0005041" TargetMode="External"/><Relationship Id="rId7" Type="http://schemas.openxmlformats.org/officeDocument/2006/relationships/hyperlink" Target="https://doi.org/10.1371/journal.pone.0005041" TargetMode="External"/><Relationship Id="rId71" Type="http://schemas.openxmlformats.org/officeDocument/2006/relationships/hyperlink" Target="https://doi.org/10.1098/rsif.2024.0885"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i.org/10.1088/0953-8984/27/6/064115" TargetMode="External"/><Relationship Id="rId24" Type="http://schemas.openxmlformats.org/officeDocument/2006/relationships/hyperlink" Target="https://doi.org/10.1103/PhysRevLett.74.1250" TargetMode="External"/><Relationship Id="rId40" Type="http://schemas.openxmlformats.org/officeDocument/2006/relationships/hyperlink" Target="https://doi.org/10.1088/0953-8984/27/6/064115" TargetMode="External"/><Relationship Id="rId45" Type="http://schemas.openxmlformats.org/officeDocument/2006/relationships/hyperlink" Target="https://doi.org/10.1371/journal.pone.0005041" TargetMode="External"/><Relationship Id="rId66" Type="http://schemas.openxmlformats.org/officeDocument/2006/relationships/hyperlink" Target="https://doi.org/10.7554/eLife.33125" TargetMode="External"/><Relationship Id="rId87" Type="http://schemas.openxmlformats.org/officeDocument/2006/relationships/hyperlink" Target="https://doi.org/10.1529/biophysj.103.026765" TargetMode="External"/><Relationship Id="rId61" Type="http://schemas.openxmlformats.org/officeDocument/2006/relationships/hyperlink" Target="https://doi.org/10.1016/j.cell.2016.04.047" TargetMode="External"/><Relationship Id="rId82" Type="http://schemas.openxmlformats.org/officeDocument/2006/relationships/hyperlink" Target="https://doi.org/10.1091/mbc.E16-09-0653" TargetMode="External"/><Relationship Id="rId19" Type="http://schemas.openxmlformats.org/officeDocument/2006/relationships/hyperlink" Target="https://doi.org/10.1098/rsif.2024.0885" TargetMode="External"/><Relationship Id="rId14" Type="http://schemas.openxmlformats.org/officeDocument/2006/relationships/hyperlink" Target="https://doi.org/10.1016/j.celrep.2024.114852" TargetMode="External"/><Relationship Id="rId30" Type="http://schemas.openxmlformats.org/officeDocument/2006/relationships/hyperlink" Target="https://doi.org/10.1038/emboj.2009.340" TargetMode="External"/><Relationship Id="rId35" Type="http://schemas.openxmlformats.org/officeDocument/2006/relationships/hyperlink" Target="https://doi.org/10.1529/biophysj.103.026765" TargetMode="External"/><Relationship Id="rId56" Type="http://schemas.openxmlformats.org/officeDocument/2006/relationships/hyperlink" Target="https://doi.org/10.1038/nmeth.3257" TargetMode="External"/><Relationship Id="rId77" Type="http://schemas.openxmlformats.org/officeDocument/2006/relationships/hyperlink" Target="https://doi.org/10.1088/0953-8984/27/6/064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2768</Words>
  <Characters>17530</Characters>
  <Application>Microsoft Office Word</Application>
  <DocSecurity>0</DocSecurity>
  <Lines>283</Lines>
  <Paragraphs>92</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Viscosity: Fluid Resistance, Structural Relaxation and Biological State</dc:title>
  <dc:subject>A current account of what mobility and mechanical experiments measure</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