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732B6" w14:textId="77777777" w:rsidR="002D1419" w:rsidRDefault="00B10B26">
      <w:pPr>
        <w:pStyle w:val="Title"/>
      </w:pPr>
      <w:r>
        <w:t>The Nucleolus: Ribosome Biogenesis, RNA Flux and Multiphase Organization</w:t>
      </w:r>
    </w:p>
    <w:p w14:paraId="54C14BC1" w14:textId="77777777" w:rsidR="002D1419" w:rsidRDefault="00B10B26">
      <w:pPr>
        <w:pStyle w:val="Subtitle"/>
      </w:pPr>
      <w:r>
        <w:t>RNA processing links molecular assembly, layered architecture, material properties and stress signaling</w:t>
      </w:r>
    </w:p>
    <w:p w14:paraId="16840A93" w14:textId="77777777" w:rsidR="002D1419" w:rsidRDefault="00B10B26">
      <w:pPr>
        <w:spacing w:before="200" w:after="320"/>
      </w:pPr>
      <w:r>
        <w:rPr>
          <w:color w:val="087B78"/>
          <w:sz w:val="20"/>
          <w:szCs w:val="20"/>
        </w:rPr>
        <w:t>CellNucleus · Current research review · 12 October 2026</w:t>
      </w:r>
    </w:p>
    <w:p w14:paraId="62966C9C" w14:textId="77777777" w:rsidR="002D1419" w:rsidRDefault="00B10B26">
      <w:pPr>
        <w:pStyle w:val="Heading1"/>
      </w:pPr>
      <w:bookmarkStart w:id="0" w:name="_Toc242668390"/>
      <w:r>
        <w:t>Abstract</w:t>
      </w:r>
      <w:bookmarkEnd w:id="0"/>
    </w:p>
    <w:p w14:paraId="3FD19A41" w14:textId="6B820FE2" w:rsidR="002D1419" w:rsidRDefault="00B10B26">
      <w:r>
        <w:t xml:space="preserve">The nucleolus couples ribosomal RNA synthesis and maturation to the assembly of preribosomal particles. Its layered organization is therefore a problem of both biochemistry and material organization. Protein interactions support selective localization and condensed-phase coexistence, while the RNA substrate moves through processing states with different physical properties. Recent sequencing, imaging, synthetic-nucleolus and aspiration experiments show why a uniform passive liquid is an incomplete account. </w:t>
      </w:r>
      <w:r>
        <w:t>The most useful model treats RNA as a substrate, an architectural component and a changing contributor to rheology.</w:t>
      </w:r>
      <w:hyperlink r:id="rId7" w:history="1">
        <w:r>
          <w:rPr>
            <w:color w:val="087B78"/>
            <w:sz w:val="18"/>
            <w:szCs w:val="18"/>
          </w:rPr>
          <w:t xml:space="preserve"> [1]</w:t>
        </w:r>
      </w:hyperlink>
      <w:hyperlink r:id="rId8" w:history="1">
        <w:r>
          <w:rPr>
            <w:color w:val="087B78"/>
            <w:sz w:val="18"/>
            <w:szCs w:val="18"/>
          </w:rPr>
          <w:t xml:space="preserve"> [2]</w:t>
        </w:r>
      </w:hyperlink>
      <w:hyperlink r:id="rId9" w:history="1">
        <w:r>
          <w:rPr>
            <w:color w:val="087B78"/>
            <w:sz w:val="18"/>
            <w:szCs w:val="18"/>
          </w:rPr>
          <w:t xml:space="preserve"> [3]</w:t>
        </w:r>
      </w:hyperlink>
      <w:hyperlink r:id="rId10" w:history="1">
        <w:r>
          <w:rPr>
            <w:color w:val="087B78"/>
            <w:sz w:val="18"/>
            <w:szCs w:val="18"/>
          </w:rPr>
          <w:t xml:space="preserve"> [4]</w:t>
        </w:r>
      </w:hyperlink>
      <w:hyperlink r:id="rId11" w:history="1">
        <w:r>
          <w:rPr>
            <w:color w:val="087B78"/>
            <w:sz w:val="18"/>
            <w:szCs w:val="18"/>
          </w:rPr>
          <w:t xml:space="preserve"> [5]</w:t>
        </w:r>
      </w:hyperlink>
      <w:hyperlink r:id="rId12" w:history="1">
        <w:r>
          <w:rPr>
            <w:color w:val="087B78"/>
            <w:sz w:val="18"/>
            <w:szCs w:val="18"/>
          </w:rPr>
          <w:t xml:space="preserve"> [6]</w:t>
        </w:r>
      </w:hyperlink>
    </w:p>
    <w:p w14:paraId="67177392" w14:textId="77777777" w:rsidR="002D1419" w:rsidRDefault="00B10B26">
      <w:pPr>
        <w:pageBreakBefore/>
        <w:spacing w:before="330"/>
      </w:pPr>
      <w:r>
        <w:rPr>
          <w:b/>
          <w:bCs/>
          <w:color w:val="173B4C"/>
          <w:sz w:val="32"/>
          <w:szCs w:val="32"/>
        </w:rPr>
        <w:lastRenderedPageBreak/>
        <w:t>Contents</w:t>
      </w:r>
    </w:p>
    <w:sdt>
      <w:sdtPr>
        <w:alias w:val="Contents"/>
        <w:id w:val="-1484539316"/>
      </w:sdtPr>
      <w:sdtEndPr/>
      <w:sdtContent>
        <w:p w14:paraId="1899FE28" w14:textId="48C4EE33" w:rsidR="009D3239" w:rsidRDefault="00B10B2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90" w:history="1">
            <w:r w:rsidR="009D3239" w:rsidRPr="007A45E7">
              <w:rPr>
                <w:rStyle w:val="Hyperlink"/>
                <w:noProof/>
              </w:rPr>
              <w:t>Abstract</w:t>
            </w:r>
            <w:r w:rsidR="009D3239">
              <w:rPr>
                <w:noProof/>
              </w:rPr>
              <w:tab/>
            </w:r>
            <w:r w:rsidR="009D3239">
              <w:rPr>
                <w:noProof/>
              </w:rPr>
              <w:fldChar w:fldCharType="begin"/>
            </w:r>
            <w:r w:rsidR="009D3239">
              <w:rPr>
                <w:noProof/>
              </w:rPr>
              <w:instrText xml:space="preserve"> PAGEREF _Toc242668390 \h </w:instrText>
            </w:r>
            <w:r w:rsidR="009D3239">
              <w:rPr>
                <w:noProof/>
              </w:rPr>
            </w:r>
            <w:r w:rsidR="009D3239">
              <w:rPr>
                <w:noProof/>
              </w:rPr>
              <w:fldChar w:fldCharType="separate"/>
            </w:r>
            <w:r w:rsidR="009D3239">
              <w:rPr>
                <w:noProof/>
              </w:rPr>
              <w:t>1</w:t>
            </w:r>
            <w:r w:rsidR="009D3239">
              <w:rPr>
                <w:noProof/>
              </w:rPr>
              <w:fldChar w:fldCharType="end"/>
            </w:r>
          </w:hyperlink>
        </w:p>
        <w:p w14:paraId="66B7F6CE" w14:textId="15140622" w:rsidR="009D3239" w:rsidRDefault="009D32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1" w:history="1">
            <w:r w:rsidRPr="007A45E7">
              <w:rPr>
                <w:rStyle w:val="Hyperlink"/>
                <w:noProof/>
              </w:rPr>
              <w:t>1. Ribosome production as an organized molecular pathway</w:t>
            </w:r>
            <w:r>
              <w:rPr>
                <w:noProof/>
              </w:rPr>
              <w:tab/>
            </w:r>
            <w:r>
              <w:rPr>
                <w:noProof/>
              </w:rPr>
              <w:fldChar w:fldCharType="begin"/>
            </w:r>
            <w:r>
              <w:rPr>
                <w:noProof/>
              </w:rPr>
              <w:instrText xml:space="preserve"> PAGEREF _Toc242668391 \h </w:instrText>
            </w:r>
            <w:r>
              <w:rPr>
                <w:noProof/>
              </w:rPr>
            </w:r>
            <w:r>
              <w:rPr>
                <w:noProof/>
              </w:rPr>
              <w:fldChar w:fldCharType="separate"/>
            </w:r>
            <w:r>
              <w:rPr>
                <w:noProof/>
              </w:rPr>
              <w:t>2</w:t>
            </w:r>
            <w:r>
              <w:rPr>
                <w:noProof/>
              </w:rPr>
              <w:fldChar w:fldCharType="end"/>
            </w:r>
          </w:hyperlink>
        </w:p>
        <w:p w14:paraId="3A843878" w14:textId="656D3A5B" w:rsidR="009D3239" w:rsidRDefault="009D32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2" w:history="1">
            <w:r w:rsidRPr="007A45E7">
              <w:rPr>
                <w:rStyle w:val="Hyperlink"/>
                <w:noProof/>
              </w:rPr>
              <w:t>2. Layered compartments and the meaning of markers</w:t>
            </w:r>
            <w:r>
              <w:rPr>
                <w:noProof/>
              </w:rPr>
              <w:tab/>
            </w:r>
            <w:r>
              <w:rPr>
                <w:noProof/>
              </w:rPr>
              <w:fldChar w:fldCharType="begin"/>
            </w:r>
            <w:r>
              <w:rPr>
                <w:noProof/>
              </w:rPr>
              <w:instrText xml:space="preserve"> PAGEREF _Toc242668392 \h </w:instrText>
            </w:r>
            <w:r>
              <w:rPr>
                <w:noProof/>
              </w:rPr>
            </w:r>
            <w:r>
              <w:rPr>
                <w:noProof/>
              </w:rPr>
              <w:fldChar w:fldCharType="separate"/>
            </w:r>
            <w:r>
              <w:rPr>
                <w:noProof/>
              </w:rPr>
              <w:t>3</w:t>
            </w:r>
            <w:r>
              <w:rPr>
                <w:noProof/>
              </w:rPr>
              <w:fldChar w:fldCharType="end"/>
            </w:r>
          </w:hyperlink>
        </w:p>
        <w:p w14:paraId="7D772231" w14:textId="7234B7E9" w:rsidR="009D3239" w:rsidRDefault="009D32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3" w:history="1">
            <w:r w:rsidRPr="007A45E7">
              <w:rPr>
                <w:rStyle w:val="Hyperlink"/>
                <w:noProof/>
              </w:rPr>
              <w:t>3. RNA guides and biochemical maturation</w:t>
            </w:r>
            <w:r>
              <w:rPr>
                <w:noProof/>
              </w:rPr>
              <w:tab/>
            </w:r>
            <w:r>
              <w:rPr>
                <w:noProof/>
              </w:rPr>
              <w:fldChar w:fldCharType="begin"/>
            </w:r>
            <w:r>
              <w:rPr>
                <w:noProof/>
              </w:rPr>
              <w:instrText xml:space="preserve"> PAGEREF _Toc242668393 \h </w:instrText>
            </w:r>
            <w:r>
              <w:rPr>
                <w:noProof/>
              </w:rPr>
            </w:r>
            <w:r>
              <w:rPr>
                <w:noProof/>
              </w:rPr>
              <w:fldChar w:fldCharType="separate"/>
            </w:r>
            <w:r>
              <w:rPr>
                <w:noProof/>
              </w:rPr>
              <w:t>3</w:t>
            </w:r>
            <w:r>
              <w:rPr>
                <w:noProof/>
              </w:rPr>
              <w:fldChar w:fldCharType="end"/>
            </w:r>
          </w:hyperlink>
        </w:p>
        <w:p w14:paraId="5E67A065" w14:textId="33F8F3CF" w:rsidR="009D3239" w:rsidRDefault="009D32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4" w:history="1">
            <w:r w:rsidRPr="007A45E7">
              <w:rPr>
                <w:rStyle w:val="Hyperlink"/>
                <w:noProof/>
              </w:rPr>
              <w:t>4. NPM1 and multivalent molecular interactions</w:t>
            </w:r>
            <w:r>
              <w:rPr>
                <w:noProof/>
              </w:rPr>
              <w:tab/>
            </w:r>
            <w:r>
              <w:rPr>
                <w:noProof/>
              </w:rPr>
              <w:fldChar w:fldCharType="begin"/>
            </w:r>
            <w:r>
              <w:rPr>
                <w:noProof/>
              </w:rPr>
              <w:instrText xml:space="preserve"> PAGEREF _Toc242668394 \h </w:instrText>
            </w:r>
            <w:r>
              <w:rPr>
                <w:noProof/>
              </w:rPr>
            </w:r>
            <w:r>
              <w:rPr>
                <w:noProof/>
              </w:rPr>
              <w:fldChar w:fldCharType="separate"/>
            </w:r>
            <w:r>
              <w:rPr>
                <w:noProof/>
              </w:rPr>
              <w:t>4</w:t>
            </w:r>
            <w:r>
              <w:rPr>
                <w:noProof/>
              </w:rPr>
              <w:fldChar w:fldCharType="end"/>
            </w:r>
          </w:hyperlink>
        </w:p>
        <w:p w14:paraId="4881206D" w14:textId="6371E540" w:rsidR="009D3239" w:rsidRDefault="009D32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5" w:history="1">
            <w:r w:rsidRPr="007A45E7">
              <w:rPr>
                <w:rStyle w:val="Hyperlink"/>
                <w:noProof/>
              </w:rPr>
              <w:t>5. Phase coexistence and component-dependent material behavior</w:t>
            </w:r>
            <w:r>
              <w:rPr>
                <w:noProof/>
              </w:rPr>
              <w:tab/>
            </w:r>
            <w:r>
              <w:rPr>
                <w:noProof/>
              </w:rPr>
              <w:fldChar w:fldCharType="begin"/>
            </w:r>
            <w:r>
              <w:rPr>
                <w:noProof/>
              </w:rPr>
              <w:instrText xml:space="preserve"> PAGEREF _Toc242668395 \h </w:instrText>
            </w:r>
            <w:r>
              <w:rPr>
                <w:noProof/>
              </w:rPr>
            </w:r>
            <w:r>
              <w:rPr>
                <w:noProof/>
              </w:rPr>
              <w:fldChar w:fldCharType="separate"/>
            </w:r>
            <w:r>
              <w:rPr>
                <w:noProof/>
              </w:rPr>
              <w:t>4</w:t>
            </w:r>
            <w:r>
              <w:rPr>
                <w:noProof/>
              </w:rPr>
              <w:fldChar w:fldCharType="end"/>
            </w:r>
          </w:hyperlink>
        </w:p>
        <w:p w14:paraId="1CC5D85B" w14:textId="51D36078" w:rsidR="009D3239" w:rsidRDefault="009D32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6" w:history="1">
            <w:r w:rsidRPr="007A45E7">
              <w:rPr>
                <w:rStyle w:val="Hyperlink"/>
                <w:noProof/>
              </w:rPr>
              <w:t>6. RNA flux and a nonequilibrium assembly environment</w:t>
            </w:r>
            <w:r>
              <w:rPr>
                <w:noProof/>
              </w:rPr>
              <w:tab/>
            </w:r>
            <w:r>
              <w:rPr>
                <w:noProof/>
              </w:rPr>
              <w:fldChar w:fldCharType="begin"/>
            </w:r>
            <w:r>
              <w:rPr>
                <w:noProof/>
              </w:rPr>
              <w:instrText xml:space="preserve"> PAGEREF _Toc242668396 \h </w:instrText>
            </w:r>
            <w:r>
              <w:rPr>
                <w:noProof/>
              </w:rPr>
            </w:r>
            <w:r>
              <w:rPr>
                <w:noProof/>
              </w:rPr>
              <w:fldChar w:fldCharType="separate"/>
            </w:r>
            <w:r>
              <w:rPr>
                <w:noProof/>
              </w:rPr>
              <w:t>5</w:t>
            </w:r>
            <w:r>
              <w:rPr>
                <w:noProof/>
              </w:rPr>
              <w:fldChar w:fldCharType="end"/>
            </w:r>
          </w:hyperlink>
        </w:p>
        <w:p w14:paraId="6D09DDF8" w14:textId="74F07E90" w:rsidR="009D3239" w:rsidRDefault="009D32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7" w:history="1">
            <w:r w:rsidRPr="007A45E7">
              <w:rPr>
                <w:rStyle w:val="Hyperlink"/>
                <w:noProof/>
              </w:rPr>
              <w:t>7. Processing can reshape architecture</w:t>
            </w:r>
            <w:r>
              <w:rPr>
                <w:noProof/>
              </w:rPr>
              <w:tab/>
            </w:r>
            <w:r>
              <w:rPr>
                <w:noProof/>
              </w:rPr>
              <w:fldChar w:fldCharType="begin"/>
            </w:r>
            <w:r>
              <w:rPr>
                <w:noProof/>
              </w:rPr>
              <w:instrText xml:space="preserve"> PAGEREF _Toc242668397 \h </w:instrText>
            </w:r>
            <w:r>
              <w:rPr>
                <w:noProof/>
              </w:rPr>
            </w:r>
            <w:r>
              <w:rPr>
                <w:noProof/>
              </w:rPr>
              <w:fldChar w:fldCharType="separate"/>
            </w:r>
            <w:r>
              <w:rPr>
                <w:noProof/>
              </w:rPr>
              <w:t>5</w:t>
            </w:r>
            <w:r>
              <w:rPr>
                <w:noProof/>
              </w:rPr>
              <w:fldChar w:fldCharType="end"/>
            </w:r>
          </w:hyperlink>
        </w:p>
        <w:p w14:paraId="2E9554CD" w14:textId="78254FD6" w:rsidR="009D3239" w:rsidRDefault="009D32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8" w:history="1">
            <w:r w:rsidRPr="007A45E7">
              <w:rPr>
                <w:rStyle w:val="Hyperlink"/>
                <w:noProof/>
              </w:rPr>
              <w:t>8. Mechanical tests of subcompartments</w:t>
            </w:r>
            <w:r>
              <w:rPr>
                <w:noProof/>
              </w:rPr>
              <w:tab/>
            </w:r>
            <w:r>
              <w:rPr>
                <w:noProof/>
              </w:rPr>
              <w:fldChar w:fldCharType="begin"/>
            </w:r>
            <w:r>
              <w:rPr>
                <w:noProof/>
              </w:rPr>
              <w:instrText xml:space="preserve"> PAGEREF _Toc242668398 \h </w:instrText>
            </w:r>
            <w:r>
              <w:rPr>
                <w:noProof/>
              </w:rPr>
            </w:r>
            <w:r>
              <w:rPr>
                <w:noProof/>
              </w:rPr>
              <w:fldChar w:fldCharType="separate"/>
            </w:r>
            <w:r>
              <w:rPr>
                <w:noProof/>
              </w:rPr>
              <w:t>6</w:t>
            </w:r>
            <w:r>
              <w:rPr>
                <w:noProof/>
              </w:rPr>
              <w:fldChar w:fldCharType="end"/>
            </w:r>
          </w:hyperlink>
        </w:p>
        <w:p w14:paraId="31E310EB" w14:textId="7A7283BA" w:rsidR="009D3239" w:rsidRDefault="009D32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9" w:history="1">
            <w:r w:rsidRPr="007A45E7">
              <w:rPr>
                <w:rStyle w:val="Hyperlink"/>
                <w:noProof/>
              </w:rPr>
              <w:t>9. Nucleolar stress and the 5S RNP</w:t>
            </w:r>
            <w:r>
              <w:rPr>
                <w:noProof/>
              </w:rPr>
              <w:tab/>
            </w:r>
            <w:r>
              <w:rPr>
                <w:noProof/>
              </w:rPr>
              <w:fldChar w:fldCharType="begin"/>
            </w:r>
            <w:r>
              <w:rPr>
                <w:noProof/>
              </w:rPr>
              <w:instrText xml:space="preserve"> PAGEREF _Toc242668399 \h </w:instrText>
            </w:r>
            <w:r>
              <w:rPr>
                <w:noProof/>
              </w:rPr>
            </w:r>
            <w:r>
              <w:rPr>
                <w:noProof/>
              </w:rPr>
              <w:fldChar w:fldCharType="separate"/>
            </w:r>
            <w:r>
              <w:rPr>
                <w:noProof/>
              </w:rPr>
              <w:t>6</w:t>
            </w:r>
            <w:r>
              <w:rPr>
                <w:noProof/>
              </w:rPr>
              <w:fldChar w:fldCharType="end"/>
            </w:r>
          </w:hyperlink>
        </w:p>
        <w:p w14:paraId="6F0CD60B" w14:textId="7569FF80" w:rsidR="009D3239" w:rsidRDefault="009D32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0" w:history="1">
            <w:r w:rsidRPr="007A45E7">
              <w:rPr>
                <w:rStyle w:val="Hyperlink"/>
                <w:noProof/>
              </w:rPr>
              <w:t>10. Evidence map and current synthesis</w:t>
            </w:r>
            <w:r>
              <w:rPr>
                <w:noProof/>
              </w:rPr>
              <w:tab/>
            </w:r>
            <w:r>
              <w:rPr>
                <w:noProof/>
              </w:rPr>
              <w:fldChar w:fldCharType="begin"/>
            </w:r>
            <w:r>
              <w:rPr>
                <w:noProof/>
              </w:rPr>
              <w:instrText xml:space="preserve"> PAGEREF _Toc242668400 \h </w:instrText>
            </w:r>
            <w:r>
              <w:rPr>
                <w:noProof/>
              </w:rPr>
            </w:r>
            <w:r>
              <w:rPr>
                <w:noProof/>
              </w:rPr>
              <w:fldChar w:fldCharType="separate"/>
            </w:r>
            <w:r>
              <w:rPr>
                <w:noProof/>
              </w:rPr>
              <w:t>7</w:t>
            </w:r>
            <w:r>
              <w:rPr>
                <w:noProof/>
              </w:rPr>
              <w:fldChar w:fldCharType="end"/>
            </w:r>
          </w:hyperlink>
        </w:p>
        <w:p w14:paraId="5A7C598F" w14:textId="6C17FB84" w:rsidR="009D3239" w:rsidRDefault="009D32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1" w:history="1">
            <w:r w:rsidRPr="007A45E7">
              <w:rPr>
                <w:rStyle w:val="Hyperlink"/>
                <w:noProof/>
              </w:rPr>
              <w:t>References</w:t>
            </w:r>
            <w:r>
              <w:rPr>
                <w:noProof/>
              </w:rPr>
              <w:tab/>
            </w:r>
            <w:r>
              <w:rPr>
                <w:noProof/>
              </w:rPr>
              <w:fldChar w:fldCharType="begin"/>
            </w:r>
            <w:r>
              <w:rPr>
                <w:noProof/>
              </w:rPr>
              <w:instrText xml:space="preserve"> PAGEREF _Toc242668401 \h </w:instrText>
            </w:r>
            <w:r>
              <w:rPr>
                <w:noProof/>
              </w:rPr>
            </w:r>
            <w:r>
              <w:rPr>
                <w:noProof/>
              </w:rPr>
              <w:fldChar w:fldCharType="separate"/>
            </w:r>
            <w:r>
              <w:rPr>
                <w:noProof/>
              </w:rPr>
              <w:t>7</w:t>
            </w:r>
            <w:r>
              <w:rPr>
                <w:noProof/>
              </w:rPr>
              <w:fldChar w:fldCharType="end"/>
            </w:r>
          </w:hyperlink>
        </w:p>
        <w:p w14:paraId="6F849CA3" w14:textId="29F7207D" w:rsidR="009D3239" w:rsidRDefault="009D32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2" w:history="1">
            <w:r w:rsidRPr="007A45E7">
              <w:rPr>
                <w:rStyle w:val="Hyperlink"/>
                <w:noProof/>
              </w:rPr>
              <w:t>Evidence scope</w:t>
            </w:r>
            <w:r>
              <w:rPr>
                <w:noProof/>
              </w:rPr>
              <w:tab/>
            </w:r>
            <w:r>
              <w:rPr>
                <w:noProof/>
              </w:rPr>
              <w:fldChar w:fldCharType="begin"/>
            </w:r>
            <w:r>
              <w:rPr>
                <w:noProof/>
              </w:rPr>
              <w:instrText xml:space="preserve"> PAGEREF _Toc242668402 \h </w:instrText>
            </w:r>
            <w:r>
              <w:rPr>
                <w:noProof/>
              </w:rPr>
            </w:r>
            <w:r>
              <w:rPr>
                <w:noProof/>
              </w:rPr>
              <w:fldChar w:fldCharType="separate"/>
            </w:r>
            <w:r>
              <w:rPr>
                <w:noProof/>
              </w:rPr>
              <w:t>8</w:t>
            </w:r>
            <w:r>
              <w:rPr>
                <w:noProof/>
              </w:rPr>
              <w:fldChar w:fldCharType="end"/>
            </w:r>
          </w:hyperlink>
        </w:p>
        <w:p w14:paraId="310554E1" w14:textId="4D7A0350" w:rsidR="002D1419" w:rsidRDefault="00B10B26">
          <w:r>
            <w:fldChar w:fldCharType="end"/>
          </w:r>
        </w:p>
      </w:sdtContent>
    </w:sdt>
    <w:p w14:paraId="34960FA9" w14:textId="77777777" w:rsidR="002D1419" w:rsidRDefault="00B10B26">
      <w:pPr>
        <w:pStyle w:val="Heading1"/>
      </w:pPr>
      <w:bookmarkStart w:id="1" w:name="_Toc242668391"/>
      <w:r>
        <w:t>1. Ribosome production as an organized molecular pathway</w:t>
      </w:r>
      <w:bookmarkEnd w:id="1"/>
    </w:p>
    <w:p w14:paraId="7BE38AA7" w14:textId="6691246A" w:rsidR="002D1419" w:rsidRDefault="00B10B26">
      <w:r>
        <w:t>The central nucleolar function is assembly of the RNA–protein particles that become ribosomal subunits. Transcribed precursor rRNA undergoes cleavage and modification while acquiring proteins and assembly factors. A finished subunit is therefore the result of ordered molecular transitions rather than simply a highly concentrated mixture. The classic biochemical account and recent time-resolved processing maps place those transitions in distinct nucleolar environments, connecting architecture to the state of</w:t>
      </w:r>
      <w:r>
        <w:t xml:space="preserve"> the substrate.</w:t>
      </w:r>
      <w:hyperlink r:id="rId13" w:history="1">
        <w:r>
          <w:rPr>
            <w:color w:val="087B78"/>
            <w:sz w:val="18"/>
            <w:szCs w:val="18"/>
          </w:rPr>
          <w:t xml:space="preserve"> [1]</w:t>
        </w:r>
      </w:hyperlink>
      <w:hyperlink r:id="rId14" w:history="1">
        <w:r>
          <w:rPr>
            <w:color w:val="087B78"/>
            <w:sz w:val="18"/>
            <w:szCs w:val="18"/>
          </w:rPr>
          <w:t xml:space="preserve"> [5]</w:t>
        </w:r>
      </w:hyperlink>
    </w:p>
    <w:p w14:paraId="634B14B6" w14:textId="4451F420" w:rsidR="002D1419" w:rsidRDefault="00B10B26">
      <w:r>
        <w:t>This organization creates a useful distinction between enzyme localization and productive throughput. An abundant processing factor can be present without proving that the precursor has completed its reaction; an increased RNA signal can reflect production or delayed maturation. To identify a defect, the relevant precursor and cleavage products need to be measured along with their location. The 2025 work linking sequencing and imaging of labeled rRNA demonstrates how such molecular and spatial information c</w:t>
      </w:r>
      <w:r>
        <w:t>an be integrated.</w:t>
      </w:r>
      <w:hyperlink r:id="rId15" w:history="1">
        <w:r>
          <w:rPr>
            <w:color w:val="087B78"/>
            <w:sz w:val="18"/>
            <w:szCs w:val="18"/>
          </w:rPr>
          <w:t xml:space="preserve"> [5]</w:t>
        </w:r>
      </w:hyperlink>
    </w:p>
    <w:p w14:paraId="5266879F" w14:textId="3F293B6C" w:rsidR="002D1419" w:rsidRDefault="00B10B26">
      <w:r>
        <w:t>The nucleolus also interfaces with incoming components synthesized elsewhere. The 5S RNP, including 5S rRNA and ribosomal proteins RPL5 and RPL11, supplies a concrete example of an assembly intermediate linked to broader regulation. Its availability for ribosome construction and its engagement with the p53-regulatory system are different fates. This illustrates why nucleolar output depends on coordinated supply and assembly, not solely on the rate of one precursor’s transcription.</w:t>
      </w:r>
      <w:hyperlink r:id="rId16" w:history="1">
        <w:r>
          <w:rPr>
            <w:color w:val="087B78"/>
            <w:sz w:val="18"/>
            <w:szCs w:val="18"/>
          </w:rPr>
          <w:t xml:space="preserve"> [7]</w:t>
        </w:r>
      </w:hyperlink>
    </w:p>
    <w:p w14:paraId="426DC21E" w14:textId="77777777" w:rsidR="002D1419" w:rsidRDefault="00B10B26">
      <w:pPr>
        <w:pStyle w:val="Heading1"/>
      </w:pPr>
      <w:bookmarkStart w:id="2" w:name="_Toc242668392"/>
      <w:r>
        <w:lastRenderedPageBreak/>
        <w:t>2. Layered compartments and the meaning of markers</w:t>
      </w:r>
      <w:bookmarkEnd w:id="2"/>
    </w:p>
    <w:p w14:paraId="07BCCD32" w14:textId="2668FF67" w:rsidR="002D1419" w:rsidRDefault="00B10B26">
      <w:r>
        <w:t>The common mammalian description distinguishes fibrillar centers, the dense fibrillar component and the granular component. These compartments are associated with different molecular populations and stages of ribosome production. Their marker distributions are useful, but a marker does not make the entire labeled region a single reaction or a uniform physical material. The 2025 processing maps related polymerase, fibrillarin and NPM1-associated organization to labeled rRNA progression, providing a more func</w:t>
      </w:r>
      <w:r>
        <w:t>tional reading of those spatial domains.</w:t>
      </w:r>
      <w:hyperlink r:id="rId17" w:history="1">
        <w:r>
          <w:rPr>
            <w:color w:val="087B78"/>
            <w:sz w:val="18"/>
            <w:szCs w:val="18"/>
          </w:rPr>
          <w:t xml:space="preserve"> [1]</w:t>
        </w:r>
      </w:hyperlink>
      <w:hyperlink r:id="rId18" w:history="1">
        <w:r>
          <w:rPr>
            <w:color w:val="087B78"/>
            <w:sz w:val="18"/>
            <w:szCs w:val="18"/>
          </w:rPr>
          <w:t xml:space="preserve"> [5]</w:t>
        </w:r>
      </w:hyperlink>
    </w:p>
    <w:p w14:paraId="7118B7E6" w14:textId="758902BB" w:rsidR="002D1419" w:rsidRDefault="00B10B26">
      <w:r>
        <w:t>A simplified layer diagram is consequently a conceptual map, not a substitute for resolving an individual nucleolus. Multiple transcription centers, irregular boundaries and spatially changing substrate pools can underlie one fluorescent organelle. The correspondence between radial position and processing state is experimentally informative when the imaging and molecular measurements are matched. It should not be converted into a universal assertion that every molecule passes through identical geometric she</w:t>
      </w:r>
      <w:r>
        <w:t>lls or that the same ultrastructure is conserved under every stress and in every species.</w:t>
      </w:r>
      <w:hyperlink r:id="rId19" w:history="1">
        <w:r>
          <w:rPr>
            <w:color w:val="087B78"/>
            <w:sz w:val="18"/>
            <w:szCs w:val="18"/>
          </w:rPr>
          <w:t xml:space="preserve"> [5]</w:t>
        </w:r>
      </w:hyperlink>
      <w:hyperlink r:id="rId20" w:history="1">
        <w:r>
          <w:rPr>
            <w:color w:val="087B78"/>
            <w:sz w:val="18"/>
            <w:szCs w:val="18"/>
          </w:rPr>
          <w:t xml:space="preserve"> [3]</w:t>
        </w:r>
      </w:hyperlink>
    </w:p>
    <w:p w14:paraId="5C53F05C" w14:textId="796EB88D" w:rsidR="002D1419" w:rsidRDefault="00B10B26">
      <w:r>
        <w:t>The number of anatomical compartments should also be distinguished from the phases reconstructed in a particular experiment. Feric and colleagues studied two condensed protein-rich phases together with the surrounding solution, using Xenopus oocyte observations and purified components. That was important evidence for selective coexistence, but it was not a complete reconstruction of every mammalian anatomical compartment. The experimental system and the level of organization are part of the result.</w:t>
      </w:r>
      <w:hyperlink r:id="rId21" w:history="1">
        <w:r>
          <w:rPr>
            <w:color w:val="087B78"/>
            <w:sz w:val="18"/>
            <w:szCs w:val="18"/>
          </w:rPr>
          <w:t xml:space="preserve"> [3]</w:t>
        </w:r>
      </w:hyperlink>
    </w:p>
    <w:p w14:paraId="1B38D25D" w14:textId="77777777" w:rsidR="002D1419" w:rsidRDefault="00B10B26">
      <w:pPr>
        <w:pStyle w:val="Heading1"/>
      </w:pPr>
      <w:bookmarkStart w:id="3" w:name="_Toc242668393"/>
      <w:r>
        <w:t>3. RNA guides and biochemical maturation</w:t>
      </w:r>
      <w:bookmarkEnd w:id="3"/>
    </w:p>
    <w:p w14:paraId="6DEB0490" w14:textId="62249F51" w:rsidR="002D1419" w:rsidRDefault="00B10B26">
      <w:r>
        <w:t>RNA processing includes chemical modification as well as cleavage. Nicoloso and colleagues characterized intron-encoded, fibrillarin-associated snoRNAs with complementarities to rRNA and linked their organization to proposed guide roles in 2′-O-ribose methylation. The study supplied foundational sequence and localization evidence. Its candidate targeting logic should be distinguished from a direct measurement of every proposed modification, particularly when assigning specific guide–site pairs.</w:t>
      </w:r>
      <w:hyperlink r:id="rId22" w:history="1">
        <w:r>
          <w:rPr>
            <w:color w:val="087B78"/>
            <w:sz w:val="18"/>
            <w:szCs w:val="18"/>
          </w:rPr>
          <w:t xml:space="preserve"> [8]</w:t>
        </w:r>
      </w:hyperlink>
    </w:p>
    <w:p w14:paraId="6C1AECCA" w14:textId="13D73830" w:rsidR="002D1419" w:rsidRDefault="00B10B26">
      <w:r>
        <w:t xml:space="preserve">The broader point is that different RNA species play different parts in the pathway. A precursor is a substrate for maturation; a guide RNA helps specify a reaction; an architectural RNA region can influence local interactions. These roles can coexist within an RNP-rich compartment but should not be inferred solely from colocalization. Guide biochemistry and precursor mapping complement spatial imaging by revealing which molecular transformation occurs and which interactions position the machinery near its </w:t>
      </w:r>
      <w:r>
        <w:t>substrate.</w:t>
      </w:r>
      <w:hyperlink r:id="rId23" w:history="1">
        <w:r>
          <w:rPr>
            <w:color w:val="087B78"/>
            <w:sz w:val="18"/>
            <w:szCs w:val="18"/>
          </w:rPr>
          <w:t xml:space="preserve"> [8]</w:t>
        </w:r>
      </w:hyperlink>
      <w:hyperlink r:id="rId24" w:history="1">
        <w:r>
          <w:rPr>
            <w:color w:val="087B78"/>
            <w:sz w:val="18"/>
            <w:szCs w:val="18"/>
          </w:rPr>
          <w:t xml:space="preserve"> [9]</w:t>
        </w:r>
      </w:hyperlink>
      <w:hyperlink r:id="rId25" w:history="1">
        <w:r>
          <w:rPr>
            <w:color w:val="087B78"/>
            <w:sz w:val="18"/>
            <w:szCs w:val="18"/>
          </w:rPr>
          <w:t xml:space="preserve"> [5]</w:t>
        </w:r>
      </w:hyperlink>
    </w:p>
    <w:p w14:paraId="5FFAF18D" w14:textId="77777777" w:rsidR="002D1419" w:rsidRDefault="00B10B26">
      <w:pPr>
        <w:pStyle w:val="Heading1"/>
      </w:pPr>
      <w:bookmarkStart w:id="4" w:name="_Toc242668394"/>
      <w:r>
        <w:lastRenderedPageBreak/>
        <w:t>4. NPM1 and multivalent molecular interactions</w:t>
      </w:r>
      <w:bookmarkEnd w:id="4"/>
    </w:p>
    <w:p w14:paraId="391184EA" w14:textId="29746210" w:rsidR="002D1419" w:rsidRDefault="00B10B26">
      <w:r>
        <w:t xml:space="preserve">Mitrea and colleagues connected NPM1 organization to multiple interactions with arginine-rich protein motifs and rRNA. Their reconstitution and localization experiments showed how molecular interaction architecture can contribute to nucleolar integration. The results provide a mechanism for selective assembly of particular components, rather than requiring all nucleolar proteins to interact through one identical sequence feature. Reconstituted mixtures demonstrate what a defined set can do under the tested </w:t>
      </w:r>
      <w:r>
        <w:t>conditions; cellular localization tests address a related but distinct level.</w:t>
      </w:r>
      <w:hyperlink r:id="rId26" w:history="1">
        <w:r>
          <w:rPr>
            <w:color w:val="087B78"/>
            <w:sz w:val="18"/>
            <w:szCs w:val="18"/>
          </w:rPr>
          <w:t xml:space="preserve"> [2]</w:t>
        </w:r>
      </w:hyperlink>
    </w:p>
    <w:p w14:paraId="7024E4EA" w14:textId="495A5220" w:rsidR="002D1419" w:rsidRDefault="00B10B26">
      <w:r>
        <w:t>This interaction-based view explains why mutations can affect more than a phase boundary. Altering NPM1 domains or partner motifs can change binding, stoichiometry and access to substrates as well as visible assembly. A localization defect therefore cannot automatically be assigned to loss of phase separation alone. The causal account becomes stronger when direct interactions, cellular expression and functional RNA processing are examined together, with the molecular perturbation specified.</w:t>
      </w:r>
      <w:hyperlink r:id="rId27" w:history="1">
        <w:r>
          <w:rPr>
            <w:color w:val="087B78"/>
            <w:sz w:val="18"/>
            <w:szCs w:val="18"/>
          </w:rPr>
          <w:t xml:space="preserve"> [2]</w:t>
        </w:r>
      </w:hyperlink>
    </w:p>
    <w:p w14:paraId="526ED207" w14:textId="5A3CBD47" w:rsidR="002D1419" w:rsidRDefault="00B10B26">
      <w:r>
        <w:t xml:space="preserve">Yao and colleagues reported a connection between nascent pre-rRNA, fibrillarin clustering and dense-fibrillar-component organization. Their interpretation related RNA sorting and multivalent interactions to assembly of that compartment. This complements NPM1-associated organization by examining another molecular population and region. It supports the principle that distinct RNA/protein networks help organize nucleolar subdomains; it does not establish one single chemistry sufficient to construct the entire </w:t>
      </w:r>
      <w:r>
        <w:t>organelle.</w:t>
      </w:r>
      <w:hyperlink r:id="rId28" w:history="1">
        <w:r>
          <w:rPr>
            <w:color w:val="087B78"/>
            <w:sz w:val="18"/>
            <w:szCs w:val="18"/>
          </w:rPr>
          <w:t xml:space="preserve"> [9]</w:t>
        </w:r>
      </w:hyperlink>
      <w:hyperlink r:id="rId29" w:history="1">
        <w:r>
          <w:rPr>
            <w:color w:val="087B78"/>
            <w:sz w:val="18"/>
            <w:szCs w:val="18"/>
          </w:rPr>
          <w:t xml:space="preserve"> [2]</w:t>
        </w:r>
      </w:hyperlink>
    </w:p>
    <w:p w14:paraId="007C3B7A" w14:textId="77777777" w:rsidR="002D1419" w:rsidRDefault="00B10B26">
      <w:pPr>
        <w:pStyle w:val="Heading1"/>
      </w:pPr>
      <w:bookmarkStart w:id="5" w:name="_Toc242668395"/>
      <w:r>
        <w:t>5. Phase coexistence and component-dependent material behavior</w:t>
      </w:r>
      <w:bookmarkEnd w:id="5"/>
    </w:p>
    <w:p w14:paraId="39025E22" w14:textId="22CB4E28" w:rsidR="002D1419" w:rsidRDefault="00B10B26">
      <w:r>
        <w:t>Feric and colleagues combined cellular observations, reconstitution, component dynamics and microrheology to describe coexisting nucleolar phases. The key advance was a link between selective component organization and physical behavior, rather than morphology alone. Their measurements also distinguished properties of different purified protein-rich assemblies. The numerical viscosities from tracer particles in those mixtures should not be treated as measurements of the complete living nucleus or of every e</w:t>
      </w:r>
      <w:r>
        <w:t>ndogenous nucleolus.</w:t>
      </w:r>
      <w:hyperlink r:id="rId30" w:history="1">
        <w:r>
          <w:rPr>
            <w:color w:val="087B78"/>
            <w:sz w:val="18"/>
            <w:szCs w:val="18"/>
          </w:rPr>
          <w:t xml:space="preserve"> [3]</w:t>
        </w:r>
      </w:hyperlink>
    </w:p>
    <w:p w14:paraId="2AE21BA4" w14:textId="636A255F" w:rsidR="002D1419" w:rsidRDefault="00B10B26">
      <w:r>
        <w:t>A fluorescence recovery curve reports molecular exchange and redistribution of the labeled component. Shape relaxation reports a combination of viscous and interfacial behavior, and embedded-particle motion probes a particular size and timescale. Those measurements cannot be substituted for one another without a model. A rapidly recovering nucleolar protein can coexist with much slower RNA dynamics, so rapid protein exchange does not show that the whole nucleolus flows as a homogeneous Newtonian liquid.</w:t>
      </w:r>
      <w:hyperlink r:id="rId31" w:history="1">
        <w:r>
          <w:rPr>
            <w:color w:val="087B78"/>
            <w:sz w:val="18"/>
            <w:szCs w:val="18"/>
          </w:rPr>
          <w:t xml:space="preserve"> [3]</w:t>
        </w:r>
      </w:hyperlink>
      <w:hyperlink r:id="rId32" w:history="1">
        <w:r>
          <w:rPr>
            <w:color w:val="087B78"/>
            <w:sz w:val="18"/>
            <w:szCs w:val="18"/>
          </w:rPr>
          <w:t xml:space="preserve"> [4]</w:t>
        </w:r>
      </w:hyperlink>
    </w:p>
    <w:p w14:paraId="3F4B26FD" w14:textId="73B94460" w:rsidR="002D1419" w:rsidRDefault="00B10B26">
      <w:r>
        <w:t xml:space="preserve">The useful physical question is which degrees of freedom relax on the timescale relevant to the biological process. A material can appear elastic over a short interval and flow over a longer one, </w:t>
      </w:r>
      <w:r>
        <w:lastRenderedPageBreak/>
        <w:t>while different molecular networks contribute differently. Comparing more than one component and more than one mechanical timescale is therefore needed to connect material properties to ribosome production. The recent aspiration and RNA-flux studies directly motivate this component- and timescale-dependent account.</w:t>
      </w:r>
      <w:hyperlink r:id="rId33" w:history="1">
        <w:r>
          <w:rPr>
            <w:color w:val="087B78"/>
            <w:sz w:val="18"/>
            <w:szCs w:val="18"/>
          </w:rPr>
          <w:t xml:space="preserve"> [6]</w:t>
        </w:r>
      </w:hyperlink>
      <w:hyperlink r:id="rId34" w:history="1">
        <w:r>
          <w:rPr>
            <w:color w:val="087B78"/>
            <w:sz w:val="18"/>
            <w:szCs w:val="18"/>
          </w:rPr>
          <w:t xml:space="preserve"> [4]</w:t>
        </w:r>
      </w:hyperlink>
    </w:p>
    <w:p w14:paraId="41238B88" w14:textId="4522C907" w:rsidR="002D1419" w:rsidRDefault="00B10B26">
      <w:r>
        <w:t>An additional quantitative distinction concerns viscosity and interfacial tension. A shape-relaxation timescale can depend on their ratio, so reporting a relaxation observation as viscosity alone loses a model parameter. Embedded-particle measurements and imposed deformation make different assumptions about the material. A numerical comparison should therefore preserve units, the measured component or probe, the preparation and the constitutive model. Without those details, two values assigned to a nucleolu</w:t>
      </w:r>
      <w:r>
        <w:t>s may represent different observables rather than conflicting estimates of one universal property.</w:t>
      </w:r>
      <w:hyperlink r:id="rId35" w:history="1">
        <w:r>
          <w:rPr>
            <w:color w:val="087B78"/>
            <w:sz w:val="18"/>
            <w:szCs w:val="18"/>
          </w:rPr>
          <w:t xml:space="preserve"> [3]</w:t>
        </w:r>
      </w:hyperlink>
      <w:hyperlink r:id="rId36" w:history="1">
        <w:r>
          <w:rPr>
            <w:color w:val="087B78"/>
            <w:sz w:val="18"/>
            <w:szCs w:val="18"/>
          </w:rPr>
          <w:t xml:space="preserve"> [6]</w:t>
        </w:r>
      </w:hyperlink>
    </w:p>
    <w:p w14:paraId="0BACAF29" w14:textId="77777777" w:rsidR="002D1419" w:rsidRDefault="00B10B26">
      <w:pPr>
        <w:pStyle w:val="Heading1"/>
      </w:pPr>
      <w:bookmarkStart w:id="6" w:name="_Toc242668396"/>
      <w:r>
        <w:t>6. RNA flux and a nonequilibrium assembly environment</w:t>
      </w:r>
      <w:bookmarkEnd w:id="6"/>
    </w:p>
    <w:p w14:paraId="7AC867B2" w14:textId="6EC42BF7" w:rsidR="002D1419" w:rsidRDefault="00B10B26">
      <w:r>
        <w:t>Riback and colleagues combined imaging, pulse labeling and modeling to examine rRNA movement. They found that rRNA moved far more slowly than nucleolar proteins and progressed outward from transcription sites. Their polymer-based interpretation proposed an entangled RNA network driven outward by continuing production, with maturation reducing its constraints toward the periphery. The directional movement is an observed spatial pattern; the entangled-gel and progressive-fluidization account is a model explai</w:t>
      </w:r>
      <w:r>
        <w:t>ning that pattern.</w:t>
      </w:r>
      <w:hyperlink r:id="rId37" w:history="1">
        <w:r>
          <w:rPr>
            <w:color w:val="087B78"/>
            <w:sz w:val="18"/>
            <w:szCs w:val="18"/>
          </w:rPr>
          <w:t xml:space="preserve"> [4]</w:t>
        </w:r>
      </w:hyperlink>
    </w:p>
    <w:p w14:paraId="753F1385" w14:textId="4B0292B2" w:rsidR="002D1419" w:rsidRDefault="00B10B26">
      <w:r>
        <w:t>This introduces flux as a central feature. The organelle continuously receives new substrate and produces increasingly mature particles, so a static image of concentrated components does not fully describe its operation. Continued reactions can maintain different molecular populations and material properties at different positions. A steady-looking organelle can therefore contain changing RNA cohorts. Pulse–chase measurements are particularly useful because they follow a cohort rather than conflating all ol</w:t>
      </w:r>
      <w:r>
        <w:t>d and newly produced RNA into one intensity map.</w:t>
      </w:r>
      <w:hyperlink r:id="rId38" w:history="1">
        <w:r>
          <w:rPr>
            <w:color w:val="087B78"/>
            <w:sz w:val="18"/>
            <w:szCs w:val="18"/>
          </w:rPr>
          <w:t xml:space="preserve"> [4]</w:t>
        </w:r>
      </w:hyperlink>
      <w:hyperlink r:id="rId39" w:history="1">
        <w:r>
          <w:rPr>
            <w:color w:val="087B78"/>
            <w:sz w:val="18"/>
            <w:szCs w:val="18"/>
          </w:rPr>
          <w:t xml:space="preserve"> [5]</w:t>
        </w:r>
      </w:hyperlink>
    </w:p>
    <w:p w14:paraId="0FDCB8E6" w14:textId="77777777" w:rsidR="002D1419" w:rsidRDefault="00B10B26">
      <w:pPr>
        <w:pStyle w:val="Heading1"/>
      </w:pPr>
      <w:bookmarkStart w:id="7" w:name="_Toc242668397"/>
      <w:r>
        <w:t>7. Processing can reshape architecture</w:t>
      </w:r>
      <w:bookmarkEnd w:id="7"/>
    </w:p>
    <w:p w14:paraId="21AE1278" w14:textId="0DCFC651" w:rsidR="002D1419" w:rsidRDefault="00B10B26">
      <w:r>
        <w:t>Quinodoz and colleagues developed complementary methods to map rRNA processing and engineer synthetic nucleoli in cells. Their sequencing and imaging related sequential maturation to outward movement. Perturbing small-subunit processing could invert the organization of the reconstructed nucleolar layers and impede RNA outflux, while large-subunit precursor production was required for the outer compartment in the engineered system. These interventions connect substrate processing to architecture more directl</w:t>
      </w:r>
      <w:r>
        <w:t>y than a passive association between markers.</w:t>
      </w:r>
      <w:hyperlink r:id="rId40" w:history="1">
        <w:r>
          <w:rPr>
            <w:color w:val="087B78"/>
            <w:sz w:val="18"/>
            <w:szCs w:val="18"/>
          </w:rPr>
          <w:t xml:space="preserve"> [5]</w:t>
        </w:r>
      </w:hyperlink>
    </w:p>
    <w:p w14:paraId="2E0740F0" w14:textId="1AD39D63" w:rsidR="002D1419" w:rsidRDefault="00B10B26">
      <w:r>
        <w:t xml:space="preserve">The synthetic system tests sufficiency under controlled conditions, while the time-resolved mapping tests organization of endogenous processing. Neither should be treated as identical to every tissue nucleolus. A plasmid-derived assembly changes template supply and may differ from endogenous rDNA regulation. Its strength is the ability to alter defined precursor sequences and ask whether those changes produce predicted architecture. The resulting inference is that RNA </w:t>
      </w:r>
      <w:r>
        <w:lastRenderedPageBreak/>
        <w:t>maturation can shape compartment organization, with prevalence and physiological consequence requiring additional context-specific tests.</w:t>
      </w:r>
      <w:hyperlink r:id="rId41" w:history="1">
        <w:r>
          <w:rPr>
            <w:color w:val="087B78"/>
            <w:sz w:val="18"/>
            <w:szCs w:val="18"/>
          </w:rPr>
          <w:t xml:space="preserve"> [5]</w:t>
        </w:r>
      </w:hyperlink>
    </w:p>
    <w:p w14:paraId="67530BA1" w14:textId="0B1E0EDA" w:rsidR="002D1419" w:rsidRDefault="00B10B26">
      <w:r>
        <w:t>This finding makes architecture a potential output as well as an input. Processing changes the substrate’s molecular properties, which can change its partitioning and movement; altered organization can then affect access to subsequent machinery. Such feedback is a useful mechanistic hypothesis, but each direction needs its own intervention and readout. An inside-out structure is not automatically proof that geometry alone caused every functional defect, because the processing perturbation also changes the b</w:t>
      </w:r>
      <w:r>
        <w:t>iochemical substrate directly.</w:t>
      </w:r>
      <w:hyperlink r:id="rId42" w:history="1">
        <w:r>
          <w:rPr>
            <w:color w:val="087B78"/>
            <w:sz w:val="18"/>
            <w:szCs w:val="18"/>
          </w:rPr>
          <w:t xml:space="preserve"> [5]</w:t>
        </w:r>
      </w:hyperlink>
      <w:hyperlink r:id="rId43" w:history="1">
        <w:r>
          <w:rPr>
            <w:color w:val="087B78"/>
            <w:sz w:val="18"/>
            <w:szCs w:val="18"/>
          </w:rPr>
          <w:t xml:space="preserve"> [2]</w:t>
        </w:r>
      </w:hyperlink>
    </w:p>
    <w:p w14:paraId="77F21486" w14:textId="77777777" w:rsidR="002D1419" w:rsidRDefault="00B10B26">
      <w:pPr>
        <w:pStyle w:val="Heading1"/>
      </w:pPr>
      <w:bookmarkStart w:id="8" w:name="_Toc242668398"/>
      <w:r>
        <w:t>8. Mechanical tests of subcompartments</w:t>
      </w:r>
      <w:bookmarkEnd w:id="8"/>
    </w:p>
    <w:p w14:paraId="1D0A4E3F" w14:textId="1689F95F" w:rsidR="002D1419" w:rsidRDefault="00B10B26">
      <w:r>
        <w:t>Cheng and colleagues used micropipette aspiration to probe nucleolar material properties in Xenopus germinal-vesicle preparations. Their analysis distinguished a more solid-like core from a more liquid-like peripheral response, and RNA degradation shifted the core response toward greater liquid-like behavior. This supplies an intervention linking RNA to measured mechanics. The preparation and mechanical model matter: the result should not be relabeled as a universal viscosity measured noninvasively in intac</w:t>
      </w:r>
      <w:r>
        <w:t>t human tissue.</w:t>
      </w:r>
      <w:hyperlink r:id="rId44" w:history="1">
        <w:r>
          <w:rPr>
            <w:color w:val="087B78"/>
            <w:sz w:val="18"/>
            <w:szCs w:val="18"/>
          </w:rPr>
          <w:t xml:space="preserve"> [6]</w:t>
        </w:r>
      </w:hyperlink>
    </w:p>
    <w:p w14:paraId="2F687A37" w14:textId="0E0F87D5" w:rsidR="002D1419" w:rsidRDefault="00B10B26">
      <w:r>
        <w:t>Aspiration complements molecular tracking because it imposes a deformation rather than only observing spontaneous motion. Relating the two approaches requires attention to spatial scale, loading time, compartment composition and the constitutive model used to interpret the response. Their combined implication is not that one assay replaces the other, but that multiple measurements can discriminate a heterogeneous viscoelastic organization from a uniform liquid approximation. Connecting those mechanical chan</w:t>
      </w:r>
      <w:r>
        <w:t>ges to productive ribosome assembly remains a separate functional test.</w:t>
      </w:r>
      <w:hyperlink r:id="rId45" w:history="1">
        <w:r>
          <w:rPr>
            <w:color w:val="087B78"/>
            <w:sz w:val="18"/>
            <w:szCs w:val="18"/>
          </w:rPr>
          <w:t xml:space="preserve"> [6]</w:t>
        </w:r>
      </w:hyperlink>
      <w:hyperlink r:id="rId46" w:history="1">
        <w:r>
          <w:rPr>
            <w:color w:val="087B78"/>
            <w:sz w:val="18"/>
            <w:szCs w:val="18"/>
          </w:rPr>
          <w:t xml:space="preserve"> [3]</w:t>
        </w:r>
      </w:hyperlink>
      <w:hyperlink r:id="rId47" w:history="1">
        <w:r>
          <w:rPr>
            <w:color w:val="087B78"/>
            <w:sz w:val="18"/>
            <w:szCs w:val="18"/>
          </w:rPr>
          <w:t xml:space="preserve"> [4]</w:t>
        </w:r>
      </w:hyperlink>
    </w:p>
    <w:p w14:paraId="562553B7" w14:textId="77777777" w:rsidR="002D1419" w:rsidRDefault="00B10B26">
      <w:pPr>
        <w:pStyle w:val="Heading1"/>
      </w:pPr>
      <w:bookmarkStart w:id="9" w:name="_Toc242668399"/>
      <w:r>
        <w:t>9. Nucleolar stress and the 5S RNP</w:t>
      </w:r>
      <w:bookmarkEnd w:id="9"/>
    </w:p>
    <w:p w14:paraId="7109751C" w14:textId="5676286A" w:rsidR="002D1419" w:rsidRDefault="00B10B26">
      <w:r>
        <w:t>Sloan and colleagues linked RPL5, RPL11 and 5S rRNA to MDM2 regulation and p53 homeostasis. Their interaction experiments and perturbations placed the 5S RNP at the interface between ribosome biogenesis and stress signaling. This is a defined molecular pathway through which disruption of assembly can influence a regulatory output. It does not mean that every morphological change in a nucleolus activates p53 or that p53 is the only response to altered ribosome production.</w:t>
      </w:r>
      <w:hyperlink r:id="rId48" w:history="1">
        <w:r>
          <w:rPr>
            <w:color w:val="087B78"/>
            <w:sz w:val="18"/>
            <w:szCs w:val="18"/>
          </w:rPr>
          <w:t xml:space="preserve"> [7]</w:t>
        </w:r>
      </w:hyperlink>
    </w:p>
    <w:p w14:paraId="12DEA704" w14:textId="10A653BD" w:rsidR="002D1419" w:rsidRDefault="00B10B26">
      <w:r>
        <w:t>The distinction is especially important for disease interpretation. A large or disrupted nucleolus can be an informative phenotype, but identifying its cause requires separating altered precursor production, delayed processing, changes in component supply and stress pathways. A signaling result should be linked to the relevant molecular intermediates rather than inferred solely from organelle size. The 5S RNP study demonstrates how biochemical interaction and epistasis can establish that link in a tested sy</w:t>
      </w:r>
      <w:r>
        <w:t>stem.</w:t>
      </w:r>
      <w:hyperlink r:id="rId49" w:history="1">
        <w:r>
          <w:rPr>
            <w:color w:val="087B78"/>
            <w:sz w:val="18"/>
            <w:szCs w:val="18"/>
          </w:rPr>
          <w:t xml:space="preserve"> [7]</w:t>
        </w:r>
      </w:hyperlink>
      <w:hyperlink r:id="rId50" w:history="1">
        <w:r>
          <w:rPr>
            <w:color w:val="087B78"/>
            <w:sz w:val="18"/>
            <w:szCs w:val="18"/>
          </w:rPr>
          <w:t xml:space="preserve"> [5]</w:t>
        </w:r>
      </w:hyperlink>
    </w:p>
    <w:p w14:paraId="02B9F10A" w14:textId="77777777" w:rsidR="002D1419" w:rsidRDefault="00B10B26">
      <w:pPr>
        <w:pStyle w:val="Heading1"/>
      </w:pPr>
      <w:bookmarkStart w:id="10" w:name="_Toc242668400"/>
      <w:r>
        <w:lastRenderedPageBreak/>
        <w:t>10. Evidence map and current synthesis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D1419" w14:paraId="134D8C5B"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3260C308" w14:textId="77777777" w:rsidR="002D1419" w:rsidRDefault="00B10B26">
            <w:pPr>
              <w:spacing w:after="50" w:line="255" w:lineRule="auto"/>
            </w:pPr>
            <w:r>
              <w:rPr>
                <w:b/>
                <w:bCs/>
                <w:color w:val="173B4C"/>
                <w:sz w:val="19"/>
                <w:szCs w:val="19"/>
              </w:rPr>
              <w:t>Question</w:t>
            </w:r>
          </w:p>
        </w:tc>
        <w:tc>
          <w:tcPr>
            <w:tcW w:w="3120" w:type="dxa"/>
            <w:shd w:val="clear" w:color="auto" w:fill="EAF3F3"/>
            <w:tcMar>
              <w:top w:w="105" w:type="dxa"/>
              <w:left w:w="125" w:type="dxa"/>
              <w:bottom w:w="105" w:type="dxa"/>
              <w:right w:w="125" w:type="dxa"/>
            </w:tcMar>
          </w:tcPr>
          <w:p w14:paraId="4526DECD" w14:textId="77777777" w:rsidR="002D1419" w:rsidRDefault="00B10B26">
            <w:pPr>
              <w:spacing w:after="50" w:line="255" w:lineRule="auto"/>
            </w:pPr>
            <w:r>
              <w:rPr>
                <w:b/>
                <w:bCs/>
                <w:color w:val="173B4C"/>
                <w:sz w:val="19"/>
                <w:szCs w:val="19"/>
              </w:rPr>
              <w:t>Approach</w:t>
            </w:r>
          </w:p>
        </w:tc>
        <w:tc>
          <w:tcPr>
            <w:tcW w:w="3120" w:type="dxa"/>
            <w:shd w:val="clear" w:color="auto" w:fill="EAF3F3"/>
            <w:tcMar>
              <w:top w:w="105" w:type="dxa"/>
              <w:left w:w="125" w:type="dxa"/>
              <w:bottom w:w="105" w:type="dxa"/>
              <w:right w:w="125" w:type="dxa"/>
            </w:tcMar>
          </w:tcPr>
          <w:p w14:paraId="7F3E4798" w14:textId="77777777" w:rsidR="002D1419" w:rsidRDefault="00B10B26">
            <w:pPr>
              <w:spacing w:after="50" w:line="255" w:lineRule="auto"/>
            </w:pPr>
            <w:r>
              <w:rPr>
                <w:b/>
                <w:bCs/>
                <w:color w:val="173B4C"/>
                <w:sz w:val="19"/>
                <w:szCs w:val="19"/>
              </w:rPr>
              <w:t>What the evidence supports</w:t>
            </w:r>
          </w:p>
        </w:tc>
      </w:tr>
      <w:tr w:rsidR="002D1419" w14:paraId="29C6C863" w14:textId="77777777">
        <w:tblPrEx>
          <w:tblCellMar>
            <w:top w:w="0" w:type="dxa"/>
            <w:bottom w:w="0" w:type="dxa"/>
          </w:tblCellMar>
        </w:tblPrEx>
        <w:trPr>
          <w:cantSplit/>
        </w:trPr>
        <w:tc>
          <w:tcPr>
            <w:tcW w:w="3120" w:type="dxa"/>
            <w:tcMar>
              <w:top w:w="105" w:type="dxa"/>
              <w:left w:w="125" w:type="dxa"/>
              <w:bottom w:w="105" w:type="dxa"/>
              <w:right w:w="125" w:type="dxa"/>
            </w:tcMar>
          </w:tcPr>
          <w:p w14:paraId="210E3589" w14:textId="77777777" w:rsidR="002D1419" w:rsidRDefault="00B10B26">
            <w:pPr>
              <w:spacing w:after="50" w:line="255" w:lineRule="auto"/>
            </w:pPr>
            <w:r>
              <w:rPr>
                <w:sz w:val="19"/>
                <w:szCs w:val="19"/>
              </w:rPr>
              <w:t>How is substrate maturation organized?</w:t>
            </w:r>
          </w:p>
        </w:tc>
        <w:tc>
          <w:tcPr>
            <w:tcW w:w="3120" w:type="dxa"/>
            <w:tcMar>
              <w:top w:w="105" w:type="dxa"/>
              <w:left w:w="125" w:type="dxa"/>
              <w:bottom w:w="105" w:type="dxa"/>
              <w:right w:w="125" w:type="dxa"/>
            </w:tcMar>
          </w:tcPr>
          <w:p w14:paraId="39287E45" w14:textId="77777777" w:rsidR="002D1419" w:rsidRDefault="00B10B26">
            <w:pPr>
              <w:spacing w:after="50" w:line="255" w:lineRule="auto"/>
            </w:pPr>
            <w:r>
              <w:rPr>
                <w:sz w:val="19"/>
                <w:szCs w:val="19"/>
              </w:rPr>
              <w:t>Pulse labeling, sequencing and compartment imaging</w:t>
            </w:r>
          </w:p>
        </w:tc>
        <w:tc>
          <w:tcPr>
            <w:tcW w:w="3120" w:type="dxa"/>
            <w:tcMar>
              <w:top w:w="105" w:type="dxa"/>
              <w:left w:w="125" w:type="dxa"/>
              <w:bottom w:w="105" w:type="dxa"/>
              <w:right w:w="125" w:type="dxa"/>
            </w:tcMar>
          </w:tcPr>
          <w:p w14:paraId="6180EB11" w14:textId="5BDADC74" w:rsidR="002D1419" w:rsidRDefault="00B10B26">
            <w:pPr>
              <w:spacing w:after="50" w:line="255" w:lineRule="auto"/>
            </w:pPr>
            <w:r>
              <w:rPr>
                <w:sz w:val="19"/>
                <w:szCs w:val="19"/>
              </w:rPr>
              <w:t>Processing states are spatially ordered; engineered precursor defects can reshape layers.</w:t>
            </w:r>
            <w:hyperlink r:id="rId51" w:history="1">
              <w:r>
                <w:rPr>
                  <w:color w:val="087B78"/>
                  <w:sz w:val="18"/>
                  <w:szCs w:val="18"/>
                </w:rPr>
                <w:t xml:space="preserve"> [5]</w:t>
              </w:r>
            </w:hyperlink>
          </w:p>
        </w:tc>
      </w:tr>
      <w:tr w:rsidR="002D1419" w14:paraId="61A59E91" w14:textId="77777777">
        <w:tblPrEx>
          <w:tblCellMar>
            <w:top w:w="0" w:type="dxa"/>
            <w:bottom w:w="0" w:type="dxa"/>
          </w:tblCellMar>
        </w:tblPrEx>
        <w:trPr>
          <w:cantSplit/>
        </w:trPr>
        <w:tc>
          <w:tcPr>
            <w:tcW w:w="3120" w:type="dxa"/>
            <w:tcMar>
              <w:top w:w="105" w:type="dxa"/>
              <w:left w:w="125" w:type="dxa"/>
              <w:bottom w:w="105" w:type="dxa"/>
              <w:right w:w="125" w:type="dxa"/>
            </w:tcMar>
          </w:tcPr>
          <w:p w14:paraId="4A02564E" w14:textId="77777777" w:rsidR="002D1419" w:rsidRDefault="00B10B26">
            <w:pPr>
              <w:spacing w:after="50" w:line="255" w:lineRule="auto"/>
            </w:pPr>
            <w:r>
              <w:rPr>
                <w:sz w:val="19"/>
                <w:szCs w:val="19"/>
              </w:rPr>
              <w:t>What interactions recruit components?</w:t>
            </w:r>
          </w:p>
        </w:tc>
        <w:tc>
          <w:tcPr>
            <w:tcW w:w="3120" w:type="dxa"/>
            <w:tcMar>
              <w:top w:w="105" w:type="dxa"/>
              <w:left w:w="125" w:type="dxa"/>
              <w:bottom w:w="105" w:type="dxa"/>
              <w:right w:w="125" w:type="dxa"/>
            </w:tcMar>
          </w:tcPr>
          <w:p w14:paraId="56B5CE18" w14:textId="77777777" w:rsidR="002D1419" w:rsidRDefault="00B10B26">
            <w:pPr>
              <w:spacing w:after="50" w:line="255" w:lineRule="auto"/>
            </w:pPr>
            <w:r>
              <w:rPr>
                <w:sz w:val="19"/>
                <w:szCs w:val="19"/>
              </w:rPr>
              <w:t>NPM1/protein/RNA reconstitution and localization</w:t>
            </w:r>
          </w:p>
        </w:tc>
        <w:tc>
          <w:tcPr>
            <w:tcW w:w="3120" w:type="dxa"/>
            <w:tcMar>
              <w:top w:w="105" w:type="dxa"/>
              <w:left w:w="125" w:type="dxa"/>
              <w:bottom w:w="105" w:type="dxa"/>
              <w:right w:w="125" w:type="dxa"/>
            </w:tcMar>
          </w:tcPr>
          <w:p w14:paraId="17B04DCE" w14:textId="4A9CC98F" w:rsidR="002D1419" w:rsidRDefault="00B10B26">
            <w:pPr>
              <w:spacing w:after="50" w:line="255" w:lineRule="auto"/>
            </w:pPr>
            <w:r>
              <w:rPr>
                <w:sz w:val="19"/>
                <w:szCs w:val="19"/>
              </w:rPr>
              <w:t>Defined multivalent interactions contribute to organization; binding and assembly effects are coupled.</w:t>
            </w:r>
            <w:hyperlink r:id="rId52" w:history="1">
              <w:r>
                <w:rPr>
                  <w:color w:val="087B78"/>
                  <w:sz w:val="18"/>
                  <w:szCs w:val="18"/>
                </w:rPr>
                <w:t xml:space="preserve"> [2]</w:t>
              </w:r>
            </w:hyperlink>
          </w:p>
        </w:tc>
      </w:tr>
      <w:tr w:rsidR="002D1419" w14:paraId="2D0070EB" w14:textId="77777777">
        <w:tblPrEx>
          <w:tblCellMar>
            <w:top w:w="0" w:type="dxa"/>
            <w:bottom w:w="0" w:type="dxa"/>
          </w:tblCellMar>
        </w:tblPrEx>
        <w:trPr>
          <w:cantSplit/>
        </w:trPr>
        <w:tc>
          <w:tcPr>
            <w:tcW w:w="3120" w:type="dxa"/>
            <w:tcMar>
              <w:top w:w="105" w:type="dxa"/>
              <w:left w:w="125" w:type="dxa"/>
              <w:bottom w:w="105" w:type="dxa"/>
              <w:right w:w="125" w:type="dxa"/>
            </w:tcMar>
          </w:tcPr>
          <w:p w14:paraId="29C10C80" w14:textId="77777777" w:rsidR="002D1419" w:rsidRDefault="00B10B26">
            <w:pPr>
              <w:spacing w:after="50" w:line="255" w:lineRule="auto"/>
            </w:pPr>
            <w:r>
              <w:rPr>
                <w:sz w:val="19"/>
                <w:szCs w:val="19"/>
              </w:rPr>
              <w:t>Can distinct phases coexist?</w:t>
            </w:r>
          </w:p>
        </w:tc>
        <w:tc>
          <w:tcPr>
            <w:tcW w:w="3120" w:type="dxa"/>
            <w:tcMar>
              <w:top w:w="105" w:type="dxa"/>
              <w:left w:w="125" w:type="dxa"/>
              <w:bottom w:w="105" w:type="dxa"/>
              <w:right w:w="125" w:type="dxa"/>
            </w:tcMar>
          </w:tcPr>
          <w:p w14:paraId="6E094C96" w14:textId="77777777" w:rsidR="002D1419" w:rsidRDefault="00B10B26">
            <w:pPr>
              <w:spacing w:after="50" w:line="255" w:lineRule="auto"/>
            </w:pPr>
            <w:r>
              <w:rPr>
                <w:sz w:val="19"/>
                <w:szCs w:val="19"/>
              </w:rPr>
              <w:t>Reconstitution, composition and dynamics</w:t>
            </w:r>
          </w:p>
        </w:tc>
        <w:tc>
          <w:tcPr>
            <w:tcW w:w="3120" w:type="dxa"/>
            <w:tcMar>
              <w:top w:w="105" w:type="dxa"/>
              <w:left w:w="125" w:type="dxa"/>
              <w:bottom w:w="105" w:type="dxa"/>
              <w:right w:w="125" w:type="dxa"/>
            </w:tcMar>
          </w:tcPr>
          <w:p w14:paraId="75CBF845" w14:textId="5C42950D" w:rsidR="002D1419" w:rsidRDefault="00B10B26">
            <w:pPr>
              <w:spacing w:after="50" w:line="255" w:lineRule="auto"/>
            </w:pPr>
            <w:r>
              <w:rPr>
                <w:sz w:val="19"/>
                <w:szCs w:val="19"/>
              </w:rPr>
              <w:t>Selected protein/RNA systems exhibit coexistence; they do not reconstruct all anatomical compartments.</w:t>
            </w:r>
            <w:hyperlink r:id="rId53" w:history="1">
              <w:r>
                <w:rPr>
                  <w:color w:val="087B78"/>
                  <w:sz w:val="18"/>
                  <w:szCs w:val="18"/>
                </w:rPr>
                <w:t xml:space="preserve"> [3]</w:t>
              </w:r>
            </w:hyperlink>
          </w:p>
        </w:tc>
      </w:tr>
      <w:tr w:rsidR="002D1419" w14:paraId="22B2BB5A" w14:textId="77777777">
        <w:tblPrEx>
          <w:tblCellMar>
            <w:top w:w="0" w:type="dxa"/>
            <w:bottom w:w="0" w:type="dxa"/>
          </w:tblCellMar>
        </w:tblPrEx>
        <w:trPr>
          <w:cantSplit/>
        </w:trPr>
        <w:tc>
          <w:tcPr>
            <w:tcW w:w="3120" w:type="dxa"/>
            <w:tcMar>
              <w:top w:w="105" w:type="dxa"/>
              <w:left w:w="125" w:type="dxa"/>
              <w:bottom w:w="105" w:type="dxa"/>
              <w:right w:w="125" w:type="dxa"/>
            </w:tcMar>
          </w:tcPr>
          <w:p w14:paraId="04F8B8F9" w14:textId="77777777" w:rsidR="002D1419" w:rsidRDefault="00B10B26">
            <w:pPr>
              <w:spacing w:after="50" w:line="255" w:lineRule="auto"/>
            </w:pPr>
            <w:r>
              <w:rPr>
                <w:sz w:val="19"/>
                <w:szCs w:val="19"/>
              </w:rPr>
              <w:t>Does RNA behave like a rapidly mixing protein?</w:t>
            </w:r>
          </w:p>
        </w:tc>
        <w:tc>
          <w:tcPr>
            <w:tcW w:w="3120" w:type="dxa"/>
            <w:tcMar>
              <w:top w:w="105" w:type="dxa"/>
              <w:left w:w="125" w:type="dxa"/>
              <w:bottom w:w="105" w:type="dxa"/>
              <w:right w:w="125" w:type="dxa"/>
            </w:tcMar>
          </w:tcPr>
          <w:p w14:paraId="54DCD484" w14:textId="77777777" w:rsidR="002D1419" w:rsidRDefault="00B10B26">
            <w:pPr>
              <w:spacing w:after="50" w:line="255" w:lineRule="auto"/>
            </w:pPr>
            <w:r>
              <w:rPr>
                <w:sz w:val="19"/>
                <w:szCs w:val="19"/>
              </w:rPr>
              <w:t>RNA pulse–chase imaging and modeling</w:t>
            </w:r>
          </w:p>
        </w:tc>
        <w:tc>
          <w:tcPr>
            <w:tcW w:w="3120" w:type="dxa"/>
            <w:tcMar>
              <w:top w:w="105" w:type="dxa"/>
              <w:left w:w="125" w:type="dxa"/>
              <w:bottom w:w="105" w:type="dxa"/>
              <w:right w:w="125" w:type="dxa"/>
            </w:tcMar>
          </w:tcPr>
          <w:p w14:paraId="36D19E4D" w14:textId="6579FA54" w:rsidR="002D1419" w:rsidRDefault="00B10B26">
            <w:pPr>
              <w:spacing w:after="50" w:line="255" w:lineRule="auto"/>
            </w:pPr>
            <w:r>
              <w:rPr>
                <w:sz w:val="19"/>
                <w:szCs w:val="19"/>
              </w:rPr>
              <w:t>Slow outward RNA progression supports a flux-based, constrained-network account.</w:t>
            </w:r>
            <w:hyperlink r:id="rId54" w:history="1">
              <w:r>
                <w:rPr>
                  <w:color w:val="087B78"/>
                  <w:sz w:val="18"/>
                  <w:szCs w:val="18"/>
                </w:rPr>
                <w:t xml:space="preserve"> [4]</w:t>
              </w:r>
            </w:hyperlink>
          </w:p>
        </w:tc>
      </w:tr>
      <w:tr w:rsidR="002D1419" w14:paraId="063B634C" w14:textId="77777777">
        <w:tblPrEx>
          <w:tblCellMar>
            <w:top w:w="0" w:type="dxa"/>
            <w:bottom w:w="0" w:type="dxa"/>
          </w:tblCellMar>
        </w:tblPrEx>
        <w:trPr>
          <w:cantSplit/>
        </w:trPr>
        <w:tc>
          <w:tcPr>
            <w:tcW w:w="3120" w:type="dxa"/>
            <w:tcMar>
              <w:top w:w="105" w:type="dxa"/>
              <w:left w:w="125" w:type="dxa"/>
              <w:bottom w:w="105" w:type="dxa"/>
              <w:right w:w="125" w:type="dxa"/>
            </w:tcMar>
          </w:tcPr>
          <w:p w14:paraId="3DCA3B32" w14:textId="77777777" w:rsidR="002D1419" w:rsidRDefault="00B10B26">
            <w:pPr>
              <w:spacing w:after="50" w:line="255" w:lineRule="auto"/>
            </w:pPr>
            <w:r>
              <w:rPr>
                <w:sz w:val="19"/>
                <w:szCs w:val="19"/>
              </w:rPr>
              <w:t>How does the organelle resist deformation?</w:t>
            </w:r>
          </w:p>
        </w:tc>
        <w:tc>
          <w:tcPr>
            <w:tcW w:w="3120" w:type="dxa"/>
            <w:tcMar>
              <w:top w:w="105" w:type="dxa"/>
              <w:left w:w="125" w:type="dxa"/>
              <w:bottom w:w="105" w:type="dxa"/>
              <w:right w:w="125" w:type="dxa"/>
            </w:tcMar>
          </w:tcPr>
          <w:p w14:paraId="124DBC4B" w14:textId="77777777" w:rsidR="002D1419" w:rsidRDefault="00B10B26">
            <w:pPr>
              <w:spacing w:after="50" w:line="255" w:lineRule="auto"/>
            </w:pPr>
            <w:r>
              <w:rPr>
                <w:sz w:val="19"/>
                <w:szCs w:val="19"/>
              </w:rPr>
              <w:t>Micropipette aspiration and RNA degradation</w:t>
            </w:r>
          </w:p>
        </w:tc>
        <w:tc>
          <w:tcPr>
            <w:tcW w:w="3120" w:type="dxa"/>
            <w:tcMar>
              <w:top w:w="105" w:type="dxa"/>
              <w:left w:w="125" w:type="dxa"/>
              <w:bottom w:w="105" w:type="dxa"/>
              <w:right w:w="125" w:type="dxa"/>
            </w:tcMar>
          </w:tcPr>
          <w:p w14:paraId="4B3D3587" w14:textId="7B01B22C" w:rsidR="002D1419" w:rsidRDefault="00B10B26">
            <w:pPr>
              <w:spacing w:after="50" w:line="255" w:lineRule="auto"/>
            </w:pPr>
            <w:r>
              <w:rPr>
                <w:sz w:val="19"/>
                <w:szCs w:val="19"/>
              </w:rPr>
              <w:t>Subcompartments differ mechanically in the tested preparation; RNA changes the response.</w:t>
            </w:r>
            <w:hyperlink r:id="rId55" w:history="1">
              <w:r>
                <w:rPr>
                  <w:color w:val="087B78"/>
                  <w:sz w:val="18"/>
                  <w:szCs w:val="18"/>
                </w:rPr>
                <w:t xml:space="preserve"> [6]</w:t>
              </w:r>
            </w:hyperlink>
          </w:p>
        </w:tc>
      </w:tr>
      <w:tr w:rsidR="002D1419" w14:paraId="1609F142" w14:textId="77777777">
        <w:tblPrEx>
          <w:tblCellMar>
            <w:top w:w="0" w:type="dxa"/>
            <w:bottom w:w="0" w:type="dxa"/>
          </w:tblCellMar>
        </w:tblPrEx>
        <w:trPr>
          <w:cantSplit/>
        </w:trPr>
        <w:tc>
          <w:tcPr>
            <w:tcW w:w="3120" w:type="dxa"/>
            <w:tcMar>
              <w:top w:w="105" w:type="dxa"/>
              <w:left w:w="125" w:type="dxa"/>
              <w:bottom w:w="105" w:type="dxa"/>
              <w:right w:w="125" w:type="dxa"/>
            </w:tcMar>
          </w:tcPr>
          <w:p w14:paraId="2F5D19A0" w14:textId="77777777" w:rsidR="002D1419" w:rsidRDefault="00B10B26">
            <w:pPr>
              <w:spacing w:after="50" w:line="255" w:lineRule="auto"/>
            </w:pPr>
            <w:r>
              <w:rPr>
                <w:sz w:val="19"/>
                <w:szCs w:val="19"/>
              </w:rPr>
              <w:t>How can assembly stress reach a regulator?</w:t>
            </w:r>
          </w:p>
        </w:tc>
        <w:tc>
          <w:tcPr>
            <w:tcW w:w="3120" w:type="dxa"/>
            <w:tcMar>
              <w:top w:w="105" w:type="dxa"/>
              <w:left w:w="125" w:type="dxa"/>
              <w:bottom w:w="105" w:type="dxa"/>
              <w:right w:w="125" w:type="dxa"/>
            </w:tcMar>
          </w:tcPr>
          <w:p w14:paraId="21ACDFC0" w14:textId="77777777" w:rsidR="002D1419" w:rsidRDefault="00B10B26">
            <w:pPr>
              <w:spacing w:after="50" w:line="255" w:lineRule="auto"/>
            </w:pPr>
            <w:r>
              <w:rPr>
                <w:sz w:val="19"/>
                <w:szCs w:val="19"/>
              </w:rPr>
              <w:t>5S RNP/MDM2 interaction and perturbation</w:t>
            </w:r>
          </w:p>
        </w:tc>
        <w:tc>
          <w:tcPr>
            <w:tcW w:w="3120" w:type="dxa"/>
            <w:tcMar>
              <w:top w:w="105" w:type="dxa"/>
              <w:left w:w="125" w:type="dxa"/>
              <w:bottom w:w="105" w:type="dxa"/>
              <w:right w:w="125" w:type="dxa"/>
            </w:tcMar>
          </w:tcPr>
          <w:p w14:paraId="00108D50" w14:textId="7D305538" w:rsidR="002D1419" w:rsidRDefault="00B10B26">
            <w:pPr>
              <w:spacing w:after="50" w:line="255" w:lineRule="auto"/>
            </w:pPr>
            <w:r>
              <w:rPr>
                <w:sz w:val="19"/>
                <w:szCs w:val="19"/>
              </w:rPr>
              <w:t>A defined biochemical pathway connects ribosome production to p53 control.</w:t>
            </w:r>
            <w:hyperlink r:id="rId56" w:history="1">
              <w:r>
                <w:rPr>
                  <w:color w:val="087B78"/>
                  <w:sz w:val="18"/>
                  <w:szCs w:val="18"/>
                </w:rPr>
                <w:t xml:space="preserve"> [7]</w:t>
              </w:r>
            </w:hyperlink>
          </w:p>
        </w:tc>
      </w:tr>
    </w:tbl>
    <w:p w14:paraId="1679377D" w14:textId="77777777" w:rsidR="002D1419" w:rsidRDefault="002D1419">
      <w:pPr>
        <w:spacing w:after="170"/>
      </w:pPr>
    </w:p>
    <w:p w14:paraId="4352749F" w14:textId="051D886D" w:rsidR="002D1419" w:rsidRDefault="00B10B26">
      <w:r>
        <w:t>The current synthesis is an active, chemically changing assembly environment with heterogeneous material properties. Protein-rich networks, precursor connectivity, processing and directional flux jointly organize the nucleolus. The key next questions concern which changes in those properties are necessary for a given maturation step and which merely accompany altered substrate supply. Experiments combining defined RNA processing, mechanical perturbation and direct particle-output measurements can distinguis</w:t>
      </w:r>
      <w:r>
        <w:t>h those alternatives and connect an appealing physical model to productive ribosome biogenesis.</w:t>
      </w:r>
      <w:hyperlink r:id="rId57" w:history="1">
        <w:r>
          <w:rPr>
            <w:color w:val="087B78"/>
            <w:sz w:val="18"/>
            <w:szCs w:val="18"/>
          </w:rPr>
          <w:t xml:space="preserve"> [2]</w:t>
        </w:r>
      </w:hyperlink>
      <w:hyperlink r:id="rId58" w:history="1">
        <w:r>
          <w:rPr>
            <w:color w:val="087B78"/>
            <w:sz w:val="18"/>
            <w:szCs w:val="18"/>
          </w:rPr>
          <w:t xml:space="preserve"> [3]</w:t>
        </w:r>
      </w:hyperlink>
      <w:hyperlink r:id="rId59" w:history="1">
        <w:r>
          <w:rPr>
            <w:color w:val="087B78"/>
            <w:sz w:val="18"/>
            <w:szCs w:val="18"/>
          </w:rPr>
          <w:t xml:space="preserve"> [4]</w:t>
        </w:r>
      </w:hyperlink>
      <w:hyperlink r:id="rId60" w:history="1">
        <w:r>
          <w:rPr>
            <w:color w:val="087B78"/>
            <w:sz w:val="18"/>
            <w:szCs w:val="18"/>
          </w:rPr>
          <w:t xml:space="preserve"> [5]</w:t>
        </w:r>
      </w:hyperlink>
      <w:hyperlink r:id="rId61" w:history="1">
        <w:r>
          <w:rPr>
            <w:color w:val="087B78"/>
            <w:sz w:val="18"/>
            <w:szCs w:val="18"/>
          </w:rPr>
          <w:t xml:space="preserve"> [6]</w:t>
        </w:r>
      </w:hyperlink>
    </w:p>
    <w:p w14:paraId="4D50C09C" w14:textId="77777777" w:rsidR="002D1419" w:rsidRDefault="00B10B26">
      <w:pPr>
        <w:pStyle w:val="Heading1"/>
      </w:pPr>
      <w:bookmarkStart w:id="11" w:name="_Toc242668401"/>
      <w:r>
        <w:t>References</w:t>
      </w:r>
      <w:bookmarkEnd w:id="11"/>
    </w:p>
    <w:p w14:paraId="2DFA07ED" w14:textId="0AAF986D" w:rsidR="002D1419" w:rsidRDefault="00B10B26">
      <w:pPr>
        <w:keepLines/>
        <w:spacing w:after="90" w:line="245" w:lineRule="auto"/>
      </w:pPr>
      <w:r>
        <w:rPr>
          <w:b/>
          <w:bCs/>
          <w:sz w:val="20"/>
          <w:szCs w:val="20"/>
        </w:rPr>
        <w:t xml:space="preserve">[1] Lafontaine, Riback, Bascetin and Brangwynne (2021). </w:t>
      </w:r>
      <w:r>
        <w:rPr>
          <w:sz w:val="20"/>
          <w:szCs w:val="20"/>
        </w:rPr>
        <w:t xml:space="preserve">The nucleolus as a multiphase liquid condensate. Nature Reviews Molecular Cell Biology. </w:t>
      </w:r>
      <w:hyperlink r:id="rId62" w:history="1">
        <w:r>
          <w:rPr>
            <w:color w:val="087B78"/>
            <w:sz w:val="20"/>
            <w:szCs w:val="20"/>
            <w:u w:val="single"/>
          </w:rPr>
          <w:t>10.1038/s41580-020-0272-6</w:t>
        </w:r>
      </w:hyperlink>
    </w:p>
    <w:p w14:paraId="6C0ECE1C" w14:textId="349AB578" w:rsidR="002D1419" w:rsidRDefault="00B10B26">
      <w:pPr>
        <w:keepLines/>
        <w:spacing w:after="90" w:line="245" w:lineRule="auto"/>
      </w:pPr>
      <w:r>
        <w:rPr>
          <w:b/>
          <w:bCs/>
          <w:sz w:val="20"/>
          <w:szCs w:val="20"/>
        </w:rPr>
        <w:t xml:space="preserve">[2] Mitrea et al. (2016). </w:t>
      </w:r>
      <w:r>
        <w:rPr>
          <w:sz w:val="20"/>
          <w:szCs w:val="20"/>
        </w:rPr>
        <w:t xml:space="preserve">Nucleophosmin integrates within the nucleolus via multi-modal interactions with proteins displaying R-rich linear motifs and rRNA. eLife. </w:t>
      </w:r>
      <w:hyperlink r:id="rId63" w:history="1">
        <w:r>
          <w:rPr>
            <w:color w:val="087B78"/>
            <w:sz w:val="20"/>
            <w:szCs w:val="20"/>
            <w:u w:val="single"/>
          </w:rPr>
          <w:t>10.7554/eLife.13571</w:t>
        </w:r>
      </w:hyperlink>
    </w:p>
    <w:p w14:paraId="0F05FF29" w14:textId="18BD355C" w:rsidR="002D1419" w:rsidRDefault="00B10B26">
      <w:pPr>
        <w:keepLines/>
        <w:spacing w:after="90" w:line="245" w:lineRule="auto"/>
      </w:pPr>
      <w:r>
        <w:rPr>
          <w:b/>
          <w:bCs/>
          <w:sz w:val="20"/>
          <w:szCs w:val="20"/>
        </w:rPr>
        <w:t xml:space="preserve">[3] Feric et al. (2016). </w:t>
      </w:r>
      <w:r>
        <w:rPr>
          <w:sz w:val="20"/>
          <w:szCs w:val="20"/>
        </w:rPr>
        <w:t xml:space="preserve">Coexisting Liquid Phases Underlie Nucleolar Subcompartments. Cell. </w:t>
      </w:r>
      <w:hyperlink r:id="rId64" w:history="1">
        <w:r>
          <w:rPr>
            <w:color w:val="087B78"/>
            <w:sz w:val="20"/>
            <w:szCs w:val="20"/>
            <w:u w:val="single"/>
          </w:rPr>
          <w:t>10.1016/j.cell.2016.04.047</w:t>
        </w:r>
      </w:hyperlink>
    </w:p>
    <w:p w14:paraId="741A8C73" w14:textId="0E63BE80" w:rsidR="002D1419" w:rsidRDefault="00B10B26">
      <w:pPr>
        <w:keepLines/>
        <w:spacing w:after="90" w:line="245" w:lineRule="auto"/>
      </w:pPr>
      <w:r>
        <w:rPr>
          <w:b/>
          <w:bCs/>
          <w:sz w:val="20"/>
          <w:szCs w:val="20"/>
        </w:rPr>
        <w:lastRenderedPageBreak/>
        <w:t xml:space="preserve">[4] Riback et al. (2023). </w:t>
      </w:r>
      <w:r>
        <w:rPr>
          <w:sz w:val="20"/>
          <w:szCs w:val="20"/>
        </w:rPr>
        <w:t xml:space="preserve">Viscoelasticity and advective flow of RNA underlies nucleolar form and function. Molecular Cell. </w:t>
      </w:r>
      <w:hyperlink r:id="rId65" w:history="1">
        <w:r>
          <w:rPr>
            <w:color w:val="087B78"/>
            <w:sz w:val="20"/>
            <w:szCs w:val="20"/>
            <w:u w:val="single"/>
          </w:rPr>
          <w:t>10.1016/j.molcel.2023.08.006</w:t>
        </w:r>
      </w:hyperlink>
    </w:p>
    <w:p w14:paraId="398B1FB3" w14:textId="62DFF232" w:rsidR="002D1419" w:rsidRDefault="00B10B26">
      <w:pPr>
        <w:keepLines/>
        <w:spacing w:after="90" w:line="245" w:lineRule="auto"/>
      </w:pPr>
      <w:r>
        <w:rPr>
          <w:b/>
          <w:bCs/>
          <w:sz w:val="20"/>
          <w:szCs w:val="20"/>
        </w:rPr>
        <w:t xml:space="preserve">[5] Quinodoz et al. (2025). </w:t>
      </w:r>
      <w:r>
        <w:rPr>
          <w:sz w:val="20"/>
          <w:szCs w:val="20"/>
        </w:rPr>
        <w:t xml:space="preserve">Mapping and engineering RNA-driven architecture of the multiphase nucleolus. Nature. </w:t>
      </w:r>
      <w:hyperlink r:id="rId66" w:history="1">
        <w:r>
          <w:rPr>
            <w:color w:val="087B78"/>
            <w:sz w:val="20"/>
            <w:szCs w:val="20"/>
            <w:u w:val="single"/>
          </w:rPr>
          <w:t>10.1038/s41586-025-09207-4</w:t>
        </w:r>
      </w:hyperlink>
    </w:p>
    <w:p w14:paraId="294BDCB0" w14:textId="01413584" w:rsidR="002D1419" w:rsidRDefault="00B10B26">
      <w:pPr>
        <w:keepLines/>
        <w:spacing w:after="90" w:line="245" w:lineRule="auto"/>
      </w:pPr>
      <w:r>
        <w:rPr>
          <w:b/>
          <w:bCs/>
          <w:sz w:val="20"/>
          <w:szCs w:val="20"/>
        </w:rPr>
        <w:t xml:space="preserve">[6] Cheng et al. (2025). </w:t>
      </w:r>
      <w:r>
        <w:rPr>
          <w:sz w:val="20"/>
          <w:szCs w:val="20"/>
        </w:rPr>
        <w:t xml:space="preserve">Micropipette aspiration reveals differential RNA-dependent viscoelasticity of nucleolar subcompartments. PNAS. </w:t>
      </w:r>
      <w:hyperlink r:id="rId67" w:history="1">
        <w:r>
          <w:rPr>
            <w:color w:val="087B78"/>
            <w:sz w:val="20"/>
            <w:szCs w:val="20"/>
            <w:u w:val="single"/>
          </w:rPr>
          <w:t>10.1073/pnas.2407423122</w:t>
        </w:r>
      </w:hyperlink>
    </w:p>
    <w:p w14:paraId="5E5E0A6D" w14:textId="71DBEC83" w:rsidR="002D1419" w:rsidRDefault="00B10B26">
      <w:pPr>
        <w:keepLines/>
        <w:spacing w:after="90" w:line="245" w:lineRule="auto"/>
      </w:pPr>
      <w:r>
        <w:rPr>
          <w:b/>
          <w:bCs/>
          <w:sz w:val="20"/>
          <w:szCs w:val="20"/>
        </w:rPr>
        <w:t xml:space="preserve">[7] Sloan, Bohnsack and Watkins (2013). </w:t>
      </w:r>
      <w:r>
        <w:rPr>
          <w:sz w:val="20"/>
          <w:szCs w:val="20"/>
        </w:rPr>
        <w:t xml:space="preserve">The 5S RNP couples p53 homeostasis to ribosome biogenesis and nucleolar stress. Cell Reports. </w:t>
      </w:r>
      <w:hyperlink r:id="rId68" w:history="1">
        <w:r>
          <w:rPr>
            <w:color w:val="087B78"/>
            <w:sz w:val="20"/>
            <w:szCs w:val="20"/>
            <w:u w:val="single"/>
          </w:rPr>
          <w:t>10.1016/j.celrep.2013.08.049</w:t>
        </w:r>
      </w:hyperlink>
    </w:p>
    <w:p w14:paraId="58C2E42B" w14:textId="24A8E85C" w:rsidR="002D1419" w:rsidRDefault="00B10B26">
      <w:pPr>
        <w:keepLines/>
        <w:spacing w:after="90" w:line="245" w:lineRule="auto"/>
      </w:pPr>
      <w:r>
        <w:rPr>
          <w:b/>
          <w:bCs/>
          <w:sz w:val="20"/>
          <w:szCs w:val="20"/>
        </w:rPr>
        <w:t xml:space="preserve">[8] Nicoloso et al. (1996). </w:t>
      </w:r>
      <w:r>
        <w:rPr>
          <w:sz w:val="20"/>
          <w:szCs w:val="20"/>
        </w:rPr>
        <w:t xml:space="preserve">Intron-encoded, antisense small nucleolar RNAs: the characterization of nine novel species points to their direct role as guides for the 2′-O-ribose methylation of rRNAs. Journal of Molecular Biology. </w:t>
      </w:r>
      <w:hyperlink r:id="rId69" w:history="1">
        <w:r>
          <w:rPr>
            <w:color w:val="087B78"/>
            <w:sz w:val="20"/>
            <w:szCs w:val="20"/>
            <w:u w:val="single"/>
          </w:rPr>
          <w:t>10.1006/jmbi.1996.0391</w:t>
        </w:r>
      </w:hyperlink>
    </w:p>
    <w:p w14:paraId="47B82707" w14:textId="798EF585" w:rsidR="002D1419" w:rsidRDefault="00B10B26">
      <w:pPr>
        <w:keepLines/>
        <w:spacing w:after="90" w:line="245" w:lineRule="auto"/>
      </w:pPr>
      <w:r>
        <w:rPr>
          <w:b/>
          <w:bCs/>
          <w:sz w:val="20"/>
          <w:szCs w:val="20"/>
        </w:rPr>
        <w:t xml:space="preserve">[9] Yao et al. (2019). </w:t>
      </w:r>
      <w:r>
        <w:rPr>
          <w:sz w:val="20"/>
          <w:szCs w:val="20"/>
        </w:rPr>
        <w:t xml:space="preserve">Nascent Pre-rRNA Sorting via Phase Separation Drives the Assembly of Dense Fibrillar Components in the Human Nucleolus. Molecular Cell. </w:t>
      </w:r>
      <w:hyperlink r:id="rId70" w:history="1">
        <w:r>
          <w:rPr>
            <w:color w:val="087B78"/>
            <w:sz w:val="20"/>
            <w:szCs w:val="20"/>
            <w:u w:val="single"/>
          </w:rPr>
          <w:t>10.1016/j.molcel.2019.08.014</w:t>
        </w:r>
      </w:hyperlink>
    </w:p>
    <w:p w14:paraId="7EBE1679" w14:textId="77777777" w:rsidR="002D1419" w:rsidRDefault="00B10B26">
      <w:pPr>
        <w:pStyle w:val="Heading1"/>
      </w:pPr>
      <w:bookmarkStart w:id="12" w:name="_Toc242668402"/>
      <w:r>
        <w:t>Evidence scope</w:t>
      </w:r>
      <w:bookmarkEnd w:id="12"/>
    </w:p>
    <w:p w14:paraId="5D71257A" w14:textId="77777777" w:rsidR="002D1419" w:rsidRDefault="00B10B26">
      <w:pPr>
        <w:keepLines/>
        <w:spacing w:after="160" w:line="270" w:lineRule="auto"/>
      </w:pPr>
      <w:r>
        <w:t>This scholarly synthesis integrates foundational studies and literature available by 12 October 2026. Source access ranges from primary abstracts to selected Results, figure captions and Methods, as specified for each reference. Experiments and models retain their organism, construct and perturbation context; raw data and supplementary material have not been comprehensively reanalysed.</w:t>
      </w:r>
    </w:p>
    <w:sectPr w:rsidR="002D1419">
      <w:headerReference w:type="default" r:id="rId71"/>
      <w:footerReference w:type="default" r:id="rId72"/>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A493D" w14:textId="77777777" w:rsidR="00B10B26" w:rsidRDefault="00B10B26">
      <w:pPr>
        <w:spacing w:after="0" w:line="240" w:lineRule="auto"/>
      </w:pPr>
      <w:r>
        <w:separator/>
      </w:r>
    </w:p>
  </w:endnote>
  <w:endnote w:type="continuationSeparator" w:id="0">
    <w:p w14:paraId="5E8F4899" w14:textId="77777777" w:rsidR="00B10B26" w:rsidRDefault="00B10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662F4" w14:textId="77777777" w:rsidR="002D1419" w:rsidRDefault="00B10B26">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9D3239">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9D3239">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E558E" w14:textId="77777777" w:rsidR="00B10B26" w:rsidRDefault="00B10B26">
      <w:pPr>
        <w:spacing w:after="0" w:line="240" w:lineRule="auto"/>
      </w:pPr>
      <w:r>
        <w:separator/>
      </w:r>
    </w:p>
  </w:footnote>
  <w:footnote w:type="continuationSeparator" w:id="0">
    <w:p w14:paraId="14F98680" w14:textId="77777777" w:rsidR="00B10B26" w:rsidRDefault="00B10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DAF0B" w14:textId="77777777" w:rsidR="002D1419" w:rsidRDefault="00B10B26">
    <w:pPr>
      <w:pBdr>
        <w:bottom w:val="single" w:sz="4" w:space="0" w:color="B8D1D0"/>
      </w:pBdr>
    </w:pPr>
    <w:r>
      <w:rPr>
        <w:color w:val="527077"/>
        <w:sz w:val="17"/>
        <w:szCs w:val="17"/>
      </w:rPr>
      <w:t>The Nucleolus: Ribosome Biogenesis, RNA Flux and Multiphase Organization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E1DE1"/>
    <w:multiLevelType w:val="hybridMultilevel"/>
    <w:tmpl w:val="F5A8ADEC"/>
    <w:lvl w:ilvl="0" w:tplc="DB9EBCE8">
      <w:start w:val="1"/>
      <w:numFmt w:val="bullet"/>
      <w:lvlText w:val="•"/>
      <w:lvlJc w:val="left"/>
      <w:pPr>
        <w:ind w:left="340" w:hanging="170"/>
      </w:pPr>
    </w:lvl>
    <w:lvl w:ilvl="1" w:tplc="AC0E43C6">
      <w:numFmt w:val="decimal"/>
      <w:lvlText w:val=""/>
      <w:lvlJc w:val="left"/>
    </w:lvl>
    <w:lvl w:ilvl="2" w:tplc="4FD4D37E">
      <w:numFmt w:val="decimal"/>
      <w:lvlText w:val=""/>
      <w:lvlJc w:val="left"/>
    </w:lvl>
    <w:lvl w:ilvl="3" w:tplc="3724C5CC">
      <w:numFmt w:val="decimal"/>
      <w:lvlText w:val=""/>
      <w:lvlJc w:val="left"/>
    </w:lvl>
    <w:lvl w:ilvl="4" w:tplc="D1A09704">
      <w:numFmt w:val="decimal"/>
      <w:lvlText w:val=""/>
      <w:lvlJc w:val="left"/>
    </w:lvl>
    <w:lvl w:ilvl="5" w:tplc="EC52861A">
      <w:numFmt w:val="decimal"/>
      <w:lvlText w:val=""/>
      <w:lvlJc w:val="left"/>
    </w:lvl>
    <w:lvl w:ilvl="6" w:tplc="17661446">
      <w:numFmt w:val="decimal"/>
      <w:lvlText w:val=""/>
      <w:lvlJc w:val="left"/>
    </w:lvl>
    <w:lvl w:ilvl="7" w:tplc="320072C6">
      <w:numFmt w:val="decimal"/>
      <w:lvlText w:val=""/>
      <w:lvlJc w:val="left"/>
    </w:lvl>
    <w:lvl w:ilvl="8" w:tplc="7996E596">
      <w:numFmt w:val="decimal"/>
      <w:lvlText w:val=""/>
      <w:lvlJc w:val="left"/>
    </w:lvl>
  </w:abstractNum>
  <w:abstractNum w:abstractNumId="1" w15:restartNumberingAfterBreak="0">
    <w:nsid w:val="4BBD4B13"/>
    <w:multiLevelType w:val="hybridMultilevel"/>
    <w:tmpl w:val="7208FCD0"/>
    <w:lvl w:ilvl="0" w:tplc="43A6BA52">
      <w:start w:val="1"/>
      <w:numFmt w:val="bullet"/>
      <w:lvlText w:val="●"/>
      <w:lvlJc w:val="left"/>
      <w:pPr>
        <w:ind w:left="720" w:hanging="360"/>
      </w:pPr>
    </w:lvl>
    <w:lvl w:ilvl="1" w:tplc="5172DF94">
      <w:start w:val="1"/>
      <w:numFmt w:val="bullet"/>
      <w:lvlText w:val="○"/>
      <w:lvlJc w:val="left"/>
      <w:pPr>
        <w:ind w:left="1440" w:hanging="360"/>
      </w:pPr>
    </w:lvl>
    <w:lvl w:ilvl="2" w:tplc="BE1A7B98">
      <w:start w:val="1"/>
      <w:numFmt w:val="bullet"/>
      <w:lvlText w:val="■"/>
      <w:lvlJc w:val="left"/>
      <w:pPr>
        <w:ind w:left="2160" w:hanging="360"/>
      </w:pPr>
    </w:lvl>
    <w:lvl w:ilvl="3" w:tplc="0C2427EA">
      <w:start w:val="1"/>
      <w:numFmt w:val="bullet"/>
      <w:lvlText w:val="●"/>
      <w:lvlJc w:val="left"/>
      <w:pPr>
        <w:ind w:left="2880" w:hanging="360"/>
      </w:pPr>
    </w:lvl>
    <w:lvl w:ilvl="4" w:tplc="B02ACE08">
      <w:start w:val="1"/>
      <w:numFmt w:val="bullet"/>
      <w:lvlText w:val="○"/>
      <w:lvlJc w:val="left"/>
      <w:pPr>
        <w:ind w:left="3600" w:hanging="360"/>
      </w:pPr>
    </w:lvl>
    <w:lvl w:ilvl="5" w:tplc="A47231F2">
      <w:start w:val="1"/>
      <w:numFmt w:val="bullet"/>
      <w:lvlText w:val="■"/>
      <w:lvlJc w:val="left"/>
      <w:pPr>
        <w:ind w:left="4320" w:hanging="360"/>
      </w:pPr>
    </w:lvl>
    <w:lvl w:ilvl="6" w:tplc="7200E69E">
      <w:start w:val="1"/>
      <w:numFmt w:val="bullet"/>
      <w:lvlText w:val="●"/>
      <w:lvlJc w:val="left"/>
      <w:pPr>
        <w:ind w:left="5040" w:hanging="360"/>
      </w:pPr>
    </w:lvl>
    <w:lvl w:ilvl="7" w:tplc="E2AC7530">
      <w:start w:val="1"/>
      <w:numFmt w:val="bullet"/>
      <w:lvlText w:val="●"/>
      <w:lvlJc w:val="left"/>
      <w:pPr>
        <w:ind w:left="5760" w:hanging="360"/>
      </w:pPr>
    </w:lvl>
    <w:lvl w:ilvl="8" w:tplc="4F804ED0">
      <w:start w:val="1"/>
      <w:numFmt w:val="bullet"/>
      <w:lvlText w:val="●"/>
      <w:lvlJc w:val="left"/>
      <w:pPr>
        <w:ind w:left="6480" w:hanging="360"/>
      </w:pPr>
    </w:lvl>
  </w:abstractNum>
  <w:num w:numId="1" w16cid:durableId="1707220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419"/>
    <w:rsid w:val="002D1419"/>
    <w:rsid w:val="005E505A"/>
    <w:rsid w:val="009D3239"/>
    <w:rsid w:val="00B10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4D1CCC"/>
  <w15:docId w15:val="{3D4FFB50-DBBB-4815-8211-17D7C89D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9D323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7554/eLife.13571" TargetMode="External"/><Relationship Id="rId21" Type="http://schemas.openxmlformats.org/officeDocument/2006/relationships/hyperlink" Target="https://doi.org/10.1016/j.cell.2016.04.047" TargetMode="External"/><Relationship Id="rId42" Type="http://schemas.openxmlformats.org/officeDocument/2006/relationships/hyperlink" Target="https://doi.org/10.1038/s41586-025-09207-4" TargetMode="External"/><Relationship Id="rId47" Type="http://schemas.openxmlformats.org/officeDocument/2006/relationships/hyperlink" Target="https://doi.org/10.1016/j.molcel.2023.08.006" TargetMode="External"/><Relationship Id="rId63" Type="http://schemas.openxmlformats.org/officeDocument/2006/relationships/hyperlink" Target="https://doi.org/10.7554/eLife.13571" TargetMode="External"/><Relationship Id="rId68" Type="http://schemas.openxmlformats.org/officeDocument/2006/relationships/hyperlink" Target="https://doi.org/10.1016/j.celrep.2013.08.049" TargetMode="External"/><Relationship Id="rId2" Type="http://schemas.openxmlformats.org/officeDocument/2006/relationships/styles" Target="styles.xml"/><Relationship Id="rId16" Type="http://schemas.openxmlformats.org/officeDocument/2006/relationships/hyperlink" Target="https://doi.org/10.1016/j.celrep.2013.08.049" TargetMode="External"/><Relationship Id="rId29" Type="http://schemas.openxmlformats.org/officeDocument/2006/relationships/hyperlink" Target="https://doi.org/10.7554/eLife.13571" TargetMode="External"/><Relationship Id="rId11" Type="http://schemas.openxmlformats.org/officeDocument/2006/relationships/hyperlink" Target="https://doi.org/10.1038/s41586-025-09207-4" TargetMode="External"/><Relationship Id="rId24" Type="http://schemas.openxmlformats.org/officeDocument/2006/relationships/hyperlink" Target="https://doi.org/10.1016/j.molcel.2019.08.014" TargetMode="External"/><Relationship Id="rId32" Type="http://schemas.openxmlformats.org/officeDocument/2006/relationships/hyperlink" Target="https://doi.org/10.1016/j.molcel.2023.08.006" TargetMode="External"/><Relationship Id="rId37" Type="http://schemas.openxmlformats.org/officeDocument/2006/relationships/hyperlink" Target="https://doi.org/10.1016/j.molcel.2023.08.006" TargetMode="External"/><Relationship Id="rId40" Type="http://schemas.openxmlformats.org/officeDocument/2006/relationships/hyperlink" Target="https://doi.org/10.1038/s41586-025-09207-4" TargetMode="External"/><Relationship Id="rId45" Type="http://schemas.openxmlformats.org/officeDocument/2006/relationships/hyperlink" Target="https://doi.org/10.1073/pnas.2407423122" TargetMode="External"/><Relationship Id="rId53" Type="http://schemas.openxmlformats.org/officeDocument/2006/relationships/hyperlink" Target="https://doi.org/10.1016/j.cell.2016.04.047" TargetMode="External"/><Relationship Id="rId58" Type="http://schemas.openxmlformats.org/officeDocument/2006/relationships/hyperlink" Target="https://doi.org/10.1016/j.cell.2016.04.047" TargetMode="External"/><Relationship Id="rId66" Type="http://schemas.openxmlformats.org/officeDocument/2006/relationships/hyperlink" Target="https://doi.org/10.1038/s41586-025-09207-4"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1073/pnas.2407423122" TargetMode="External"/><Relationship Id="rId19" Type="http://schemas.openxmlformats.org/officeDocument/2006/relationships/hyperlink" Target="https://doi.org/10.1038/s41586-025-09207-4" TargetMode="External"/><Relationship Id="rId14" Type="http://schemas.openxmlformats.org/officeDocument/2006/relationships/hyperlink" Target="https://doi.org/10.1038/s41586-025-09207-4" TargetMode="External"/><Relationship Id="rId22" Type="http://schemas.openxmlformats.org/officeDocument/2006/relationships/hyperlink" Target="https://doi.org/10.1006/jmbi.1996.0391" TargetMode="External"/><Relationship Id="rId27" Type="http://schemas.openxmlformats.org/officeDocument/2006/relationships/hyperlink" Target="https://doi.org/10.7554/eLife.13571" TargetMode="External"/><Relationship Id="rId30" Type="http://schemas.openxmlformats.org/officeDocument/2006/relationships/hyperlink" Target="https://doi.org/10.1016/j.cell.2016.04.047" TargetMode="External"/><Relationship Id="rId35" Type="http://schemas.openxmlformats.org/officeDocument/2006/relationships/hyperlink" Target="https://doi.org/10.1016/j.cell.2016.04.047" TargetMode="External"/><Relationship Id="rId43" Type="http://schemas.openxmlformats.org/officeDocument/2006/relationships/hyperlink" Target="https://doi.org/10.7554/eLife.13571" TargetMode="External"/><Relationship Id="rId48" Type="http://schemas.openxmlformats.org/officeDocument/2006/relationships/hyperlink" Target="https://doi.org/10.1016/j.celrep.2013.08.049" TargetMode="External"/><Relationship Id="rId56" Type="http://schemas.openxmlformats.org/officeDocument/2006/relationships/hyperlink" Target="https://doi.org/10.1016/j.celrep.2013.08.049" TargetMode="External"/><Relationship Id="rId64" Type="http://schemas.openxmlformats.org/officeDocument/2006/relationships/hyperlink" Target="https://doi.org/10.1016/j.cell.2016.04.047" TargetMode="External"/><Relationship Id="rId69" Type="http://schemas.openxmlformats.org/officeDocument/2006/relationships/hyperlink" Target="https://doi.org/10.1006/jmbi.1996.0391" TargetMode="External"/><Relationship Id="rId8" Type="http://schemas.openxmlformats.org/officeDocument/2006/relationships/hyperlink" Target="https://doi.org/10.7554/eLife.13571" TargetMode="External"/><Relationship Id="rId51" Type="http://schemas.openxmlformats.org/officeDocument/2006/relationships/hyperlink" Target="https://doi.org/10.1038/s41586-025-09207-4" TargetMode="External"/><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73/pnas.2407423122" TargetMode="External"/><Relationship Id="rId17" Type="http://schemas.openxmlformats.org/officeDocument/2006/relationships/hyperlink" Target="https://doi.org/10.1038/s41580-020-0272-6" TargetMode="External"/><Relationship Id="rId25" Type="http://schemas.openxmlformats.org/officeDocument/2006/relationships/hyperlink" Target="https://doi.org/10.1038/s41586-025-09207-4" TargetMode="External"/><Relationship Id="rId33" Type="http://schemas.openxmlformats.org/officeDocument/2006/relationships/hyperlink" Target="https://doi.org/10.1073/pnas.2407423122" TargetMode="External"/><Relationship Id="rId38" Type="http://schemas.openxmlformats.org/officeDocument/2006/relationships/hyperlink" Target="https://doi.org/10.1016/j.molcel.2023.08.006" TargetMode="External"/><Relationship Id="rId46" Type="http://schemas.openxmlformats.org/officeDocument/2006/relationships/hyperlink" Target="https://doi.org/10.1016/j.cell.2016.04.047" TargetMode="External"/><Relationship Id="rId59" Type="http://schemas.openxmlformats.org/officeDocument/2006/relationships/hyperlink" Target="https://doi.org/10.1016/j.molcel.2023.08.006" TargetMode="External"/><Relationship Id="rId67" Type="http://schemas.openxmlformats.org/officeDocument/2006/relationships/hyperlink" Target="https://doi.org/10.1073/pnas.2407423122" TargetMode="External"/><Relationship Id="rId20" Type="http://schemas.openxmlformats.org/officeDocument/2006/relationships/hyperlink" Target="https://doi.org/10.1016/j.cell.2016.04.047" TargetMode="External"/><Relationship Id="rId41" Type="http://schemas.openxmlformats.org/officeDocument/2006/relationships/hyperlink" Target="https://doi.org/10.1038/s41586-025-09207-4" TargetMode="External"/><Relationship Id="rId54" Type="http://schemas.openxmlformats.org/officeDocument/2006/relationships/hyperlink" Target="https://doi.org/10.1016/j.molcel.2023.08.006" TargetMode="External"/><Relationship Id="rId62" Type="http://schemas.openxmlformats.org/officeDocument/2006/relationships/hyperlink" Target="https://doi.org/10.1038/s41580-020-0272-6" TargetMode="External"/><Relationship Id="rId70" Type="http://schemas.openxmlformats.org/officeDocument/2006/relationships/hyperlink" Target="https://doi.org/10.1016/j.molcel.2019.08.014"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8/s41586-025-09207-4" TargetMode="External"/><Relationship Id="rId23" Type="http://schemas.openxmlformats.org/officeDocument/2006/relationships/hyperlink" Target="https://doi.org/10.1006/jmbi.1996.0391" TargetMode="External"/><Relationship Id="rId28" Type="http://schemas.openxmlformats.org/officeDocument/2006/relationships/hyperlink" Target="https://doi.org/10.1016/j.molcel.2019.08.014" TargetMode="External"/><Relationship Id="rId36" Type="http://schemas.openxmlformats.org/officeDocument/2006/relationships/hyperlink" Target="https://doi.org/10.1073/pnas.2407423122" TargetMode="External"/><Relationship Id="rId49" Type="http://schemas.openxmlformats.org/officeDocument/2006/relationships/hyperlink" Target="https://doi.org/10.1016/j.celrep.2013.08.049" TargetMode="External"/><Relationship Id="rId57" Type="http://schemas.openxmlformats.org/officeDocument/2006/relationships/hyperlink" Target="https://doi.org/10.7554/eLife.13571" TargetMode="External"/><Relationship Id="rId10" Type="http://schemas.openxmlformats.org/officeDocument/2006/relationships/hyperlink" Target="https://doi.org/10.1016/j.molcel.2023.08.006" TargetMode="External"/><Relationship Id="rId31" Type="http://schemas.openxmlformats.org/officeDocument/2006/relationships/hyperlink" Target="https://doi.org/10.1016/j.cell.2016.04.047" TargetMode="External"/><Relationship Id="rId44" Type="http://schemas.openxmlformats.org/officeDocument/2006/relationships/hyperlink" Target="https://doi.org/10.1073/pnas.2407423122" TargetMode="External"/><Relationship Id="rId52" Type="http://schemas.openxmlformats.org/officeDocument/2006/relationships/hyperlink" Target="https://doi.org/10.7554/eLife.13571" TargetMode="External"/><Relationship Id="rId60" Type="http://schemas.openxmlformats.org/officeDocument/2006/relationships/hyperlink" Target="https://doi.org/10.1038/s41586-025-09207-4" TargetMode="External"/><Relationship Id="rId65" Type="http://schemas.openxmlformats.org/officeDocument/2006/relationships/hyperlink" Target="https://doi.org/10.1016/j.molcel.2023.08.006"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cell.2016.04.047" TargetMode="External"/><Relationship Id="rId13" Type="http://schemas.openxmlformats.org/officeDocument/2006/relationships/hyperlink" Target="https://doi.org/10.1038/s41580-020-0272-6" TargetMode="External"/><Relationship Id="rId18" Type="http://schemas.openxmlformats.org/officeDocument/2006/relationships/hyperlink" Target="https://doi.org/10.1038/s41586-025-09207-4" TargetMode="External"/><Relationship Id="rId39" Type="http://schemas.openxmlformats.org/officeDocument/2006/relationships/hyperlink" Target="https://doi.org/10.1038/s41586-025-09207-4" TargetMode="External"/><Relationship Id="rId34" Type="http://schemas.openxmlformats.org/officeDocument/2006/relationships/hyperlink" Target="https://doi.org/10.1016/j.molcel.2023.08.006" TargetMode="External"/><Relationship Id="rId50" Type="http://schemas.openxmlformats.org/officeDocument/2006/relationships/hyperlink" Target="https://doi.org/10.1038/s41586-025-09207-4" TargetMode="External"/><Relationship Id="rId55" Type="http://schemas.openxmlformats.org/officeDocument/2006/relationships/hyperlink" Target="https://doi.org/10.1073/pnas.2407423122" TargetMode="External"/><Relationship Id="rId7" Type="http://schemas.openxmlformats.org/officeDocument/2006/relationships/hyperlink" Target="https://doi.org/10.1038/s41580-020-0272-6" TargetMode="External"/><Relationship Id="rId7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2504</Words>
  <Characters>16140</Characters>
  <Application>Microsoft Office Word</Application>
  <DocSecurity>0</DocSecurity>
  <Lines>270</Lines>
  <Paragraphs>87</Paragraphs>
  <ScaleCrop>false</ScaleCrop>
  <Company/>
  <LinksUpToDate>false</LinksUpToDate>
  <CharactersWithSpaces>18553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Nucleolus: Ribosome Biogenesis, RNA Flux and Multiphase Organization</dc:title>
  <dc:subject>RNA processing links molecular assembly, layered architecture, material properties and stress signaling</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2026-10-12T09:32:00Z</dcterms:modified>
</cp:coreProperties>
</file>